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INFORMATION TO BE INCLUDED IN STATEMENTS FILED PURSUANT TO RULES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13d-1(b), (c) AND (d) AND AMENDMENTS THERETO FILED</w:t>
      </w:r>
    </w:p>
    <w:p>
      <w:pPr>
        <w:ind w:left="2960"/>
        <w:spacing w:after="0"/>
        <w:rPr>
          <w:sz w:val="20"/>
          <w:szCs w:val="20"/>
          <w:color w:val="auto"/>
        </w:rPr>
      </w:pPr>
      <w:r>
        <w:rPr>
          <w:rFonts w:ascii="Courier New" w:cs="Courier New" w:eastAsia="Courier New" w:hAnsi="Courier New"/>
          <w:sz w:val="18"/>
          <w:szCs w:val="18"/>
          <w:color w:val="auto"/>
        </w:rPr>
        <w:t>PURSUANT TO RULE 13d-2(b)</w:t>
      </w:r>
    </w:p>
    <w:p>
      <w:pPr>
        <w:ind w:left="3160"/>
        <w:spacing w:after="0" w:line="237" w:lineRule="auto"/>
        <w:rPr>
          <w:sz w:val="20"/>
          <w:szCs w:val="20"/>
          <w:color w:val="auto"/>
        </w:rPr>
      </w:pPr>
      <w:r>
        <w:rPr>
          <w:rFonts w:ascii="Courier New" w:cs="Courier New" w:eastAsia="Courier New" w:hAnsi="Courier New"/>
          <w:sz w:val="18"/>
          <w:szCs w:val="18"/>
          <w:color w:val="auto"/>
        </w:rPr>
        <w:t>(Amendment No. ___)*</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Itron, Inc.</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465741106</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December 31, 2005</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1900"/>
        <w:spacing w:after="0"/>
        <w:tabs>
          <w:tab w:leader="none" w:pos="242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Rule 13d-1(b)</w:t>
      </w:r>
    </w:p>
    <w:p>
      <w:pPr>
        <w:spacing w:after="0" w:line="201" w:lineRule="exact"/>
        <w:rPr>
          <w:sz w:val="24"/>
          <w:szCs w:val="24"/>
          <w:color w:val="auto"/>
        </w:rPr>
      </w:pPr>
    </w:p>
    <w:p>
      <w:pPr>
        <w:ind w:left="1900"/>
        <w:spacing w:after="0"/>
        <w:tabs>
          <w:tab w:leader="none" w:pos="24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13d-1(c)</w:t>
      </w:r>
    </w:p>
    <w:p>
      <w:pPr>
        <w:spacing w:after="0" w:line="201" w:lineRule="exact"/>
        <w:rPr>
          <w:sz w:val="24"/>
          <w:szCs w:val="24"/>
          <w:color w:val="auto"/>
        </w:rPr>
      </w:pPr>
    </w:p>
    <w:p>
      <w:pPr>
        <w:ind w:left="1900"/>
        <w:spacing w:after="0"/>
        <w:tabs>
          <w:tab w:leader="none" w:pos="24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13d-1(d)</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7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as amended (the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3880" w:val="left"/>
          <w:tab w:leader="none" w:pos="652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4"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PERSONS</w:t>
      </w:r>
    </w:p>
    <w:p>
      <w:pPr>
        <w:spacing w:after="0" w:line="4" w:lineRule="exact"/>
        <w:rPr>
          <w:rFonts w:ascii="Courier New" w:cs="Courier New" w:eastAsia="Courier New" w:hAnsi="Courier New"/>
          <w:sz w:val="16"/>
          <w:szCs w:val="16"/>
          <w:color w:val="auto"/>
        </w:rPr>
      </w:pPr>
    </w:p>
    <w:p>
      <w:pPr>
        <w:ind w:left="1380" w:right="273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 Turner Investment Partners, Inc.</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7900" w:hanging="413"/>
        <w:spacing w:after="0" w:line="238" w:lineRule="auto"/>
        <w:tabs>
          <w:tab w:leader="none" w:pos="7900" w:val="left"/>
        </w:tabs>
        <w:numPr>
          <w:ilvl w:val="2"/>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7900" w:hanging="413"/>
        <w:spacing w:after="0" w:line="238" w:lineRule="auto"/>
        <w:tabs>
          <w:tab w:leader="none" w:pos="7900" w:val="left"/>
        </w:tabs>
        <w:numPr>
          <w:ilvl w:val="2"/>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38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tbl>
      <w:tblPr>
        <w:tblLayout w:type="fixed"/>
        <w:tblInd w:w="960" w:type="dxa"/>
        <w:tblCellMar>
          <w:top w:w="0" w:type="dxa"/>
          <w:left w:w="0" w:type="dxa"/>
          <w:bottom w:w="0" w:type="dxa"/>
          <w:right w:w="0" w:type="dxa"/>
        </w:tblCellMar>
      </w:tblPr>
      <w:tr>
        <w:trPr>
          <w:trHeight w:val="203"/>
        </w:trPr>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1800" w:type="dxa"/>
            <w:vAlign w:val="bottom"/>
          </w:tcPr>
          <w:p>
            <w:pPr>
              <w:spacing w:after="0"/>
              <w:rPr>
                <w:sz w:val="17"/>
                <w:szCs w:val="17"/>
                <w:color w:val="auto"/>
              </w:rPr>
            </w:pPr>
          </w:p>
        </w:tc>
        <w:tc>
          <w:tcPr>
            <w:tcW w:w="3840" w:type="dxa"/>
            <w:vAlign w:val="bottom"/>
          </w:tcPr>
          <w:p>
            <w:pPr>
              <w:spacing w:after="0"/>
              <w:rPr>
                <w:sz w:val="17"/>
                <w:szCs w:val="17"/>
                <w:color w:val="auto"/>
              </w:rPr>
            </w:pP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80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40" w:type="dxa"/>
            <w:vAlign w:val="bottom"/>
          </w:tcPr>
          <w:p>
            <w:pPr>
              <w:jc w:val="center"/>
              <w:ind w:right="5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8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6</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EACH</w:t>
            </w:r>
          </w:p>
        </w:tc>
        <w:tc>
          <w:tcPr>
            <w:tcW w:w="1800" w:type="dxa"/>
            <w:vAlign w:val="bottom"/>
          </w:tcPr>
          <w:p>
            <w:pPr>
              <w:spacing w:after="0"/>
              <w:rPr>
                <w:sz w:val="17"/>
                <w:szCs w:val="17"/>
                <w:color w:val="auto"/>
              </w:rPr>
            </w:pPr>
          </w:p>
        </w:tc>
        <w:tc>
          <w:tcPr>
            <w:tcW w:w="3840" w:type="dxa"/>
            <w:vAlign w:val="bottom"/>
          </w:tcPr>
          <w:p>
            <w:pPr>
              <w:spacing w:after="0"/>
              <w:rPr>
                <w:sz w:val="17"/>
                <w:szCs w:val="17"/>
                <w:color w:val="auto"/>
              </w:rPr>
            </w:pPr>
          </w:p>
        </w:tc>
      </w:tr>
      <w:tr>
        <w:trPr>
          <w:trHeight w:val="203"/>
        </w:trPr>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180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1,294,647</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WITH</w:t>
            </w:r>
          </w:p>
        </w:tc>
        <w:tc>
          <w:tcPr>
            <w:tcW w:w="18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7</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8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1,294,647</w:t>
            </w:r>
          </w:p>
        </w:tc>
      </w:tr>
      <w:tr>
        <w:trPr>
          <w:trHeight w:val="203"/>
        </w:trPr>
        <w:tc>
          <w:tcPr>
            <w:tcW w:w="184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40" w:type="dxa"/>
            <w:vAlign w:val="bottom"/>
          </w:tcPr>
          <w:p>
            <w:pPr>
              <w:spacing w:after="0"/>
              <w:rPr>
                <w:sz w:val="17"/>
                <w:szCs w:val="17"/>
                <w:color w:val="auto"/>
              </w:rPr>
            </w:pPr>
          </w:p>
        </w:tc>
        <w:tc>
          <w:tcPr>
            <w:tcW w:w="18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8</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1,294,647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10</w:t>
            </w:r>
          </w:p>
        </w:tc>
        <w:tc>
          <w:tcPr>
            <w:tcW w:w="2120" w:type="dxa"/>
            <w:vAlign w:val="bottom"/>
          </w:tcPr>
          <w:p>
            <w:pPr>
              <w:ind w:left="380"/>
              <w:spacing w:after="0"/>
              <w:rPr>
                <w:sz w:val="20"/>
                <w:szCs w:val="20"/>
                <w:color w:val="auto"/>
              </w:rPr>
            </w:pPr>
            <w:r>
              <w:rPr>
                <w:rFonts w:ascii="Courier New" w:cs="Courier New" w:eastAsia="Courier New" w:hAnsi="Courier New"/>
                <w:sz w:val="18"/>
                <w:szCs w:val="18"/>
                <w:color w:val="auto"/>
                <w:w w:val="99"/>
              </w:rPr>
              <w:t>CHECK BOX IF THE</w:t>
            </w:r>
          </w:p>
        </w:tc>
        <w:tc>
          <w:tcPr>
            <w:tcW w:w="3900" w:type="dxa"/>
            <w:vAlign w:val="bottom"/>
          </w:tcPr>
          <w:p>
            <w:pPr>
              <w:ind w:left="40"/>
              <w:spacing w:after="0"/>
              <w:rPr>
                <w:sz w:val="20"/>
                <w:szCs w:val="20"/>
                <w:color w:val="auto"/>
              </w:rPr>
            </w:pPr>
            <w:r>
              <w:rPr>
                <w:rFonts w:ascii="Courier New" w:cs="Courier New" w:eastAsia="Courier New" w:hAnsi="Courier New"/>
                <w:sz w:val="18"/>
                <w:szCs w:val="18"/>
                <w:color w:val="auto"/>
              </w:rPr>
              <w:t>AGGREGATE AMOUNT IN ROW (9)</w:t>
            </w:r>
          </w:p>
        </w:tc>
        <w:tc>
          <w:tcPr>
            <w:tcW w:w="1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2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EXCLUDES CERTAIN</w:t>
            </w:r>
          </w:p>
        </w:tc>
        <w:tc>
          <w:tcPr>
            <w:tcW w:w="3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spacing w:after="0" w:line="207"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5.2%</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8" w:lineRule="exact"/>
        <w:rPr>
          <w:rFonts w:ascii="Courier New" w:cs="Courier New" w:eastAsia="Courier New" w:hAnsi="Courier New"/>
          <w:sz w:val="16"/>
          <w:szCs w:val="16"/>
          <w:color w:val="auto"/>
        </w:rPr>
      </w:pPr>
    </w:p>
    <w:p>
      <w:pPr>
        <w:ind w:left="2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52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3880" w:val="left"/>
          <w:tab w:leader="none" w:pos="652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SCHEDULE 13-G - TO BE INCLUDED IN STATEMENTS</w:t>
      </w:r>
    </w:p>
    <w:p>
      <w:pPr>
        <w:ind w:left="2640"/>
        <w:spacing w:after="0" w:line="238" w:lineRule="auto"/>
        <w:rPr>
          <w:sz w:val="20"/>
          <w:szCs w:val="20"/>
          <w:color w:val="auto"/>
        </w:rPr>
      </w:pPr>
      <w:r>
        <w:rPr>
          <w:rFonts w:ascii="Courier New" w:cs="Courier New" w:eastAsia="Courier New" w:hAnsi="Courier New"/>
          <w:sz w:val="18"/>
          <w:szCs w:val="18"/>
          <w:color w:val="auto"/>
        </w:rPr>
        <w:t>FILED PURSUANT TO RULE 13d-1(c)</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jc w:val="center"/>
        <w:ind w:right="3899"/>
        <w:spacing w:after="0"/>
        <w:tabs>
          <w:tab w:leader="none" w:pos="20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2818 North Sullivan Road</w:t>
      </w:r>
    </w:p>
    <w:p>
      <w:pPr>
        <w:ind w:left="1900"/>
        <w:spacing w:after="0" w:line="238" w:lineRule="auto"/>
        <w:rPr>
          <w:sz w:val="20"/>
          <w:szCs w:val="20"/>
          <w:color w:val="auto"/>
        </w:rPr>
      </w:pPr>
      <w:r>
        <w:rPr>
          <w:rFonts w:ascii="Courier New" w:cs="Courier New" w:eastAsia="Courier New" w:hAnsi="Courier New"/>
          <w:sz w:val="18"/>
          <w:szCs w:val="18"/>
          <w:color w:val="auto"/>
        </w:rPr>
        <w:t>Spokane, Washington 99216-1897</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Turner Investment Partners,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Turner Investment Partners, Inc.</w:t>
      </w:r>
    </w:p>
    <w:p>
      <w:pPr>
        <w:ind w:left="1900"/>
        <w:spacing w:after="0" w:line="238" w:lineRule="auto"/>
        <w:rPr>
          <w:sz w:val="20"/>
          <w:szCs w:val="20"/>
          <w:color w:val="auto"/>
        </w:rPr>
      </w:pPr>
      <w:r>
        <w:rPr>
          <w:rFonts w:ascii="Courier New" w:cs="Courier New" w:eastAsia="Courier New" w:hAnsi="Courier New"/>
          <w:sz w:val="18"/>
          <w:szCs w:val="18"/>
          <w:color w:val="auto"/>
        </w:rPr>
        <w:t>1205 Westlakes Drive, Suite 100</w:t>
      </w:r>
    </w:p>
    <w:p>
      <w:pPr>
        <w:ind w:left="1900"/>
        <w:spacing w:after="0"/>
        <w:rPr>
          <w:sz w:val="20"/>
          <w:szCs w:val="20"/>
          <w:color w:val="auto"/>
        </w:rPr>
      </w:pPr>
      <w:r>
        <w:rPr>
          <w:rFonts w:ascii="Courier New" w:cs="Courier New" w:eastAsia="Courier New" w:hAnsi="Courier New"/>
          <w:sz w:val="18"/>
          <w:szCs w:val="18"/>
          <w:color w:val="auto"/>
        </w:rPr>
        <w:t>Berwyn, PA 19312</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Pennsylvania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 no par value</w:t>
      </w:r>
    </w:p>
    <w:p>
      <w:pPr>
        <w:sectPr>
          <w:pgSz w:w="11900" w:h="16838" w:orient="portrait"/>
          <w:cols w:equalWidth="0" w:num="1">
            <w:col w:w="10219"/>
          </w:cols>
          <w:pgMar w:left="240" w:top="520"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3880" w:val="left"/>
          <w:tab w:leader="none" w:pos="652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465741106</w:t>
      </w:r>
    </w:p>
    <w:p>
      <w:pPr>
        <w:spacing w:after="0" w:line="207" w:lineRule="exact"/>
        <w:rPr>
          <w:sz w:val="20"/>
          <w:szCs w:val="20"/>
          <w:color w:val="auto"/>
        </w:rPr>
      </w:pPr>
    </w:p>
    <w:p>
      <w:pPr>
        <w:ind w:left="860" w:right="2099" w:hanging="842"/>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13d-2 (b) OR (c), CHECK WHETHER THE PERSON FILING IS A:</w:t>
      </w:r>
    </w:p>
    <w:p>
      <w:pPr>
        <w:spacing w:after="0" w:line="203" w:lineRule="exact"/>
        <w:rPr>
          <w:sz w:val="20"/>
          <w:szCs w:val="20"/>
          <w:color w:val="auto"/>
        </w:rPr>
      </w:pPr>
    </w:p>
    <w:p>
      <w:pPr>
        <w:ind w:left="1280" w:hanging="429"/>
        <w:spacing w:after="0"/>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206" w:lineRule="exact"/>
        <w:rPr>
          <w:rFonts w:ascii="Courier New" w:cs="Courier New" w:eastAsia="Courier New" w:hAnsi="Courier New"/>
          <w:sz w:val="18"/>
          <w:szCs w:val="18"/>
          <w:color w:val="auto"/>
        </w:rPr>
      </w:pPr>
    </w:p>
    <w:p>
      <w:pPr>
        <w:ind w:left="1700" w:right="1879" w:hanging="849"/>
        <w:spacing w:after="0" w:line="235" w:lineRule="auto"/>
        <w:tabs>
          <w:tab w:leader="none" w:pos="127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w:t>
      </w:r>
    </w:p>
    <w:p>
      <w:pPr>
        <w:ind w:left="1700"/>
        <w:spacing w:after="0" w:line="238" w:lineRule="auto"/>
        <w:rPr>
          <w:sz w:val="20"/>
          <w:szCs w:val="20"/>
          <w:color w:val="auto"/>
        </w:rPr>
      </w:pPr>
      <w:r>
        <w:rPr>
          <w:rFonts w:ascii="Courier New" w:cs="Courier New" w:eastAsia="Courier New" w:hAnsi="Courier New"/>
          <w:sz w:val="18"/>
          <w:szCs w:val="18"/>
          <w:color w:val="auto"/>
        </w:rPr>
        <w:t>13d-1(b)(1)(ii)(E);</w:t>
      </w:r>
    </w:p>
    <w:p>
      <w:pPr>
        <w:spacing w:after="0" w:line="207" w:lineRule="exact"/>
        <w:rPr>
          <w:sz w:val="20"/>
          <w:szCs w:val="20"/>
          <w:color w:val="auto"/>
        </w:rPr>
      </w:pPr>
    </w:p>
    <w:p>
      <w:pPr>
        <w:ind w:left="1700" w:right="2099" w:hanging="849"/>
        <w:spacing w:after="0" w:line="235" w:lineRule="auto"/>
        <w:tabs>
          <w:tab w:leader="none" w:pos="127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700" w:right="2099" w:hanging="849"/>
        <w:spacing w:after="0" w:line="235" w:lineRule="auto"/>
        <w:tabs>
          <w:tab w:leader="none" w:pos="127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13d-1(b)(1)(ii)(G); see item 7;</w:t>
      </w:r>
    </w:p>
    <w:p>
      <w:pPr>
        <w:spacing w:after="0" w:line="208" w:lineRule="exact"/>
        <w:rPr>
          <w:rFonts w:ascii="Courier New" w:cs="Courier New" w:eastAsia="Courier New" w:hAnsi="Courier New"/>
          <w:sz w:val="18"/>
          <w:szCs w:val="18"/>
          <w:color w:val="auto"/>
        </w:rPr>
      </w:pPr>
    </w:p>
    <w:p>
      <w:pPr>
        <w:ind w:left="1700" w:right="1879" w:hanging="849"/>
        <w:spacing w:after="0" w:line="235" w:lineRule="auto"/>
        <w:tabs>
          <w:tab w:leader="none" w:pos="127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700" w:right="2319" w:hanging="849"/>
        <w:spacing w:after="0" w:line="236" w:lineRule="auto"/>
        <w:tabs>
          <w:tab w:leader="none" w:pos="127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13d-1(b)(1)(ii)(J).</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this statement is filed pursuant to Rule 13d-1(c), check this box |_|</w:t>
      </w:r>
    </w:p>
    <w:p>
      <w:pPr>
        <w:sectPr>
          <w:pgSz w:w="11900" w:h="16838" w:orient="portrait"/>
          <w:cols w:equalWidth="0" w:num="1">
            <w:col w:w="10219"/>
          </w:cols>
          <w:pgMar w:left="240" w:top="520"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3880" w:val="left"/>
          <w:tab w:leader="none" w:pos="652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7 Pages</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4.  OWNERSHIP.</w:t>
      </w:r>
    </w:p>
    <w:p>
      <w:pPr>
        <w:spacing w:after="0" w:line="201" w:lineRule="exact"/>
        <w:rPr>
          <w:rFonts w:ascii="Courier New" w:cs="Courier New" w:eastAsia="Courier New" w:hAnsi="Courier New"/>
          <w:sz w:val="16"/>
          <w:szCs w:val="16"/>
          <w:color w:val="auto"/>
        </w:rPr>
      </w:pPr>
    </w:p>
    <w:p>
      <w:pPr>
        <w:ind w:left="1380" w:hanging="424"/>
        <w:spacing w:after="0"/>
        <w:tabs>
          <w:tab w:leader="none" w:pos="13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1,294,647</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 Percent of Class:</w:t>
      </w:r>
    </w:p>
    <w:p>
      <w:pPr>
        <w:spacing w:after="0" w:line="207" w:lineRule="exact"/>
        <w:rPr>
          <w:sz w:val="20"/>
          <w:szCs w:val="20"/>
          <w:color w:val="auto"/>
        </w:rPr>
      </w:pPr>
    </w:p>
    <w:p>
      <w:pPr>
        <w:ind w:left="2320" w:right="2099"/>
        <w:spacing w:after="0" w:line="237" w:lineRule="auto"/>
        <w:rPr>
          <w:sz w:val="20"/>
          <w:szCs w:val="20"/>
          <w:color w:val="auto"/>
        </w:rPr>
      </w:pPr>
      <w:r>
        <w:rPr>
          <w:rFonts w:ascii="Courier New" w:cs="Courier New" w:eastAsia="Courier New" w:hAnsi="Courier New"/>
          <w:sz w:val="18"/>
          <w:szCs w:val="18"/>
          <w:color w:val="auto"/>
        </w:rPr>
        <w:t>5.2% (Based upon 24,782,504 shares of Common Stock outstanding as reported by the Issuer in its Quarterly Report on Form 10-Q for the quarter ended September 30, 2005.)</w:t>
      </w:r>
    </w:p>
    <w:p>
      <w:pPr>
        <w:spacing w:after="0" w:line="202" w:lineRule="exact"/>
        <w:rPr>
          <w:sz w:val="20"/>
          <w:szCs w:val="20"/>
          <w:color w:val="auto"/>
        </w:rPr>
      </w:pPr>
    </w:p>
    <w:p>
      <w:pPr>
        <w:ind w:left="1380" w:hanging="424"/>
        <w:spacing w:after="0"/>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960" w:hanging="634"/>
        <w:spacing w:after="0"/>
        <w:tabs>
          <w:tab w:leader="none" w:pos="29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206" w:lineRule="exact"/>
        <w:rPr>
          <w:rFonts w:ascii="Courier New" w:cs="Courier New" w:eastAsia="Courier New" w:hAnsi="Courier New"/>
          <w:sz w:val="18"/>
          <w:szCs w:val="18"/>
          <w:color w:val="auto"/>
        </w:rPr>
      </w:pPr>
    </w:p>
    <w:p>
      <w:pPr>
        <w:ind w:left="2960" w:right="2739" w:hanging="634"/>
        <w:spacing w:after="0" w:line="235" w:lineRule="auto"/>
        <w:tabs>
          <w:tab w:leader="none" w:pos="29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1,294,647</w:t>
      </w:r>
    </w:p>
    <w:p>
      <w:pPr>
        <w:spacing w:after="0" w:line="208" w:lineRule="exact"/>
        <w:rPr>
          <w:rFonts w:ascii="Courier New" w:cs="Courier New" w:eastAsia="Courier New" w:hAnsi="Courier New"/>
          <w:sz w:val="18"/>
          <w:szCs w:val="18"/>
          <w:color w:val="auto"/>
        </w:rPr>
      </w:pPr>
    </w:p>
    <w:p>
      <w:pPr>
        <w:ind w:left="2960" w:right="1999" w:hanging="634"/>
        <w:spacing w:after="0" w:line="235" w:lineRule="auto"/>
        <w:tabs>
          <w:tab w:leader="none" w:pos="29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1,294,647</w:t>
      </w:r>
    </w:p>
    <w:p>
      <w:pPr>
        <w:spacing w:after="0" w:line="208" w:lineRule="exact"/>
        <w:rPr>
          <w:rFonts w:ascii="Courier New" w:cs="Courier New" w:eastAsia="Courier New" w:hAnsi="Courier New"/>
          <w:sz w:val="18"/>
          <w:szCs w:val="18"/>
          <w:color w:val="auto"/>
        </w:rPr>
      </w:pPr>
    </w:p>
    <w:p>
      <w:pPr>
        <w:ind w:left="2960" w:right="1779" w:hanging="634"/>
        <w:spacing w:after="0" w:line="235" w:lineRule="auto"/>
        <w:tabs>
          <w:tab w:leader="none" w:pos="29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securities in respect of this Schedule 13G, which is filed by Turner Investment Partners, Inc. in its capacity as an investment adviser, are owned of record by clients of Turner Investment Partners. Those clients have the right to receive, or the power to direct the receipt of, dividends from, or the proceeds from the sale of, such securities. No such client is known to have such right or power with respect to more than five percent of this class of securities.</w:t>
      </w:r>
    </w:p>
    <w:p>
      <w:pPr>
        <w:spacing w:after="0" w:line="211" w:lineRule="exact"/>
        <w:rPr>
          <w:sz w:val="20"/>
          <w:szCs w:val="20"/>
          <w:color w:val="auto"/>
        </w:rPr>
      </w:pPr>
    </w:p>
    <w:p>
      <w:pPr>
        <w:ind w:left="1060" w:right="219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52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3880" w:val="left"/>
          <w:tab w:leader="none" w:pos="652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8.   IDENTIFICATION AND CLASSIFICATION OF MEMBERS OF A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999" w:firstLine="1896"/>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520"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3880" w:val="left"/>
          <w:tab w:leader="none" w:pos="652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TURNER INVESTMENT PARTNERS, INC.</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/s/</w:t>
        <w:tab/>
        <w:t>BRIAN F. McNALLY</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Name: Brian F. McNally</w:t>
      </w:r>
    </w:p>
    <w:p>
      <w:pPr>
        <w:ind w:left="4640"/>
        <w:spacing w:after="0" w:line="237" w:lineRule="auto"/>
        <w:rPr>
          <w:sz w:val="20"/>
          <w:szCs w:val="20"/>
          <w:color w:val="auto"/>
        </w:rPr>
      </w:pPr>
      <w:r>
        <w:rPr>
          <w:rFonts w:ascii="Courier New" w:cs="Courier New" w:eastAsia="Courier New" w:hAnsi="Courier New"/>
          <w:sz w:val="18"/>
          <w:szCs w:val="18"/>
          <w:color w:val="auto"/>
        </w:rPr>
        <w:t>Title: General Counsel and</w:t>
      </w:r>
    </w:p>
    <w:p>
      <w:pPr>
        <w:ind w:left="5380"/>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rPr>
          <w:sz w:val="20"/>
          <w:szCs w:val="20"/>
          <w:color w:val="auto"/>
        </w:rPr>
      </w:pPr>
      <w:r>
        <w:rPr>
          <w:rFonts w:ascii="Courier New" w:cs="Courier New" w:eastAsia="Courier New" w:hAnsi="Courier New"/>
          <w:sz w:val="18"/>
          <w:szCs w:val="18"/>
          <w:color w:val="auto"/>
        </w:rPr>
        <w:t>Dated: January 20, 2006</w:t>
      </w:r>
    </w:p>
    <w:sectPr>
      <w:pgSz w:w="11900" w:h="16838" w:orient="portrait"/>
      <w:cols w:equalWidth="0" w:num="1">
        <w:col w:w="10219"/>
      </w:cols>
      <w:pgMar w:left="240" w:top="5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6"/>
    </w:lvl>
  </w:abstractNum>
  <w:abstractNum w:abstractNumId="9">
    <w:nsid w:val="1F16E9E8"/>
    <w:multiLevelType w:val="hybridMultilevel"/>
    <w:lvl w:ilvl="0">
      <w:lvlJc w:val="left"/>
      <w:lvlText w:val="-"/>
      <w:numFmt w:val="bullet"/>
      <w:start w:val="1"/>
    </w:lvl>
    <w:lvl w:ilvl="1">
      <w:lvlJc w:val="left"/>
      <w:lvlText w:val="(%2)"/>
      <w:numFmt w:val="lowerLetter"/>
      <w:start w:val="1"/>
    </w:lvl>
  </w:abstractNum>
  <w:abstractNum w:abstractNumId="10">
    <w:nsid w:val="1190CDE7"/>
    <w:multiLevelType w:val="hybridMultilevel"/>
    <w:lvl w:ilvl="0">
      <w:lvlJc w:val="left"/>
      <w:lvlText w:val="(%1)"/>
      <w:numFmt w:val="lowerLetter"/>
      <w:start w:val="3"/>
    </w:lvl>
    <w:lvl w:ilvl="1">
      <w:lvlJc w:val="left"/>
      <w:lvlText w:val="(%2)"/>
      <w:numFmt w:val="lowerRoman"/>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2019-12-13T15:14:24Z</dcterms:created>
  <dcterms:modified xsi:type="dcterms:W3CDTF">2019-12-13T15:14:24Z</dcterms:modified>
</cp:coreProperties>
</file>