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227965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660" w:right="162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2009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93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80" w:space="720"/>
            <w:col w:w="4420"/>
          </w:cols>
          <w:pgMar w:left="240" w:top="936"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228600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36" w:right="239" w:bottom="1440" w:gutter="0" w:footer="0" w:header="0"/>
          <w:type w:val="continuous"/>
        </w:sectPr>
      </w:pPr>
    </w:p>
    <w:p>
      <w:pPr>
        <w:spacing w:after="0" w:line="147" w:lineRule="exact"/>
        <w:rPr>
          <w:sz w:val="24"/>
          <w:szCs w:val="24"/>
          <w:color w:val="auto"/>
        </w:rPr>
      </w:pPr>
    </w:p>
    <w:p>
      <w:pPr>
        <w:ind w:left="520"/>
        <w:spacing w:after="0" w:line="234" w:lineRule="exact"/>
        <w:rPr>
          <w:sz w:val="20"/>
          <w:szCs w:val="20"/>
          <w:color w:val="auto"/>
        </w:rPr>
      </w:pPr>
      <w:r>
        <w:rPr>
          <w:rFonts w:ascii="Arial" w:cs="Arial" w:eastAsia="Arial" w:hAnsi="Arial"/>
          <w:sz w:val="16"/>
          <w:szCs w:val="16"/>
          <w:color w:val="auto"/>
        </w:rPr>
        <w:t xml:space="preserve">Large accelerated filer x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3">
            <w:col w:w="2260" w:space="20"/>
            <w:col w:w="4700" w:space="720"/>
            <w:col w:w="3720"/>
          </w:cols>
          <w:pgMar w:left="240" w:top="936" w:right="239" w:bottom="1440" w:gutter="0" w:footer="0" w:header="0"/>
          <w:type w:val="continuous"/>
        </w:sect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As of July 31, 2009 there were outstanding 39,994,446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1144270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Page</w:t>
            </w:r>
          </w:p>
        </w:tc>
      </w:tr>
      <w:tr>
        <w:trPr>
          <w:trHeight w:val="351"/>
        </w:trPr>
        <w:tc>
          <w:tcPr>
            <w:tcW w:w="10580" w:type="dxa"/>
            <w:vAlign w:val="bottom"/>
            <w:gridSpan w:val="17"/>
          </w:tcPr>
          <w:p>
            <w:pPr>
              <w:ind w:left="140"/>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Item 1: Financial Statements (Unaudited)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w:t>
              </w:r>
            </w:hyperlink>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w:t>
              </w:r>
            </w:hyperlink>
          </w:p>
        </w:tc>
        <w:tc>
          <w:tcPr>
            <w:tcW w:w="720" w:type="dxa"/>
            <w:vAlign w:val="bottom"/>
            <w:tcBorders>
              <w:top w:val="single" w:sz="8" w:color="0000EE"/>
            </w:tcBorders>
          </w:tcPr>
          <w:p>
            <w:pPr>
              <w:spacing w:after="0"/>
              <w:rPr>
                <w:sz w:val="24"/>
                <w:szCs w:val="24"/>
                <w:color w:val="auto"/>
              </w:rPr>
            </w:pPr>
          </w:p>
        </w:tc>
        <w:tc>
          <w:tcPr>
            <w:tcW w:w="6260" w:type="dxa"/>
            <w:vAlign w:val="bottom"/>
            <w:gridSpan w:val="6"/>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w:t>
              </w:r>
            </w:hyperlink>
          </w:p>
        </w:tc>
        <w:tc>
          <w:tcPr>
            <w:tcW w:w="6200" w:type="dxa"/>
            <w:vAlign w:val="bottom"/>
            <w:gridSpan w:val="5"/>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0"/>
        </w:trPr>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0" w:type="dxa"/>
            <w:vAlign w:val="bottom"/>
            <w:tcBorders>
              <w:top w:val="single" w:sz="8" w:color="0000EE"/>
            </w:tcBorders>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 Quantitative and Qualitative Disclosures About Market Risk</w:t>
              </w:r>
            </w:hyperlink>
          </w:p>
        </w:tc>
        <w:tc>
          <w:tcPr>
            <w:tcW w:w="29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6"/>
          </w:tcPr>
          <w:p>
            <w:pPr>
              <w:spacing w:after="0"/>
              <w:rPr>
                <w:sz w:val="24"/>
                <w:szCs w:val="24"/>
                <w:color w:val="auto"/>
              </w:rPr>
            </w:pPr>
          </w:p>
        </w:tc>
        <w:tc>
          <w:tcPr>
            <w:tcW w:w="4980" w:type="dxa"/>
            <w:vAlign w:val="bottom"/>
            <w:gridSpan w:val="2"/>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r>
      <w:tr>
        <w:trPr>
          <w:trHeight w:val="723"/>
        </w:trPr>
        <w:tc>
          <w:tcPr>
            <w:tcW w:w="10580" w:type="dxa"/>
            <w:vAlign w:val="bottom"/>
            <w:gridSpan w:val="17"/>
          </w:tcPr>
          <w:p>
            <w:pPr>
              <w:ind w:left="140"/>
              <w:spacing w:after="0"/>
              <w:rPr>
                <w:sz w:val="20"/>
                <w:szCs w:val="20"/>
                <w:color w:val="auto"/>
              </w:rPr>
            </w:pPr>
            <w:r>
              <w:rPr>
                <w:rFonts w:ascii="Arial" w:cs="Arial" w:eastAsia="Arial" w:hAnsi="Arial"/>
                <w:sz w:val="18"/>
                <w:szCs w:val="18"/>
                <w:b w:val="1"/>
                <w:bCs w:val="1"/>
                <w:color w:val="auto"/>
              </w:rPr>
              <w:t>PART II: OTHER INFORMATION</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1: Legal Proceedings</w:t>
              </w:r>
            </w:hyperlink>
          </w:p>
        </w:tc>
        <w:tc>
          <w:tcPr>
            <w:tcW w:w="8000" w:type="dxa"/>
            <w:vAlign w:val="bottom"/>
            <w:gridSpan w:val="9"/>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Item 1A: Risk Factors</w:t>
              </w:r>
            </w:hyperlink>
          </w:p>
        </w:tc>
        <w:tc>
          <w:tcPr>
            <w:tcW w:w="8300" w:type="dxa"/>
            <w:vAlign w:val="bottom"/>
            <w:gridSpan w:val="11"/>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4: Submission of Matters to a Vote of Security Holders</w:t>
              </w:r>
            </w:hyperlink>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6"/>
          </w:tcPr>
          <w:p>
            <w:pPr>
              <w:spacing w:after="0"/>
              <w:rPr>
                <w:sz w:val="24"/>
                <w:szCs w:val="24"/>
                <w:color w:val="auto"/>
              </w:rPr>
            </w:pPr>
          </w:p>
        </w:tc>
        <w:tc>
          <w:tcPr>
            <w:tcW w:w="5580" w:type="dxa"/>
            <w:vAlign w:val="bottom"/>
            <w:gridSpan w:val="4"/>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 Exhibits</w:t>
              </w:r>
            </w:hyperlink>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r>
      <w:tr>
        <w:trPr>
          <w:trHeight w:val="20"/>
        </w:trPr>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682"/>
        </w:trPr>
        <w:tc>
          <w:tcPr>
            <w:tcW w:w="10580" w:type="dxa"/>
            <w:vAlign w:val="bottom"/>
            <w:gridSpan w:val="17"/>
          </w:tcPr>
          <w:p>
            <w:pPr>
              <w:ind w:left="140"/>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w:t>
              </w:r>
            </w:hyperlink>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r>
      <w:tr>
        <w:trPr>
          <w:trHeight w:val="814"/>
        </w:trPr>
        <w:tc>
          <w:tcPr>
            <w:tcW w:w="140" w:type="dxa"/>
            <w:vAlign w:val="bottom"/>
            <w:tcBorders>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bottom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w w:val="81"/>
              </w:rPr>
              <w:t>(in</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270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88"/>
              </w:rPr>
              <w:t>thousands, except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413,748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513,931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802,266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337,721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539,573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262,693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37,925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44,205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74,900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development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31,471</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28,467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32,889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57,491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900"/>
              <w:spacing w:after="0"/>
              <w:rPr>
                <w:sz w:val="20"/>
                <w:szCs w:val="20"/>
                <w:color w:val="auto"/>
              </w:rPr>
            </w:pPr>
            <w:r>
              <w:rPr>
                <w:rFonts w:ascii="Arial" w:cs="Arial" w:eastAsia="Arial" w:hAnsi="Arial"/>
                <w:sz w:val="18"/>
                <w:szCs w:val="18"/>
                <w:color w:val="auto"/>
              </w:rPr>
              <w:t>Total 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242,025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275,304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36,178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20,668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(25,788)</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Loss on extinguishment of debt,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(26,173)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(47,479)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(53,098)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(26,811)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15,289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(4,440)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0.40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32,796</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38,130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35,325</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36,968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 w:name="page4"/>
    <w:bookmarkEnd w:id="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311,338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28,734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845,649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717,717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312,468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58,216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429,629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2,958,088</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70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187,543</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68,537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payable</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warranty</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37,328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532,794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424,421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854,052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Pension plan benefits</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56,831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obligations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net</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33,858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Cumulative effect of change in accounting principle</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18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1"/>
              </w:rPr>
              <w:t>thousands)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180" w:type="dxa"/>
            <w:vAlign w:val="bottom"/>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74,407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prepaid debt fees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Amortization of convertible debt discount</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extinguishment of debt, net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Deferred income taxes, net</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payables, other current liabilities, and taxes payable</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Wages and benefits payable</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Warranty</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(4,190)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foreign exchange rate changes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(5,380)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Acquisitions of property, plant, and equipment</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(27,804)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(25,148)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Payments on debt</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(70,241)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(350,749)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Prepaid debt fees</w:t>
            </w:r>
          </w:p>
        </w:tc>
        <w:tc>
          <w:tcPr>
            <w:tcW w:w="1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(3,992)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144,390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276,128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Fixed assets purchased but not yet paid</w:t>
            </w:r>
          </w:p>
        </w:tc>
        <w:tc>
          <w:tcPr>
            <w:tcW w:w="1180" w:type="dxa"/>
            <w:vAlign w:val="bottom"/>
          </w:tcPr>
          <w:p>
            <w:pPr>
              <w:jc w:val="right"/>
              <w:ind w:right="10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5,149</w:t>
            </w:r>
          </w:p>
        </w:tc>
        <w:tc>
          <w:tcPr>
            <w:tcW w:w="140" w:type="dxa"/>
            <w:vAlign w:val="bottom"/>
          </w:tcPr>
          <w:p>
            <w:pPr>
              <w:spacing w:after="0"/>
              <w:rPr>
                <w:sz w:val="18"/>
                <w:szCs w:val="18"/>
                <w:color w:val="auto"/>
              </w:rPr>
            </w:pP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of debt for common stock (see Note 6)</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120,984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Contingent consideration payable for previous acquisitions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1180" w:type="dxa"/>
            <w:vAlign w:val="bottom"/>
          </w:tcPr>
          <w:p>
            <w:pPr>
              <w:jc w:val="right"/>
              <w:ind w:right="10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5,926</w:t>
            </w:r>
          </w:p>
        </w:tc>
        <w:tc>
          <w:tcPr>
            <w:tcW w:w="140" w:type="dxa"/>
            <w:vAlign w:val="bottom"/>
          </w:tcPr>
          <w:p>
            <w:pPr>
              <w:spacing w:after="0"/>
              <w:rPr>
                <w:sz w:val="18"/>
                <w:szCs w:val="18"/>
                <w:color w:val="auto"/>
              </w:rPr>
            </w:pP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net of amounts capitalized</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 w:name="page6"/>
    <w:bookmarkEnd w:id="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Consolidated Statements of Operations for the three and six months ended June 30, 2009 and 2008, Consolidated Balance Sheets as of June 30, 2009 and December 31, 2008, and Consolidated Statements of Cash Flows for the six months ended June 30, 2009 and 2008 of Itron, Inc. and its subsidiaries. All entries required for the fair presentation of the financial statements are of a normal recurring nature, except as disclosed.</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 disclosures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2008 audited financial statements and notes included in our Annual Report on Form 10-K, as filed with the SEC on February 26, 2009. The results of operations for the three and six months ended June 30, 2009 are not necessarily indicative of the results expected for the full fiscal year or for any other fiscal period.</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June 30, 2009, we had no material investments in variable interest entities. Intercompany transactions and balances have been eliminated upon consolidation.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Effective January 1, 2009, Statement of Financial Accounting Standards (SFAS) 160, </w:t>
      </w:r>
      <w:r>
        <w:rPr>
          <w:rFonts w:ascii="Arial" w:cs="Arial" w:eastAsia="Arial" w:hAnsi="Arial"/>
          <w:sz w:val="17"/>
          <w:szCs w:val="17"/>
          <w:i w:val="1"/>
          <w:iCs w:val="1"/>
          <w:color w:val="auto"/>
        </w:rPr>
        <w:t>Noncontrolling Interests in Consolidated Financial Statements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ARB No. 51 </w:t>
      </w:r>
      <w:r>
        <w:rPr>
          <w:rFonts w:ascii="Arial" w:cs="Arial" w:eastAsia="Arial" w:hAnsi="Arial"/>
          <w:sz w:val="17"/>
          <w:szCs w:val="17"/>
          <w:color w:val="auto"/>
        </w:rPr>
        <w:t>changed the accounting and reporting for minority interests. Minority interests will be re-characterized as noncontrolling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Our noncontrolling interests are not material; therefore, we do not separately reflect the equity and net income of our noncontrolling interests in our condensed consolidated financial statements.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Accounting Principle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January 1, 2009, we adopted Financial Accounting Standards Board (FASB) Staff Position (FSP) APB 14-1, </w:t>
      </w:r>
      <w:r>
        <w:rPr>
          <w:rFonts w:ascii="Arial" w:cs="Arial" w:eastAsia="Arial" w:hAnsi="Arial"/>
          <w:sz w:val="17"/>
          <w:szCs w:val="17"/>
          <w:i w:val="1"/>
          <w:iCs w:val="1"/>
          <w:color w:val="auto"/>
        </w:rPr>
        <w:t>Accounting for Convertible Debt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May Be Settled in Cash upon Conversion (Including Partial Cash Settlement) </w:t>
      </w:r>
      <w:r>
        <w:rPr>
          <w:rFonts w:ascii="Arial" w:cs="Arial" w:eastAsia="Arial" w:hAnsi="Arial"/>
          <w:sz w:val="17"/>
          <w:szCs w:val="17"/>
          <w:color w:val="auto"/>
        </w:rPr>
        <w:t>(FSP 14-1). FSP 14-1 requires the convertible debt to be separated into its</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and equity components in a manner that reflects our non-convertible debt borrowing rate and must be applied retrospectively to all periods during which our convertible debt was outstanding. Our senior subordinated convertible notes (convertible notes) were issued in August 2006. Refer to Note 6 for further disclosure of the terms of the convertible notes and the adoption of FSP 14-1.</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6" w:name="page7"/>
    <w:bookmarkEnd w:id="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of FSP 14-1 on our results of operations, our financial position, and our cash flows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gridSpan w:val="17"/>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 2008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11"/>
          </w:tcPr>
          <w:p>
            <w:pPr>
              <w:jc w:val="center"/>
              <w:ind w:right="240"/>
              <w:spacing w:after="0"/>
              <w:rPr>
                <w:sz w:val="20"/>
                <w:szCs w:val="20"/>
                <w:color w:val="auto"/>
              </w:rPr>
            </w:pPr>
            <w:r>
              <w:rPr>
                <w:rFonts w:ascii="Arial" w:cs="Arial" w:eastAsia="Arial" w:hAnsi="Arial"/>
                <w:sz w:val="18"/>
                <w:szCs w:val="18"/>
                <w:b w:val="1"/>
                <w:bCs w:val="1"/>
                <w:color w:val="auto"/>
                <w:w w:val="89"/>
              </w:rPr>
              <w:t>Six Months Ended June 30, 2008</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Upon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Upon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As Previously</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Impact of FSP</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80" w:type="dxa"/>
            <w:vAlign w:val="bottom"/>
          </w:tcPr>
          <w:p>
            <w:pPr>
              <w:spacing w:after="0"/>
              <w:rPr>
                <w:sz w:val="18"/>
                <w:szCs w:val="18"/>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As Previously</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14-1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0"/>
              </w:rPr>
              <w:t>(in</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2"/>
              </w:rPr>
              <w:t>FSP 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4"/>
            <w:vMerge w:val="continue"/>
          </w:tcPr>
          <w:p>
            <w:pPr>
              <w:spacing w:after="0"/>
              <w:rPr>
                <w:sz w:val="19"/>
                <w:szCs w:val="19"/>
                <w:color w:val="auto"/>
              </w:rPr>
            </w:pPr>
          </w:p>
        </w:tc>
        <w:tc>
          <w:tcPr>
            <w:tcW w:w="270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8"/>
              </w:rPr>
              <w:t>thousands, except per share data)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(22,457)</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(25,788)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(47,723)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(54,325)</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1,295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11,089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8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(0.06)</w:t>
            </w:r>
          </w:p>
        </w:tc>
        <w:tc>
          <w:tcPr>
            <w:tcW w:w="240" w:type="dxa"/>
            <w:vAlign w:val="bottom"/>
            <w:gridSpan w:val="4"/>
          </w:tcPr>
          <w:p>
            <w:pPr>
              <w:ind w:left="140"/>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0.34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959"/>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4"/>
          </w:tcPr>
          <w:p>
            <w:pPr>
              <w:jc w:val="center"/>
              <w:ind w:left="670"/>
              <w:spacing w:after="0"/>
              <w:rPr>
                <w:sz w:val="20"/>
                <w:szCs w:val="20"/>
                <w:color w:val="auto"/>
              </w:rPr>
            </w:pPr>
            <w:r>
              <w:rPr>
                <w:rFonts w:ascii="Arial" w:cs="Arial" w:eastAsia="Arial" w:hAnsi="Arial"/>
                <w:sz w:val="18"/>
                <w:szCs w:val="18"/>
                <w:b w:val="1"/>
                <w:bCs w:val="1"/>
                <w:color w:val="auto"/>
                <w:w w:val="90"/>
              </w:rPr>
              <w:t>At December 31, 2008</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Upon</w:t>
            </w:r>
          </w:p>
        </w:tc>
        <w:tc>
          <w:tcPr>
            <w:tcW w:w="4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87"/>
              </w:rPr>
              <w:t>As Previously</w:t>
            </w:r>
          </w:p>
        </w:tc>
        <w:tc>
          <w:tcPr>
            <w:tcW w:w="40" w:type="dxa"/>
            <w:vAlign w:val="bottom"/>
          </w:tcPr>
          <w:p>
            <w:pPr>
              <w:spacing w:after="0"/>
              <w:rPr>
                <w:sz w:val="18"/>
                <w:szCs w:val="18"/>
                <w:color w:val="auto"/>
              </w:rPr>
            </w:pPr>
          </w:p>
        </w:tc>
        <w:tc>
          <w:tcPr>
            <w:tcW w:w="13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Impact of FSP</w:t>
            </w:r>
          </w:p>
        </w:tc>
        <w:tc>
          <w:tcPr>
            <w:tcW w:w="80" w:type="dxa"/>
            <w:vAlign w:val="bottom"/>
          </w:tcPr>
          <w:p>
            <w:pPr>
              <w:spacing w:after="0"/>
              <w:rPr>
                <w:sz w:val="18"/>
                <w:szCs w:val="18"/>
                <w:color w:val="auto"/>
              </w:rPr>
            </w:pPr>
          </w:p>
        </w:tc>
        <w:tc>
          <w:tcPr>
            <w:tcW w:w="1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Adoption of</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3"/>
              </w:rPr>
              <w:t>Reported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14-1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FSP 14-1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Deferred income taxes, net (long-term asset)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(14,866)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1,179,249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(38,251)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1,140,998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951,007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992,184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180"/>
              <w:spacing w:after="0"/>
              <w:rPr>
                <w:sz w:val="20"/>
                <w:szCs w:val="20"/>
                <w:color w:val="auto"/>
              </w:rPr>
            </w:pPr>
            <w:r>
              <w:rPr>
                <w:rFonts w:ascii="Arial" w:cs="Arial" w:eastAsia="Arial" w:hAnsi="Arial"/>
                <w:sz w:val="18"/>
                <w:szCs w:val="18"/>
                <w:color w:val="auto"/>
              </w:rPr>
              <w:t>Cumulative effect of change in accounting principle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(17,792)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(17,792)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1"/>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18"/>
          </w:tcPr>
          <w:p>
            <w:pPr>
              <w:ind w:left="540"/>
              <w:spacing w:after="0"/>
              <w:rPr>
                <w:sz w:val="20"/>
                <w:szCs w:val="20"/>
                <w:color w:val="auto"/>
              </w:rPr>
            </w:pPr>
            <w:r>
              <w:rPr>
                <w:rFonts w:ascii="Arial" w:cs="Arial" w:eastAsia="Arial" w:hAnsi="Arial"/>
                <w:sz w:val="18"/>
                <w:szCs w:val="18"/>
                <w:b w:val="1"/>
                <w:bCs w:val="1"/>
                <w:color w:val="auto"/>
              </w:rPr>
              <w:t>Six Months Ended June 30, 2008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Upon</w:t>
            </w:r>
          </w:p>
        </w:tc>
        <w:tc>
          <w:tcPr>
            <w:tcW w:w="26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As Previously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3"/>
              </w:rPr>
              <w:t>Impact of FSP</w:t>
            </w:r>
          </w:p>
        </w:tc>
        <w:tc>
          <w:tcPr>
            <w:tcW w:w="80" w:type="dxa"/>
            <w:vAlign w:val="bottom"/>
          </w:tcPr>
          <w:p>
            <w:pPr>
              <w:spacing w:after="0"/>
              <w:rPr>
                <w:sz w:val="18"/>
                <w:szCs w:val="18"/>
                <w:color w:val="auto"/>
              </w:rPr>
            </w:pPr>
          </w:p>
        </w:tc>
        <w:tc>
          <w:tcPr>
            <w:tcW w:w="1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Adoption of</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Reported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14-1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FSP 14-1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gridSpan w:val="2"/>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16,078</w:t>
            </w:r>
          </w:p>
        </w:tc>
        <w:tc>
          <w:tcPr>
            <w:tcW w:w="8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6"/>
              </w:rPr>
              <w:t>Amortization of convertible debt discount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6,602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(14,421)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5"/>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17"/>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 2009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11"/>
          </w:tcPr>
          <w:p>
            <w:pPr>
              <w:jc w:val="center"/>
              <w:ind w:right="240"/>
              <w:spacing w:after="0"/>
              <w:rPr>
                <w:sz w:val="20"/>
                <w:szCs w:val="20"/>
                <w:color w:val="auto"/>
              </w:rPr>
            </w:pPr>
            <w:r>
              <w:rPr>
                <w:rFonts w:ascii="Arial" w:cs="Arial" w:eastAsia="Arial" w:hAnsi="Arial"/>
                <w:sz w:val="18"/>
                <w:szCs w:val="18"/>
                <w:b w:val="1"/>
                <w:bCs w:val="1"/>
                <w:color w:val="auto"/>
                <w:w w:val="89"/>
              </w:rPr>
              <w:t>Six Months Ended June 30, 2009</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Excluding</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Excluding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Impact of FSP</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5"/>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Impact of FSP</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As Reported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14-1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0"/>
              </w:rPr>
              <w:t>(in</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14-1</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As Reported</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4"/>
            <w:vMerge w:val="continue"/>
          </w:tcPr>
          <w:p>
            <w:pPr>
              <w:spacing w:after="0"/>
              <w:rPr>
                <w:sz w:val="19"/>
                <w:szCs w:val="19"/>
                <w:color w:val="auto"/>
              </w:rPr>
            </w:pPr>
          </w:p>
        </w:tc>
        <w:tc>
          <w:tcPr>
            <w:tcW w:w="270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8"/>
              </w:rPr>
              <w:t>thousands, except per share data)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(16,399)</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(14,074)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(28,349)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22,365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21,475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22,371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15,289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(loss) per common share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8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0.04</w:t>
            </w:r>
          </w:p>
        </w:tc>
        <w:tc>
          <w:tcPr>
            <w:tcW w:w="240" w:type="dxa"/>
            <w:vAlign w:val="bottom"/>
            <w:gridSpan w:val="4"/>
          </w:tcPr>
          <w:p>
            <w:pPr>
              <w:ind w:left="140"/>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0.44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94"/>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GAAP.</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(OCI) and are recognized in earnings when the hedged item affects earnings. If the derivative is a net investment hedge, the effective portion of any unrealized gain or loss is reported in accumulated OCI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We have one counterparty to our derivatives, which is a major international financial institution, with whom we have a master netting agreement; however, our derivative positions are not disclosed on a net basis. There are no credit-risk-related contingent features within our derivative instruments. Refer to Note 7 and Note 12 for further disclosures of our derivative instruments and their impact on comprehensive income.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and amortized over the term of the applicable lease, including renewable periods if reasonably assured, or over the useful lives, whichever is shorter.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have no assets held for sale.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first becomes convertible as in the case of our convertible notes, the related portion of unamortized prepaid debt fees is written-off and included in interest expense in the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 results of operations are also included as of the date of acquisition in the consolidated results. Intangible assets that arise from contractual/legal rights, or are capable of being separated, as well as in-process research and development (IPR&amp;D), are measured and recorded at fair value.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We will capitalize any future IPR&amp;D as an intangible asset and amortize the balance over its estimated useful life (prior to January 1, 2009, we expensed acquired IPR&amp;D in accordance with U.S. GAAP in effect at that time). The residual balance of the purchase price, after fair value allocations to all identified assets and liabilities, represents goodwill. Acquisition-related costs will be expensed as incurred. Restructuring costs are generally expensed in periods subsequent to the acquisition date, and changes in deferred tax asset valuation allowances and acquired income tax uncertainties after the measurement period are recognized as a component of provision for income taxes.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and intangible assets result from our acquisitions. We use estimates in determining and assigning the fair value of goodwill and intangible assets,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tested for impairment as of October 1 of each year, or more frequently if a significant impairment indicator occurs.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 Goodwill is assigned to our reporting units based on the expected benefit from the synergies arising from each business combination, determined by using certain financial metrics, including the incremental discounted cash flows associated with each reporting unit.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profit. The long-term warranty balance includes estimated warranty claims beyond one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jc w:val="right"/>
              <w:ind w:right="215"/>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3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34,838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41,803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32,841</w:t>
            </w:r>
          </w:p>
        </w:tc>
      </w:tr>
      <w:tr>
        <w:trPr>
          <w:trHeight w:val="216"/>
        </w:trPr>
        <w:tc>
          <w:tcPr>
            <w:tcW w:w="3540" w:type="dxa"/>
            <w:vAlign w:val="bottom"/>
          </w:tcPr>
          <w:p>
            <w:pPr>
              <w:ind w:left="140"/>
              <w:spacing w:after="0"/>
              <w:rPr>
                <w:sz w:val="20"/>
                <w:szCs w:val="20"/>
                <w:color w:val="auto"/>
              </w:rPr>
            </w:pPr>
            <w:r>
              <w:rPr>
                <w:rFonts w:ascii="Arial" w:cs="Arial" w:eastAsia="Arial" w:hAnsi="Arial"/>
                <w:sz w:val="18"/>
                <w:szCs w:val="18"/>
                <w:color w:val="auto"/>
              </w:rPr>
              <w:t>Adjustment of previous acquisition</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6,942</w:t>
            </w:r>
          </w:p>
        </w:tc>
      </w:tr>
      <w:tr>
        <w:trPr>
          <w:trHeight w:val="216"/>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product warranties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w:t>
            </w:r>
          </w:p>
        </w:tc>
      </w:tr>
      <w:tr>
        <w:trPr>
          <w:trHeight w:val="216"/>
        </w:trPr>
        <w:tc>
          <w:tcPr>
            <w:tcW w:w="3540" w:type="dxa"/>
            <w:vAlign w:val="bottom"/>
          </w:tcPr>
          <w:p>
            <w:pPr>
              <w:ind w:left="140"/>
              <w:spacing w:after="0"/>
              <w:rPr>
                <w:sz w:val="20"/>
                <w:szCs w:val="20"/>
                <w:color w:val="auto"/>
              </w:rPr>
            </w:pPr>
            <w:r>
              <w:rPr>
                <w:rFonts w:ascii="Arial" w:cs="Arial" w:eastAsia="Arial" w:hAnsi="Arial"/>
                <w:sz w:val="18"/>
                <w:szCs w:val="18"/>
                <w:color w:val="auto"/>
              </w:rPr>
              <w:t>Other changes/adjustments to warranties</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2,388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r>
      <w:tr>
        <w:trPr>
          <w:trHeight w:val="216"/>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Claims activity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(3,936)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(7,516)</w:t>
            </w:r>
          </w:p>
        </w:tc>
      </w:tr>
      <w:tr>
        <w:trPr>
          <w:trHeight w:val="216"/>
        </w:trPr>
        <w:tc>
          <w:tcPr>
            <w:tcW w:w="3540" w:type="dxa"/>
            <w:vAlign w:val="bottom"/>
          </w:tcPr>
          <w:p>
            <w:pPr>
              <w:ind w:left="140"/>
              <w:spacing w:after="0"/>
              <w:rPr>
                <w:sz w:val="20"/>
                <w:szCs w:val="20"/>
                <w:color w:val="auto"/>
              </w:rPr>
            </w:pPr>
            <w:r>
              <w:rPr>
                <w:rFonts w:ascii="Arial" w:cs="Arial" w:eastAsia="Arial" w:hAnsi="Arial"/>
                <w:sz w:val="18"/>
                <w:szCs w:val="18"/>
                <w:color w:val="auto"/>
              </w:rPr>
              <w:t>Effect of change in exchange rates</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r>
      <w:tr>
        <w:trPr>
          <w:trHeight w:val="20"/>
        </w:trPr>
        <w:tc>
          <w:tcPr>
            <w:tcW w:w="3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42,184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23,693</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23,693</w:t>
            </w:r>
          </w:p>
        </w:tc>
      </w:tr>
      <w:tr>
        <w:trPr>
          <w:trHeight w:val="20"/>
        </w:trPr>
        <w:tc>
          <w:tcPr>
            <w:tcW w:w="3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18,491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18,491</w:t>
            </w:r>
          </w:p>
        </w:tc>
      </w:tr>
      <w:tr>
        <w:trPr>
          <w:trHeight w:val="27"/>
        </w:trPr>
        <w:tc>
          <w:tcPr>
            <w:tcW w:w="35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Total warranty expense, which consists of new product warranties issued and other changes and adjustments to warranties, totaled approximately $3.1 million and $3.7 million for the three months ended June 30, 2009 and 2008, and approximately $6.2 million and $8.0 million for the six months ended June 30, 2009 and 2008, respectively. Warranty expense is classified within cost of revenues.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Changes in these factors and related estimates could materially affect our financial position and results of operations.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$5.2 million and $4.3 million for the three months ended June 30, 2009 and 2008, and approximately $10.0 million and $9.4 million for the six months ended June 30, 2009 and 2008, respectively. The IBNR accrual, which is included in wages and benefits payable, was $3.2 million and $3.0 million at June 30, 2009 and December 31, 2008, respectively. 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net of tax, the actuarial gains or losses and prior service costs or credits, if any, that arise during the period but are not recognized as components of net periodic benefit cost.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objective and reliable evidence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that is not contingent upon the delivery/performance of additional items.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recorded when a customer pays for products or services where the criteria for revenue recognition have not been met as of the balance sheet date. Deferred cost is recorded for products or services for which ownership (typically defined as title and risk of loss) has transferred to the customer, but for which the criteria for revenue recognition have not been met as of the balance sheet date. Previously recorded unearned revenue and deferred costs are recognized when the applicable revenue recognition criteria are met. Shipping and handling costs and incidental expenses billed to customers are recorded as revenue, with the associated cost charged to cost of revenues. We record sales, use, and value added taxes billed to our customers on a net basis in our Consolidated Statements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issued pursuant to our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adjusted for estimated forfeitures, using the straight-line method over the vesting requirement. A substantial portion of our stock-based compensation cannot be expensed for tax purposes. When we have tax deductions in excess of the compensation cost, they are classified as financing cash inflows in the Consolidated Statements of Cash Flows.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on Extinguishment of Debt, Net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partial or full redemption of our borrowings, we recognize a gain or loss for the difference between the cash paid and the net carrying amount of the debt. Included in the net carrying amount is any unamortized premium or discount from the original issuance of the debt. Due to the particular characteristics of our convertible notes, upon conversion or derecognition of our senior subordinated convertible notes, we recognize a gain or loss for the difference between the fair value of the consideration transferred to the holder that is allocated to the liability component, which is equal to the fair value of the liability component immediately prior to extinguishment, and the net carrying amount of the liability component (including any unamortized discount and debt issuance costs).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two primary objectives related to accounting for income taxes are to 1) recognize the amount of taxes payable or refundable for the current year and 2) recognize deferred tax liabilities and assets for the future tax consequences of events that have been recognized in our financial statements or tax returns. Deferred income taxes are recorded for the temporary differences between the financial reporting basis and tax basis of our assets and liabilities in each of the tax jurisdictions in which we operate. These deferred income taxes are measured using the tax rates expected to be in effect when the temporary differences reverse. We establish a valuation allowance for the deferred income tax asset when we believe it is more likely than not that a portion of such asset will not be realized. Deferred income tax liabilities have not been recorded on undistributed earnings of international subsidiaries that are permanently reinvested.</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whether our tax benefits claimed or expected to be claimed on a tax return should be recorded in the financial statements. We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We classify interest expense and penalties related to uncertain tax positions and interest income on tax overpayments as components of income tax expense.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condensed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Gains and losses that arise from exchange rate fluctuations for asset and liability balances that are not denominated in an entity’s functional currency are included in the Consolidated Statements of Operations. Currency gains and losses of intercompany balances deemed to be long-term in nature or designated as a hedge of the net investment in international subsidiaries are included, net of tax, in accumulated other comprehensive income in shareholders’ equity. Revenues and expenses for these subsidiaries are translated to U.S. dollars using a weighted average rate for the relevant reporting period. Translation adjustments resulting from this process are included, net of tax, in accumulated OCI in shareholders’ equity.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For fair value measurements using Level 3 inputs, a reconciliation of the beginning and ending balances is required. FSP FAS 157-2, </w:t>
      </w:r>
      <w:r>
        <w:rPr>
          <w:rFonts w:ascii="Arial" w:cs="Arial" w:eastAsia="Arial" w:hAnsi="Arial"/>
          <w:sz w:val="16"/>
          <w:szCs w:val="16"/>
          <w:i w:val="1"/>
          <w:iCs w:val="1"/>
          <w:color w:val="auto"/>
        </w:rPr>
        <w:t>Effective Date of FASB Statement 157</w:t>
      </w:r>
      <w:r>
        <w:rPr>
          <w:rFonts w:ascii="Arial" w:cs="Arial" w:eastAsia="Arial" w:hAnsi="Arial"/>
          <w:sz w:val="16"/>
          <w:szCs w:val="16"/>
          <w:color w:val="auto"/>
        </w:rPr>
        <w:t xml:space="preserve">, which delayed the effective date of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w:t>
      </w:r>
    </w:p>
    <w:p>
      <w:pPr>
        <w:spacing w:after="0" w:line="4" w:lineRule="exact"/>
        <w:rPr>
          <w:sz w:val="20"/>
          <w:szCs w:val="20"/>
          <w:color w:val="auto"/>
        </w:rPr>
      </w:pPr>
    </w:p>
    <w:p>
      <w:pPr>
        <w:ind w:right="20" w:firstLine="8"/>
        <w:spacing w:after="0" w:line="261" w:lineRule="auto"/>
        <w:tabs>
          <w:tab w:leader="none" w:pos="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nonfinancial assets and nonfinancial liabilities, except those that are recognized or disclosed at fair value in the financial statements on a recurring basis (at least annually), became effective as of January 1, 2009.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Change in Accounting Principle</w:t>
      </w:r>
      <w:r>
        <w:rPr>
          <w:rFonts w:ascii="Arial" w:cs="Arial" w:eastAsia="Arial" w:hAnsi="Arial"/>
          <w:sz w:val="18"/>
          <w:szCs w:val="18"/>
          <w:color w:val="auto"/>
        </w:rPr>
        <w:t xml:space="preserve"> for the impact of the adoption of FSP 14-1.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SFAS 168, </w:t>
      </w:r>
      <w:r>
        <w:rPr>
          <w:rFonts w:ascii="Arial" w:cs="Arial" w:eastAsia="Arial" w:hAnsi="Arial"/>
          <w:sz w:val="18"/>
          <w:szCs w:val="18"/>
          <w:i w:val="1"/>
          <w:iCs w:val="1"/>
          <w:color w:val="auto"/>
        </w:rPr>
        <w:t>The FASB Accounting Standards Codification™ and the Hierarchy of Generally Accepted Accounting Principles a replacement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162, </w:t>
      </w:r>
      <w:r>
        <w:rPr>
          <w:rFonts w:ascii="Arial" w:cs="Arial" w:eastAsia="Arial" w:hAnsi="Arial"/>
          <w:sz w:val="18"/>
          <w:szCs w:val="18"/>
          <w:color w:val="auto"/>
        </w:rPr>
        <w:t>establishes the FASB Accounting Standards Codification (the Codification) as the single source of authoritative nongovernmental GAAP. The</w:t>
      </w:r>
      <w:r>
        <w:rPr>
          <w:rFonts w:ascii="Arial" w:cs="Arial" w:eastAsia="Arial" w:hAnsi="Arial"/>
          <w:sz w:val="18"/>
          <w:szCs w:val="18"/>
          <w:i w:val="1"/>
          <w:iCs w:val="1"/>
          <w:color w:val="auto"/>
        </w:rPr>
        <w:t xml:space="preserve"> </w:t>
      </w:r>
      <w:r>
        <w:rPr>
          <w:rFonts w:ascii="Arial" w:cs="Arial" w:eastAsia="Arial" w:hAnsi="Arial"/>
          <w:sz w:val="18"/>
          <w:szCs w:val="18"/>
          <w:color w:val="auto"/>
        </w:rPr>
        <w:t>Codification is effective for interim and annual periods ending after September 15, 2009 and is not intended to modify existing GAAP. As of July 1, 2009 for Itron, only one level of authoritative GAAP exists, other than guidance issued by the SEC. All other accounting literature is non-authoritative. We will include Codification references in our September 30, 2009 Quarterly Report on Form 10-Q.</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December 2008, the FASB issued FSP FAS 132(R)-1, </w:t>
      </w:r>
      <w:r>
        <w:rPr>
          <w:rFonts w:ascii="Arial" w:cs="Arial" w:eastAsia="Arial" w:hAnsi="Arial"/>
          <w:sz w:val="17"/>
          <w:szCs w:val="17"/>
          <w:i w:val="1"/>
          <w:iCs w:val="1"/>
          <w:color w:val="auto"/>
        </w:rPr>
        <w:t>Employers’ Disclosures about Postretirement Benefit Plan Assets,</w:t>
      </w:r>
      <w:r>
        <w:rPr>
          <w:rFonts w:ascii="Arial" w:cs="Arial" w:eastAsia="Arial" w:hAnsi="Arial"/>
          <w:sz w:val="17"/>
          <w:szCs w:val="17"/>
          <w:color w:val="auto"/>
        </w:rPr>
        <w:t xml:space="preserve"> which amends SFAS 132(R), </w:t>
      </w:r>
      <w:r>
        <w:rPr>
          <w:rFonts w:ascii="Arial" w:cs="Arial" w:eastAsia="Arial" w:hAnsi="Arial"/>
          <w:sz w:val="17"/>
          <w:szCs w:val="17"/>
          <w:i w:val="1"/>
          <w:iCs w:val="1"/>
          <w:color w:val="auto"/>
        </w:rPr>
        <w:t>Employer’s Disclosures about Pensions and Other Postretirement Benefits</w:t>
      </w:r>
      <w:r>
        <w:rPr>
          <w:rFonts w:ascii="Arial" w:cs="Arial" w:eastAsia="Arial" w:hAnsi="Arial"/>
          <w:sz w:val="17"/>
          <w:szCs w:val="17"/>
          <w:color w:val="auto"/>
        </w:rPr>
        <w:t>, to require additional fair value disclosures about assets held in an employer’s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benefit pension or other postretirement plan. This FSP is effective for our December 31, 2009 Annual Report on Form 10-K.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June 2009, the FASB issued SFAS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This Statement requires an enterprise to perform additional analyses to assess variable interest entities (VIE’s) and the enterprise’s involvement with these entities, as well provide additional disclosures. SFAS 167 will be effective for Itron on January 1, 2010. We do not expect SFAS 167 to have a material impact to our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72"/>
              </w:rPr>
              <w:t>(in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7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thousands, except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11,089</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36,968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Dilutive effect of stock-based awards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Dilutive effect of convertible notes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36,968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2009, we completed exchanges with certain holders of our convertible notes in which we issued, in the aggregate, approximately 2.3 million shares of common stock valued at $132.9 million, in exchange for, in the aggregate, $121.0 million principal amount of the convertible notes. See Note 6 for further discussion.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On June 3, 2009, we completed an underwritten public offering of approximately 3.2 million shares of common stock for net proceeds of $160.4 million.</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 for the six months ended June 30, 2009, there was no dilutive effect to the weighted average common shares outstanding. Approximately 671,000 and 188,000 stock-based awards were excluded from the calculation of diluted EPS for the three months ended June 30, 2009 and 2008, and approximately 1.0 million and 121,000 stock-based awards were excluded from the calculation of diluted EPS for the six months ended June 30, 2009 and 2008 because they were anti-dilutive. These stock-based awards could be dilutive in future periods.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the amount of shares it would take to satisfy the conversion obligation, assuming that all of the convertible notes are converted. The average closing prices of our common stock for the three and six months ended June 30, 2009 and 2008 are used as the basis for determining the dilutive effect on EPS. The average price of our common stock for the three and six months ended June 30, 2009 did not exceed the conversion price of $65.16 and, therefore, did not have an effect on diluted earnings per share. The average price of our common stock for the three and six months ended June 30, 2008 exceeded the conversion price of $65.16 and, therefore, approximately 1.7 million and 1.5 million shares, respectively, were included as dilutive shares in the calculation of diluted EPS.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as set by the Board of Directors. There was no preferred stock sold or outstanding at June 30, 2009 and December 31, 2008.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4720" w:type="dxa"/>
            <w:vAlign w:val="bottom"/>
          </w:tcPr>
          <w:p>
            <w:pPr>
              <w:ind w:left="140"/>
              <w:spacing w:after="0"/>
              <w:rPr>
                <w:sz w:val="20"/>
                <w:szCs w:val="20"/>
                <w:color w:val="auto"/>
              </w:rPr>
            </w:pPr>
            <w:r>
              <w:rPr>
                <w:rFonts w:ascii="Arial" w:cs="Arial" w:eastAsia="Arial" w:hAnsi="Arial"/>
                <w:sz w:val="18"/>
                <w:szCs w:val="18"/>
                <w:i w:val="1"/>
                <w:iCs w:val="1"/>
                <w:color w:val="auto"/>
              </w:rPr>
              <w:t>Accounts receivable, net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At June 30,</w:t>
            </w:r>
          </w:p>
        </w:tc>
        <w:tc>
          <w:tcPr>
            <w:tcW w:w="10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r>
      <w:tr>
        <w:trPr>
          <w:trHeight w:val="234"/>
        </w:trPr>
        <w:tc>
          <w:tcPr>
            <w:tcW w:w="4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10"/>
        </w:trPr>
        <w:tc>
          <w:tcPr>
            <w:tcW w:w="4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$7,271 and $5,954)</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306,593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Unbilled revenue</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14,685</w:t>
            </w:r>
          </w:p>
        </w:tc>
        <w:tc>
          <w:tcPr>
            <w:tcW w:w="120" w:type="dxa"/>
            <w:vAlign w:val="bottom"/>
          </w:tcPr>
          <w:p>
            <w:pPr>
              <w:spacing w:after="0"/>
              <w:rPr>
                <w:sz w:val="18"/>
                <w:szCs w:val="18"/>
                <w:color w:val="auto"/>
              </w:rPr>
            </w:pPr>
          </w:p>
        </w:tc>
      </w:tr>
      <w:tr>
        <w:trPr>
          <w:trHeight w:val="217"/>
        </w:trPr>
        <w:tc>
          <w:tcPr>
            <w:tcW w:w="47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accounts receivable, net</w:t>
            </w: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311,338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321,278</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allowance for doubtful accounts activity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62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3"/>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r>
      <w:tr>
        <w:trPr>
          <w:trHeight w:val="210"/>
        </w:trPr>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5,920</w:t>
            </w:r>
          </w:p>
        </w:tc>
      </w:tr>
      <w:tr>
        <w:trPr>
          <w:trHeight w:val="216"/>
        </w:trPr>
        <w:tc>
          <w:tcPr>
            <w:tcW w:w="4720" w:type="dxa"/>
            <w:vAlign w:val="bottom"/>
          </w:tcPr>
          <w:p>
            <w:pPr>
              <w:ind w:left="6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743</w:t>
            </w:r>
          </w:p>
        </w:tc>
      </w:tr>
      <w:tr>
        <w:trPr>
          <w:trHeight w:val="216"/>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charged off</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r>
      <w:tr>
        <w:trPr>
          <w:trHeight w:val="216"/>
        </w:trPr>
        <w:tc>
          <w:tcPr>
            <w:tcW w:w="4720" w:type="dxa"/>
            <w:vAlign w:val="bottom"/>
          </w:tcPr>
          <w:p>
            <w:pPr>
              <w:ind w:left="680"/>
              <w:spacing w:after="0"/>
              <w:rPr>
                <w:sz w:val="20"/>
                <w:szCs w:val="20"/>
                <w:color w:val="auto"/>
              </w:rPr>
            </w:pPr>
            <w:r>
              <w:rPr>
                <w:rFonts w:ascii="Arial" w:cs="Arial" w:eastAsia="Arial" w:hAnsi="Arial"/>
                <w:sz w:val="18"/>
                <w:szCs w:val="18"/>
                <w:color w:val="auto"/>
              </w:rPr>
              <w:t>Effects of change in exchange rates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r>
      <w:tr>
        <w:trPr>
          <w:trHeight w:val="20"/>
        </w:trPr>
        <w:tc>
          <w:tcPr>
            <w:tcW w:w="4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6,408</w:t>
            </w:r>
          </w:p>
        </w:tc>
      </w:tr>
      <w:tr>
        <w:trPr>
          <w:trHeight w:val="27"/>
        </w:trPr>
        <w:tc>
          <w:tcPr>
            <w:tcW w:w="4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ind w:left="140"/>
              <w:spacing w:after="0"/>
              <w:rPr>
                <w:sz w:val="20"/>
                <w:szCs w:val="20"/>
                <w:color w:val="auto"/>
              </w:rPr>
            </w:pPr>
            <w:r>
              <w:rPr>
                <w:rFonts w:ascii="Arial" w:cs="Arial" w:eastAsia="Arial" w:hAnsi="Arial"/>
                <w:sz w:val="18"/>
                <w:szCs w:val="18"/>
                <w:i w:val="1"/>
                <w:iCs w:val="1"/>
                <w:color w:val="auto"/>
              </w:rPr>
              <w:t>Inventories</w:t>
            </w: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At June 30,</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85,153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14,556</w:t>
            </w: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7"/>
        </w:trPr>
        <w:tc>
          <w:tcPr>
            <w:tcW w:w="5240" w:type="dxa"/>
            <w:vAlign w:val="bottom"/>
          </w:tcPr>
          <w:p>
            <w:pPr>
              <w:ind w:left="104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165,785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164,210</w:t>
            </w:r>
          </w:p>
        </w:tc>
        <w:tc>
          <w:tcPr>
            <w:tcW w:w="1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inventory levels may vary period to period as a result of our factory scheduling and timing of contract fulfillments.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purchased by the third-party. Consigned inventory, consisting of raw materials and finished goods, was $15.6 million and $19.1 million at June 30, 2009 and December 31, 2008,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ind w:left="140"/>
              <w:spacing w:after="0"/>
              <w:rPr>
                <w:sz w:val="20"/>
                <w:szCs w:val="20"/>
                <w:color w:val="auto"/>
              </w:rPr>
            </w:pPr>
            <w:r>
              <w:rPr>
                <w:rFonts w:ascii="Arial" w:cs="Arial" w:eastAsia="Arial" w:hAnsi="Arial"/>
                <w:sz w:val="18"/>
                <w:szCs w:val="18"/>
                <w:i w:val="1"/>
                <w:iCs w:val="1"/>
                <w:color w:val="auto"/>
              </w:rPr>
              <w:t>Property, plant, and equipment, net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At June 30,</w:t>
            </w: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At December 31,</w:t>
            </w:r>
          </w:p>
        </w:tc>
      </w:tr>
      <w:tr>
        <w:trPr>
          <w:trHeight w:val="234"/>
        </w:trPr>
        <w:tc>
          <w:tcPr>
            <w:tcW w:w="4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217,740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64,717</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62,525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128,469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134,316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Land</w:t>
            </w: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36,130</w:t>
            </w:r>
          </w:p>
        </w:tc>
        <w:tc>
          <w:tcPr>
            <w:tcW w:w="120" w:type="dxa"/>
            <w:vAlign w:val="bottom"/>
          </w:tcPr>
          <w:p>
            <w:pPr>
              <w:spacing w:after="0"/>
              <w:rPr>
                <w:sz w:val="18"/>
                <w:szCs w:val="18"/>
                <w:color w:val="auto"/>
              </w:rPr>
            </w:pPr>
          </w:p>
        </w:tc>
      </w:tr>
      <w:tr>
        <w:trPr>
          <w:trHeight w:val="21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481,747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450,711</w:t>
            </w: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Accumulated depreciation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(169,279)</w:t>
            </w:r>
          </w:p>
        </w:tc>
        <w:tc>
          <w:tcPr>
            <w:tcW w:w="1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(142,994)</w:t>
            </w:r>
          </w:p>
        </w:tc>
      </w:tr>
      <w:tr>
        <w:trPr>
          <w:trHeight w:val="217"/>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312,468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307,717</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$14.0 million and $13.6 million for the three months ended June 30, 2009 and 2008, and $26.7 million for each of the six months ended June 30, 2009 and 2008.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4"/>
              </w:rPr>
              <w:t>At June 30, 2009</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At December 31, 2008</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2"/>
              </w:rPr>
              <w:t>Gross Assets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7"/>
              </w:rPr>
              <w:t>Gross Assets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392,842</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177,662</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394,912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(188,953)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205,959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contracts and relationships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298,805</w:t>
            </w:r>
          </w:p>
        </w:tc>
        <w:tc>
          <w:tcPr>
            <w:tcW w:w="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(73,459)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225,346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299,928</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(56,966)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242,962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(51,397)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76,766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24,582</w:t>
            </w:r>
          </w:p>
        </w:tc>
        <w:tc>
          <w:tcPr>
            <w:tcW w:w="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(22,886)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24,630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(22,580)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r>
      <w:tr>
        <w:trPr>
          <w:trHeight w:val="20"/>
        </w:trPr>
        <w:tc>
          <w:tcPr>
            <w:tcW w:w="3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792,551</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(362,922)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429,629</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796,236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(314,350)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481,886</w:t>
            </w:r>
          </w:p>
        </w:tc>
      </w:tr>
      <w:tr>
        <w:trPr>
          <w:trHeight w:val="27"/>
        </w:trPr>
        <w:tc>
          <w:tcPr>
            <w:tcW w:w="3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00" w:type="dxa"/>
            <w:vAlign w:val="bottom"/>
            <w:gridSpan w:val="7"/>
          </w:tcPr>
          <w:p>
            <w:pPr>
              <w:jc w:val="right"/>
              <w:ind w:right="215"/>
              <w:spacing w:after="0"/>
              <w:rPr>
                <w:sz w:val="20"/>
                <w:szCs w:val="20"/>
                <w:color w:val="auto"/>
              </w:rPr>
            </w:pPr>
            <w:r>
              <w:rPr>
                <w:rFonts w:ascii="Arial" w:cs="Arial" w:eastAsia="Arial" w:hAnsi="Arial"/>
                <w:sz w:val="18"/>
                <w:szCs w:val="18"/>
                <w:b w:val="1"/>
                <w:bCs w:val="1"/>
                <w:color w:val="auto"/>
                <w:w w:val="93"/>
              </w:rPr>
              <w:t>Three Months Ended June 30,</w:t>
            </w:r>
          </w:p>
        </w:tc>
        <w:tc>
          <w:tcPr>
            <w:tcW w:w="160" w:type="dxa"/>
            <w:vAlign w:val="bottom"/>
          </w:tcPr>
          <w:p>
            <w:pPr>
              <w:spacing w:after="0"/>
              <w:rPr>
                <w:sz w:val="20"/>
                <w:szCs w:val="20"/>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59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88"/>
              </w:rPr>
              <w:t>Beginning balance, intangible assets, gross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762,268</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863,290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796,236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jc w:val="right"/>
              <w:ind w:right="1010"/>
              <w:spacing w:after="0"/>
              <w:rPr>
                <w:sz w:val="20"/>
                <w:szCs w:val="20"/>
                <w:color w:val="auto"/>
              </w:rPr>
            </w:pPr>
            <w:r>
              <w:rPr>
                <w:rFonts w:ascii="Arial" w:cs="Arial" w:eastAsia="Arial" w:hAnsi="Arial"/>
                <w:sz w:val="18"/>
                <w:szCs w:val="18"/>
                <w:color w:val="auto"/>
              </w:rPr>
              <w:t>Adjustment of previous acquisitions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Effect of change in exchange rates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jc w:val="right"/>
              <w:ind w:right="1150"/>
              <w:spacing w:after="0"/>
              <w:rPr>
                <w:sz w:val="20"/>
                <w:szCs w:val="20"/>
                <w:color w:val="auto"/>
              </w:rPr>
            </w:pPr>
            <w:r>
              <w:rPr>
                <w:rFonts w:ascii="Arial" w:cs="Arial" w:eastAsia="Arial" w:hAnsi="Arial"/>
                <w:sz w:val="18"/>
                <w:szCs w:val="18"/>
                <w:color w:val="auto"/>
                <w:w w:val="87"/>
              </w:rPr>
              <w:t>Ending balance, intangible assets, gross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792,551</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864,049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792,551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864,049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2008, intangible assets were adjusted by $70.0 million based on our completion of the fair value assessment associated with the Actaris Metering Systems SA (Actaris) acquisition in 2007.</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Intangible assets are recorded in the functional currency of our international subsidiaries; therefore, the carrying amount of intangible assets increase or decrease, with a corresponding change in accumulated other comprehensive income, due to changes in foreign currency exchange rates. Intangible asset amortization expense was $24.2 million and $31.5 million for the three months ended June 30, 2009 and 2008, and $47.7 million and $62.7 million for the six months ended June 30, 2009 and 2008,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Estimated Annual</w:t>
            </w:r>
          </w:p>
        </w:tc>
      </w:t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r>
      <w:tr>
        <w:trPr>
          <w:trHeight w:val="210"/>
        </w:trPr>
        <w:tc>
          <w:tcPr>
            <w:tcW w:w="3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2009 (amount remaining at June 30,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49,626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71,897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61,544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47,531</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Beyond 2013</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160,525</w:t>
            </w:r>
          </w:p>
        </w:tc>
        <w:tc>
          <w:tcPr>
            <w:tcW w:w="120" w:type="dxa"/>
            <w:vAlign w:val="bottom"/>
          </w:tcPr>
          <w:p>
            <w:pPr>
              <w:spacing w:after="0"/>
              <w:rPr>
                <w:sz w:val="18"/>
                <w:szCs w:val="18"/>
                <w:color w:val="auto"/>
              </w:rPr>
            </w:pPr>
          </w:p>
        </w:tc>
      </w:tr>
      <w:tr>
        <w:trPr>
          <w:trHeight w:val="21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429,629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June 30,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Itron North</w:t>
            </w:r>
          </w:p>
        </w:tc>
        <w:tc>
          <w:tcPr>
            <w:tcW w:w="1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Itron</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International</w:t>
            </w: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185,869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1,080,264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Adjustment of previous acquisitions</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57,803</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Goodwill balance at June 30,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185,555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1,230,750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1,416,305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Goodwill balance at January 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184,535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1,101,318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1,285,853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of previous acquisitions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Effect of change in exchange rates</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(10,286)</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June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187,232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1,091,032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2009, we made refinements to our management reporting and geographic reporting structure between our International and North America operations. Itron North America now includes sales of gas and water meters in North America, which were previously part of Itron International. The allocation of goodwill to our reporting units is based on our current segment reporting structure; therefore we have reallocated $57.5 million between the operating segments. Historical segment information has been restated from the segment information previously provided to conform to our current segment reporting structure after the refinement.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2009, $2.1 million of contingent consideration became payable associated with two acquisitions in 2006, which is reflected as an </w:t>
      </w:r>
      <w:r>
        <w:rPr>
          <w:rFonts w:ascii="Arial" w:cs="Arial" w:eastAsia="Arial" w:hAnsi="Arial"/>
          <w:sz w:val="18"/>
          <w:szCs w:val="18"/>
          <w:i w:val="1"/>
          <w:iCs w:val="1"/>
          <w:color w:val="auto"/>
        </w:rPr>
        <w:t>adjustment of previous</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In 2008, the </w:t>
      </w:r>
      <w:r>
        <w:rPr>
          <w:rFonts w:ascii="Arial" w:cs="Arial" w:eastAsia="Arial" w:hAnsi="Arial"/>
          <w:sz w:val="18"/>
          <w:szCs w:val="18"/>
          <w:i w:val="1"/>
          <w:iCs w:val="1"/>
          <w:color w:val="auto"/>
        </w:rPr>
        <w:t>adjustment of previous acquisitions</w:t>
      </w:r>
      <w:r>
        <w:rPr>
          <w:rFonts w:ascii="Arial" w:cs="Arial" w:eastAsia="Arial" w:hAnsi="Arial"/>
          <w:sz w:val="18"/>
          <w:szCs w:val="18"/>
          <w:color w:val="auto"/>
        </w:rPr>
        <w:t xml:space="preserve"> represents an adjustment to goodwill associated with the 2007 Actaris acquisition based on our final determination of fair values of certain assets acquired and liabilities assumed.</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55"/>
              <w:spacing w:after="0"/>
              <w:rPr>
                <w:sz w:val="20"/>
                <w:szCs w:val="20"/>
                <w:color w:val="auto"/>
              </w:rPr>
            </w:pPr>
            <w:r>
              <w:rPr>
                <w:rFonts w:ascii="Arial" w:cs="Arial" w:eastAsia="Arial" w:hAnsi="Arial"/>
                <w:sz w:val="18"/>
                <w:szCs w:val="18"/>
                <w:b w:val="1"/>
                <w:bCs w:val="1"/>
                <w:color w:val="auto"/>
                <w:w w:val="91"/>
              </w:rPr>
              <w:t>At 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At December 31,</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140" w:type="dxa"/>
            <w:vAlign w:val="bottom"/>
            <w:vMerge w:val="restart"/>
          </w:tcPr>
          <w:p>
            <w:pPr>
              <w:spacing w:after="0"/>
              <w:rPr>
                <w:sz w:val="20"/>
                <w:szCs w:val="20"/>
                <w:color w:val="auto"/>
              </w:rPr>
            </w:pPr>
            <w:r>
              <w:rPr>
                <w:rFonts w:ascii="Arial" w:cs="Arial" w:eastAsia="Arial" w:hAnsi="Arial"/>
                <w:sz w:val="18"/>
                <w:szCs w:val="18"/>
                <w:color w:val="auto"/>
              </w:rPr>
              <w:t>Term loans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860"/>
              <w:spacing w:after="0"/>
              <w:rPr>
                <w:sz w:val="20"/>
                <w:szCs w:val="20"/>
                <w:color w:val="auto"/>
              </w:rPr>
            </w:pPr>
            <w:r>
              <w:rPr>
                <w:rFonts w:ascii="Arial" w:cs="Arial" w:eastAsia="Arial" w:hAnsi="Arial"/>
                <w:sz w:val="18"/>
                <w:szCs w:val="18"/>
                <w:b w:val="1"/>
                <w:bCs w:val="1"/>
                <w:color w:val="auto"/>
              </w:rPr>
              <w:t>(in</w:t>
            </w:r>
          </w:p>
        </w:tc>
        <w:tc>
          <w:tcPr>
            <w:tcW w:w="1740" w:type="dxa"/>
            <w:vAlign w:val="bottom"/>
            <w:gridSpan w:val="4"/>
          </w:tcPr>
          <w:p>
            <w:pPr>
              <w:jc w:val="right"/>
              <w:ind w:right="970"/>
              <w:spacing w:after="0"/>
              <w:rPr>
                <w:sz w:val="20"/>
                <w:szCs w:val="20"/>
                <w:color w:val="auto"/>
              </w:rPr>
            </w:pPr>
            <w:r>
              <w:rPr>
                <w:rFonts w:ascii="Arial" w:cs="Arial" w:eastAsia="Arial" w:hAnsi="Arial"/>
                <w:sz w:val="17"/>
                <w:szCs w:val="17"/>
                <w:b w:val="1"/>
                <w:bCs w:val="1"/>
                <w:color w:val="auto"/>
                <w:w w:val="71"/>
              </w:rPr>
              <w:t>thousands)</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327,717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375,744</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80"/>
              <w:spacing w:after="0"/>
              <w:rPr>
                <w:sz w:val="20"/>
                <w:szCs w:val="20"/>
                <w:color w:val="auto"/>
              </w:rPr>
            </w:pPr>
            <w:r>
              <w:rPr>
                <w:rFonts w:ascii="Arial" w:cs="Arial" w:eastAsia="Arial" w:hAnsi="Arial"/>
                <w:sz w:val="18"/>
                <w:szCs w:val="18"/>
                <w:color w:val="auto"/>
              </w:rPr>
              <w:t>EUR denominated term loan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5"/>
              <w:spacing w:after="0"/>
              <w:rPr>
                <w:sz w:val="20"/>
                <w:szCs w:val="20"/>
                <w:color w:val="auto"/>
              </w:rPr>
            </w:pPr>
            <w:r>
              <w:rPr>
                <w:rFonts w:ascii="Arial" w:cs="Arial" w:eastAsia="Arial" w:hAnsi="Arial"/>
                <w:sz w:val="18"/>
                <w:szCs w:val="18"/>
                <w:color w:val="auto"/>
              </w:rPr>
              <w:t>333,702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360,494</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subordinated notes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203,391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306,337</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Senior subordinated notes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5"/>
              <w:spacing w:after="0"/>
              <w:rPr>
                <w:sz w:val="20"/>
                <w:szCs w:val="20"/>
                <w:color w:val="auto"/>
              </w:rPr>
            </w:pPr>
            <w:r>
              <w:rPr>
                <w:rFonts w:ascii="Arial" w:cs="Arial" w:eastAsia="Arial" w:hAnsi="Arial"/>
                <w:sz w:val="18"/>
                <w:szCs w:val="18"/>
                <w:color w:val="auto"/>
              </w:rPr>
              <w:t>109,246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109,192</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974,056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1,151,767</w:t>
            </w:r>
          </w:p>
        </w:tc>
        <w:tc>
          <w:tcPr>
            <w:tcW w:w="12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Current portion of debt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(120,004)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(10,769)</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854,052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1,140,998</w:t>
            </w:r>
          </w:p>
        </w:tc>
        <w:tc>
          <w:tcPr>
            <w:tcW w:w="12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31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Actaris acquisition in 2007 was financed in part by a $1.2 billion credit facility. The credit facility, dated April 18, 2007, was composed of a $605.1 million first lien U.S. dollar denominated term loan; a €335 million first lien euro denominated term loan; a £50 million first lien pound sterling denominated term loan (collectively the term loans); and a $115 million multicurrency revolving line-of-credit (revolver). Our loan balances denominated in currencies other than the U.S. dollar fluctuate due to currency exchange rates. The principal balance of our euro denominated term loan at June 30, 2009 and December 31, 2008 was €237.5 million and €254.1 million, respectively. Interest rates on the credit facility are based on the respective borrowing’s denominated London Interbank Offered Rate (LIBOR) or the Wells Fargo Bank, National Association’s prime rate, plus an additional margin subject to our consolidated leverage ratio. Our interest rates were 3.82% for the U.S. dollar denominated and 5.03% for the euro denominated term loans at June 30, 2009.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The credit facility is secured by substantially all of the assets of Itron, Inc., our operating subsidiaries, except our international subsidiaries, and includes covenants, which contain certain financial ratios and place restrictions on the incurrence of debt, the payment of dividends, certain investments, incurrence of capital expenditures above a set limit, and mergers. On April 24, 2009, we completed an amendment to our credit facility, which adjusted the maximum total leverage ratio and the minimum interest coverage ratio thresholds to increase operational flexibility. The amendment also provided an uncommitted option to increase the $115 million multicurrency revolving line-of-credit by an additional $75 million without a further amendment to the credit facility. The additional interest rate margin increased from 1.75% at December 31, 2008 to 3.50% at June 30, 2009. Prepaid debt fees of approximately $3.7 million were capitalized for the amendment and legal and advisory fees of $1.5 million were expensed as the amendment did not substantially modify the original terms of the loan. At June 30, 2009, we were in compliance with the debt covenants under this credit facility.</w:t>
      </w: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2009, there were no borrowings outstanding under the revolver and $51.3 million was utilized by outstanding standby letters of credit resulting in $63.7 million being available for additional borrowings.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repaid $2.7 million and $70.2 million of the term loans during the three and six months end June 30, 2009, respectively. Repayments of $298.6 million and $345.3 million were made during the three and six months ended June 30, 2008,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2004, we issued $125 million of 7.75% senior subordinated notes (subordinated notes) due in 2012, which were discounted to a price of 99.265 to yield 7.875%. On July 17, 2009 we redeemed all of our outstanding notes at a redemption price of 101.938% of the principal amount of the notes plus accrued and unpaid interest. As of July 17, 2009, the principal amount of the notes was $109.6 million. See Note 16 for a further discussion. The subordinated notes were registered with the SEC.</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 (filed with the SEC on November 6, 2006 as Exhibit 4.16 to our Quarterly Report on Form 10-Q):</w:t>
      </w:r>
    </w:p>
    <w:p>
      <w:pPr>
        <w:spacing w:after="0" w:line="208" w:lineRule="exact"/>
        <w:rPr>
          <w:sz w:val="20"/>
          <w:szCs w:val="20"/>
          <w:color w:val="auto"/>
        </w:rPr>
      </w:pPr>
    </w:p>
    <w:p>
      <w:pPr>
        <w:ind w:left="980" w:hanging="180"/>
        <w:spacing w:after="0" w:line="25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1"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1"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June 30, 2009 was $55.07.</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after August 1, 2011, we have the option to redeem all or a portion of the convertible notes at a redemption price equal to 100% of the principal amount plus accrued and unpaid interest.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all of our operating subsidiaries, except for our international subsidiaries. The convertible notes contain covenants, which place restrictions on the incurrence of debt and certain mergers. We were in compliance with these debt covenants at June 30, 2009.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stock price is subject to fluctuation, the contingent conversion threshold may be triggered during any quarter, prior to July 2011, and the notes become convertible. At June 30, 2009 and December 31, 2008, the contingent conversion threshold was not exceeded and, therefore, the aggregate principal amount of the convertible notes is included in long-term debt.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2009, we adopted FSP 14-1, which requires the convertible debt to be separated between its liability and equity components, in a manner that reflects our non-convertible debt borrowing rate, determined to be 7.38% at the time of the issuance of the convertible notes, and must be applied retroactively to all periods presented. See Note 1 for disclosure about the financial statement impact of our adoption of FSP 14-1.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the debt and equity components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55"/>
              <w:spacing w:after="0"/>
              <w:rPr>
                <w:sz w:val="20"/>
                <w:szCs w:val="20"/>
                <w:color w:val="auto"/>
              </w:rPr>
            </w:pPr>
            <w:r>
              <w:rPr>
                <w:rFonts w:ascii="Arial" w:cs="Arial" w:eastAsia="Arial" w:hAnsi="Arial"/>
                <w:sz w:val="18"/>
                <w:szCs w:val="18"/>
                <w:b w:val="1"/>
                <w:bCs w:val="1"/>
                <w:color w:val="auto"/>
                <w:w w:val="91"/>
              </w:rPr>
              <w:t>At 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8"/>
                <w:szCs w:val="18"/>
                <w:b w:val="1"/>
                <w:bCs w:val="1"/>
                <w:color w:val="auto"/>
              </w:rPr>
              <w:t>(in</w:t>
            </w:r>
          </w:p>
        </w:tc>
        <w:tc>
          <w:tcPr>
            <w:tcW w:w="1740" w:type="dxa"/>
            <w:vAlign w:val="bottom"/>
            <w:gridSpan w:val="4"/>
          </w:tcPr>
          <w:p>
            <w:pPr>
              <w:jc w:val="right"/>
              <w:ind w:right="970"/>
              <w:spacing w:after="0"/>
              <w:rPr>
                <w:sz w:val="20"/>
                <w:szCs w:val="20"/>
                <w:color w:val="auto"/>
              </w:rPr>
            </w:pPr>
            <w:r>
              <w:rPr>
                <w:rFonts w:ascii="Arial" w:cs="Arial" w:eastAsia="Arial" w:hAnsi="Arial"/>
                <w:sz w:val="17"/>
                <w:szCs w:val="17"/>
                <w:b w:val="1"/>
                <w:bCs w:val="1"/>
                <w:color w:val="auto"/>
                <w:w w:val="71"/>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Face value of convertible debt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223,604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Unamortized discount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(38,251)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carrying amount of debt component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203,391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31,831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interest rate on the liability component is 7.38%. For the three and six months ended June 30, 2009, the interest expense relating to both the contractual interest coupon and amortization of the discount on the liability component was $3.7 million and $7.9 million, respectively. For the three and six months ended June 30, 2008, the interest expense related to both the contractual interest coupon and the amortization of the discount on the liability component was $5.5 million and $10.9 million, respectively. Due to the combination of put, call, and conversion options that are part of the terms of the convertible note agreement, the remaining discount on the liability component will be amortized over 24 months.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All of the convertible notes we acquired pursuant to the exchange agreements were retired upon the closing of the exchanges.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exchange agreements were treated as induced conversions as the holders received a greater number of shares of common stock than would have been issued under the original conversion terms of the convertible notes. At the time of the exchange agreements, none of the conversion contingencies were met. Under the original terms of the convertible notes, the amount payable on conversion was to be paid in cash, and the remaining conversion obligation (stock price in excess of conversion price) was payable in cash or shares, at our option. Under the terms of the exchange agreements, all of the settlement was paid in shares. The difference in the value of the shares of common stock sold under the exchange agreement and the value of the shares used to derive the amount payable under the original conversion agreement resulted in a loss on extinguishment of debt of $23.3 million (the inducement loss). As required by FSP 14-1, upon derecognition of the convertible notes, we remeasured the fair value of the liability and equity components using a borrowing rate for similar non-convertible debt that would be applicable to us at the date of the exchange agreements. Because borrowing rates increased, the remeasurement of the components of the convertible notes resulted in a gain on extinguishment of $13.4 million (the revaluation gain). As a result, we recognized a net loss on extinguishment of debt of $10.3 million, calculated as the inducement loss, plus an allocation of advisory fees less the revaluation gain.</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 &amp; Accrued Interest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Prepaid debt fees for our outstanding borrowings are amortized over their respective terms using the effective interest method. Total unamortized prepaid debt fees were $14.5 million and $12.9 million at June 30, 2009 and December 31, 2008, respectively. Accrued interest expense was $3.5 million and $4.5 million at June 30, 2009 and December 31, 2008,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(Level 2), as defined by SFAS</w:t>
      </w:r>
    </w:p>
    <w:p>
      <w:pPr>
        <w:spacing w:after="0" w:line="46" w:lineRule="exact"/>
        <w:rPr>
          <w:sz w:val="20"/>
          <w:szCs w:val="20"/>
          <w:color w:val="auto"/>
        </w:rPr>
      </w:pPr>
    </w:p>
    <w:p>
      <w:pPr>
        <w:jc w:val="both"/>
        <w:ind w:firstLine="8"/>
        <w:spacing w:after="0" w:line="290" w:lineRule="auto"/>
        <w:tabs>
          <w:tab w:leader="none" w:pos="361"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used observable market inputs based on the type of derivative and the nature of the underlying instrument. The key inputs used at June 30, 2009 included interest rate yield curves (swap rates and futures) and foreign exchange spot and forward rates, all of which are available in an active market. We have utilized the mid-market pricing convention for these inputs at June 30, 2009.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We have considered our own nonperformance risk by discounting our derivative liabilities to reflect the potential credit risk to our counterparty by applying a current market indicative credit spread to all cash flows.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June 30, 2009 and December 31, 2008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At June 30, 2009</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w w:val="91"/>
              </w:rPr>
              <w:t>At December 31, 2008</w:t>
            </w: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6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Fair Value</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Asset Derivatives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ind w:left="220"/>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74"/>
              </w:rPr>
              <w:t>thousands)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6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366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instruments under SFAS 133**</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438</w:t>
            </w:r>
          </w:p>
        </w:tc>
        <w:tc>
          <w:tcPr>
            <w:tcW w:w="4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7" w:right="239" w:bottom="1440" w:gutter="0" w:footer="0" w:header="0"/>
        </w:sectPr>
      </w:pPr>
    </w:p>
    <w:p>
      <w:pPr>
        <w:spacing w:after="0" w:line="25"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Liability Derivatives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Derivatives designated as hedging instruments under SFAS 133</w:t>
      </w:r>
    </w:p>
    <w:p>
      <w:pPr>
        <w:ind w:left="140" w:right="1460"/>
        <w:spacing w:after="0" w:line="300" w:lineRule="auto"/>
        <w:rPr>
          <w:sz w:val="20"/>
          <w:szCs w:val="20"/>
          <w:color w:val="auto"/>
        </w:rPr>
      </w:pPr>
      <w:r>
        <w:rPr>
          <w:rFonts w:ascii="Arial" w:cs="Arial" w:eastAsia="Arial" w:hAnsi="Arial"/>
          <w:sz w:val="15"/>
          <w:szCs w:val="15"/>
          <w:color w:val="auto"/>
        </w:rPr>
        <w:t>Interest rate swap contracts Interest rate swap contracts</w:t>
      </w:r>
    </w:p>
    <w:p>
      <w:pPr>
        <w:spacing w:after="0" w:line="1" w:lineRule="exact"/>
        <w:rPr>
          <w:sz w:val="20"/>
          <w:szCs w:val="20"/>
          <w:color w:val="auto"/>
        </w:rPr>
      </w:pPr>
    </w:p>
    <w:p>
      <w:pPr>
        <w:ind w:left="280" w:hanging="137"/>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 denominated term loan</w:t>
      </w:r>
    </w:p>
    <w:p>
      <w:pPr>
        <w:spacing w:after="0" w:line="9" w:lineRule="exact"/>
        <w:rPr>
          <w:rFonts w:ascii="Arial" w:cs="Arial" w:eastAsia="Arial" w:hAnsi="Arial"/>
          <w:sz w:val="18"/>
          <w:szCs w:val="18"/>
          <w:color w:val="auto"/>
        </w:rPr>
      </w:pPr>
    </w:p>
    <w:p>
      <w:pPr>
        <w:ind w:left="280" w:hanging="137"/>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 denominated term loan</w:t>
      </w:r>
    </w:p>
    <w:p>
      <w:pPr>
        <w:spacing w:after="0" w:line="9" w:lineRule="exact"/>
        <w:rPr>
          <w:sz w:val="20"/>
          <w:szCs w:val="20"/>
          <w:color w:val="auto"/>
        </w:rPr>
      </w:pPr>
    </w:p>
    <w:p>
      <w:pPr>
        <w:ind w:right="540"/>
        <w:spacing w:after="0" w:line="341" w:lineRule="auto"/>
        <w:rPr>
          <w:sz w:val="20"/>
          <w:szCs w:val="20"/>
          <w:color w:val="auto"/>
        </w:rPr>
      </w:pPr>
      <w:r>
        <w:rPr>
          <w:rFonts w:ascii="Arial" w:cs="Arial" w:eastAsia="Arial" w:hAnsi="Arial"/>
          <w:sz w:val="16"/>
          <w:szCs w:val="16"/>
          <w:b w:val="1"/>
          <w:bCs w:val="1"/>
          <w:color w:val="auto"/>
        </w:rPr>
        <w:t>Total derivatives designated as hedging instruments under SFAS 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(12,755)</w:t>
            </w:r>
          </w:p>
        </w:tc>
        <w:tc>
          <w:tcPr>
            <w:tcW w:w="27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(8,772)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Long-term other obligations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(4,896)</w:t>
            </w:r>
          </w:p>
        </w:tc>
        <w:tc>
          <w:tcPr>
            <w:tcW w:w="2720" w:type="dxa"/>
            <w:vAlign w:val="bottom"/>
          </w:tcPr>
          <w:p>
            <w:pPr>
              <w:ind w:left="140"/>
              <w:spacing w:after="0"/>
              <w:rPr>
                <w:sz w:val="20"/>
                <w:szCs w:val="20"/>
                <w:color w:val="auto"/>
              </w:rPr>
            </w:pPr>
            <w:r>
              <w:rPr>
                <w:rFonts w:ascii="Arial" w:cs="Arial" w:eastAsia="Arial" w:hAnsi="Arial"/>
                <w:sz w:val="18"/>
                <w:szCs w:val="18"/>
                <w:color w:val="auto"/>
              </w:rPr>
              <w:t>Long-term other obligations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(8,723)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(4,708)</w:t>
            </w:r>
          </w:p>
        </w:tc>
        <w:tc>
          <w:tcPr>
            <w:tcW w:w="2720" w:type="dxa"/>
            <w:vAlign w:val="bottom"/>
          </w:tcPr>
          <w:p>
            <w:pPr>
              <w:ind w:left="140"/>
              <w:spacing w:after="0"/>
              <w:rPr>
                <w:sz w:val="20"/>
                <w:szCs w:val="20"/>
                <w:color w:val="auto"/>
              </w:rPr>
            </w:pPr>
            <w:r>
              <w:rPr>
                <w:rFonts w:ascii="Arial" w:cs="Arial" w:eastAsia="Arial" w:hAnsi="Arial"/>
                <w:sz w:val="18"/>
                <w:szCs w:val="18"/>
                <w:color w:val="auto"/>
                <w:w w:val="98"/>
              </w:rPr>
              <w:t>Current portion of long-term debt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(4,752)</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(328,994)</w:t>
            </w:r>
          </w:p>
        </w:tc>
        <w:tc>
          <w:tcPr>
            <w:tcW w:w="2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(355,742)</w:t>
            </w:r>
          </w:p>
        </w:tc>
      </w:tr>
      <w:tr>
        <w:trPr>
          <w:trHeight w:val="20"/>
        </w:trPr>
        <w:tc>
          <w:tcPr>
            <w:tcW w:w="2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7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(351,353)</w:t>
            </w:r>
          </w:p>
        </w:tc>
        <w:tc>
          <w:tcPr>
            <w:tcW w:w="272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(377,989)</w:t>
            </w:r>
          </w:p>
        </w:tc>
      </w:tr>
      <w:tr>
        <w:trPr>
          <w:trHeight w:val="27"/>
        </w:trPr>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-848360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-574040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-290830</wp:posOffset>
            </wp:positionV>
            <wp:extent cx="72466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3560" w:space="100"/>
            <w:col w:w="7760"/>
          </w:cols>
          <w:pgMar w:left="240" w:top="26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w:t>
            </w: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 under SFAS 133</w:t>
            </w:r>
          </w:p>
        </w:tc>
        <w:tc>
          <w:tcPr>
            <w:tcW w:w="2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Foreign exchange forward contracts</w:t>
            </w:r>
          </w:p>
        </w:tc>
        <w:tc>
          <w:tcPr>
            <w:tcW w:w="254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23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liability derivatives</w:t>
            </w: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(351,635)</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Total asset and liability derivatives, net</w:t>
            </w: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(351,197)</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8"/>
        <w:spacing w:after="0" w:line="258" w:lineRule="auto"/>
        <w:tabs>
          <w:tab w:leader="none" w:pos="1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nonderivative financial instrument designated as a hedge of our net investment in international operations is not recorded at fair value, but at the carrying value in the Consolidated Balance Sheets.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 SFAS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(SFAS 133).</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comprehensive income (loss) during the reporting period for our derivatives and nonderivative instruments designated as hedging instruments (collectively hedging instruments), net of tax,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January 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(29,734)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(26,503)</w:t>
            </w:r>
          </w:p>
        </w:tc>
      </w:tr>
      <w:tr>
        <w:trPr>
          <w:trHeight w:val="216"/>
        </w:trPr>
        <w:tc>
          <w:tcPr>
            <w:tcW w:w="5160" w:type="dxa"/>
            <w:vAlign w:val="bottom"/>
          </w:tcPr>
          <w:p>
            <w:pPr>
              <w:ind w:left="100"/>
              <w:spacing w:after="0"/>
              <w:rPr>
                <w:sz w:val="20"/>
                <w:szCs w:val="20"/>
                <w:color w:val="auto"/>
              </w:rPr>
            </w:pPr>
            <w:r>
              <w:rPr>
                <w:rFonts w:ascii="Arial" w:cs="Arial" w:eastAsia="Arial" w:hAnsi="Arial"/>
                <w:sz w:val="18"/>
                <w:szCs w:val="18"/>
                <w:color w:val="auto"/>
              </w:rPr>
              <w:t>Unrealized gain (loss) on derivative instruments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(3,804)</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4,151</w:t>
            </w: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(loss) on a nonderivative hedging instrument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(19,942)</w:t>
            </w:r>
          </w:p>
        </w:tc>
      </w:tr>
      <w:tr>
        <w:trPr>
          <w:trHeight w:val="216"/>
        </w:trPr>
        <w:tc>
          <w:tcPr>
            <w:tcW w:w="5160" w:type="dxa"/>
            <w:vAlign w:val="bottom"/>
          </w:tcPr>
          <w:p>
            <w:pPr>
              <w:ind w:left="100"/>
              <w:spacing w:after="0"/>
              <w:rPr>
                <w:sz w:val="20"/>
                <w:szCs w:val="20"/>
                <w:color w:val="auto"/>
              </w:rPr>
            </w:pPr>
            <w:r>
              <w:rPr>
                <w:rFonts w:ascii="Arial" w:cs="Arial" w:eastAsia="Arial" w:hAnsi="Arial"/>
                <w:sz w:val="18"/>
                <w:szCs w:val="18"/>
                <w:color w:val="auto"/>
              </w:rPr>
              <w:t>Realized (gains) losses reclassified into net income (loss)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June 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(42,521)</w:t>
            </w:r>
          </w:p>
        </w:tc>
      </w:tr>
      <w:tr>
        <w:trPr>
          <w:trHeight w:val="27"/>
        </w:trPr>
        <w:tc>
          <w:tcPr>
            <w:tcW w:w="5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changes in borrowing rates on our floating rate credit facility where LIBOR is consistently applied.</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2008, we entered into a one-year pay-fixed 3.01% receive one-month LIBOR interest rate swap, effective June 30, 2008 through June 30, 2009, to convert $200 million of our U.S. dollar term loan from a floating interest rate to a fixed interest rate. In 2008, we also entered into a one-year pay-fixed 2.68% receive one-month LIBOR interest rate swap, effective June 30, 2009 through June 30, 2010 (when the previous one-year interest rate swap expired). At June 30, 2009, our U.S. dollar term loan had a remaining balance of $327.7 million. The cash flow hedge that is effective from June 30, 2009 to June 30, 2010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amount of net losses expected to be reclassified into earnings in the next 12 months is approximately $3.9 million, which was based on the Bloomberg U.S. dollar swap yield curve as of June 30, 2009.</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2007, we entered into a pay-fixed 6.59% receive three-month Euro Interbank Offered Rate (EURIBOR) amortizing interest rate swap to convert a significant portion of our €335 million euro denominated variable-rate term loan to fixed-rate debt.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$291.5 million (€207.5 million) at June 30, 2009. The amount of net losses expected to be reclassified into earnings in the next 12 months is approximately $8.8 million, which was based on the Bloomberg U.S. dollar swap yield curve as of June 30, 2009.</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three months ended June 30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Amount of Gain (Loss)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(Loss) Recognized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Derivatives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Amount of Gain (Loss)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(Loss) Reclassified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Reclassified from</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Amount of Gain (Loss)</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SFAS 133 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Recognized in OCI 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from 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Accumulated OCI into</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8"/>
                <w:szCs w:val="18"/>
                <w:color w:val="auto"/>
              </w:rPr>
            </w:pPr>
          </w:p>
        </w:tc>
        <w:tc>
          <w:tcPr>
            <w:tcW w:w="21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Recognized in Income on</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Flow Hedging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Derivative (Effective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Income (Effective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(Ineffective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Derivative (Ineffective</w:t>
            </w:r>
          </w:p>
        </w:tc>
      </w:tr>
      <w:tr>
        <w:trPr>
          <w:trHeight w:val="23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2"/>
              </w:rPr>
              <w:t>Portion)</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2"/>
              </w:rPr>
              <w:t>Portion)</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Portion)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2"/>
              </w:rPr>
              <w:t>Portion)</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410"/>
              <w:spacing w:after="0"/>
              <w:rPr>
                <w:sz w:val="20"/>
                <w:szCs w:val="20"/>
                <w:color w:val="auto"/>
              </w:rPr>
            </w:pPr>
            <w:r>
              <w:rPr>
                <w:rFonts w:ascii="Arial" w:cs="Arial" w:eastAsia="Arial" w:hAnsi="Arial"/>
                <w:sz w:val="17"/>
                <w:szCs w:val="17"/>
                <w:b w:val="1"/>
                <w:bCs w:val="1"/>
                <w:color w:val="auto"/>
                <w:w w:val="71"/>
              </w:rPr>
              <w:t>thousands)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six months ended June 30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Amount of Gain (Loss)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(Loss) Recognized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Derivatives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Amount of Gain (Loss)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(Loss) Reclassified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Reclassified from</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Amount of Gain (Loss)</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SFAS 133 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Recognized in OCI 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from 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Accumulated OCI into</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8"/>
                <w:szCs w:val="18"/>
                <w:color w:val="auto"/>
              </w:rPr>
            </w:pPr>
          </w:p>
        </w:tc>
        <w:tc>
          <w:tcPr>
            <w:tcW w:w="21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Recognized in Income on</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Flow Hedging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Derivative (Effective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Income (Effective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(Ineffective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Derivative (Ineffective</w:t>
            </w:r>
          </w:p>
        </w:tc>
      </w:tr>
      <w:tr>
        <w:trPr>
          <w:trHeight w:val="23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2"/>
              </w:rPr>
              <w:t>Portion)</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2"/>
              </w:rPr>
              <w:t>Portion)</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Portion)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2"/>
              </w:rPr>
              <w:t>Portion)</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410"/>
              <w:spacing w:after="0"/>
              <w:rPr>
                <w:sz w:val="20"/>
                <w:szCs w:val="20"/>
                <w:color w:val="auto"/>
              </w:rPr>
            </w:pPr>
            <w:r>
              <w:rPr>
                <w:rFonts w:ascii="Arial" w:cs="Arial" w:eastAsia="Arial" w:hAnsi="Arial"/>
                <w:sz w:val="17"/>
                <w:szCs w:val="17"/>
                <w:b w:val="1"/>
                <w:bCs w:val="1"/>
                <w:color w:val="auto"/>
                <w:w w:val="71"/>
              </w:rPr>
              <w:t>thousands)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(6,165)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1" w:right="239" w:bottom="1014"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014" w:gutter="0" w:footer="0" w:header="0"/>
          <w:type w:val="continuous"/>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Investment Hedges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through our international subsidiaries. As a result of our acquisition of an international company,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is reduced each quarter as a result of repayments and was $333.7 million (€237.5 million) at June 30, 2009. We had no hedge ineffectiveness.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before tax effect of our net investment hedge nonderivative financial instrument on OCI for the three and six months ended June 30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w w:val="90"/>
              </w:rPr>
              <w:t>Nonderivative financial instruments in SFAS 133 Net Investment Hedging</w:t>
            </w:r>
          </w:p>
        </w:tc>
        <w:tc>
          <w:tcPr>
            <w:tcW w:w="360" w:type="dxa"/>
            <w:vAlign w:val="bottom"/>
          </w:tcPr>
          <w:p>
            <w:pPr>
              <w:spacing w:after="0"/>
              <w:rPr>
                <w:sz w:val="18"/>
                <w:szCs w:val="18"/>
                <w:color w:val="auto"/>
              </w:rPr>
            </w:pPr>
          </w:p>
        </w:tc>
        <w:tc>
          <w:tcPr>
            <w:tcW w:w="5340" w:type="dxa"/>
            <w:vAlign w:val="bottom"/>
            <w:gridSpan w:val="14"/>
          </w:tcPr>
          <w:p>
            <w:pPr>
              <w:jc w:val="center"/>
              <w:ind w:right="120"/>
              <w:spacing w:after="0"/>
              <w:rPr>
                <w:sz w:val="20"/>
                <w:szCs w:val="20"/>
                <w:color w:val="auto"/>
              </w:rPr>
            </w:pPr>
            <w:r>
              <w:rPr>
                <w:rFonts w:ascii="Arial" w:cs="Arial" w:eastAsia="Arial" w:hAnsi="Arial"/>
                <w:sz w:val="18"/>
                <w:szCs w:val="18"/>
                <w:b w:val="1"/>
                <w:bCs w:val="1"/>
                <w:color w:val="auto"/>
                <w:w w:val="91"/>
              </w:rPr>
              <w:t>Amount of Gain (Loss) Recognized in OCI on Derivative (Effective</w:t>
            </w:r>
          </w:p>
        </w:tc>
      </w:tr>
      <w:tr>
        <w:trPr>
          <w:trHeight w:val="234"/>
        </w:trPr>
        <w:tc>
          <w:tcPr>
            <w:tcW w:w="57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Relationships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2"/>
              </w:rPr>
              <w:t>Portion)</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w w:val="90"/>
              </w:rPr>
              <w:t>Three Months Ended June 30,</w:t>
            </w:r>
          </w:p>
        </w:tc>
        <w:tc>
          <w:tcPr>
            <w:tcW w:w="230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89"/>
              </w:rPr>
              <w:t>Six Months Ended June 30,</w:t>
            </w:r>
          </w:p>
        </w:tc>
        <w:tc>
          <w:tcPr>
            <w:tcW w:w="100" w:type="dxa"/>
            <w:vAlign w:val="bottom"/>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Euro denominated term loan designated as a hedge of our net investment in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operations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(18,328)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(32,410)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unrealized gain (loss), net of tax, was ($11.3) million and $2.8 million for the three and six months ended June 30, 2009, respectively. Our net unrealized loss, net of tax, was $19.9 million for the six months ended June 30, 2008. We had no unrealized gain or loss for the three months ended June 30, 2008.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through our intercompany financing transactions. At each period end, foreign currency monetary assets and liabilities, including intercompany balances, are revalued with the change recorded to other income and expense. In the second quarter of 2008, we began entering into monthly foreign exchange forward contracts, not designated for hedge accounting, with the intent to reduce earnings volatility associated with certain foreign currency balances of intercompany financing transactions. During the six months ended June 30, 2009, we entered into approximately 40 foreign currency option and forward transactions. The notional amounts of the contracts ranged from $1 million to $36 million, offsetting exposures from the euro, British pound, Czech koruna, and Hungarian forint.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2007, we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had terms similar to the pound sterling denominated term loan, including expected prepayments. This instrument was intended to reduce the impact of volatility between the pound sterling and the U.S. dollar. Therefore, gains and losses were recorded in other income and expense as an offset to the gains (losses) on the underlying term loan revaluation to the U.S. dollar. The amounts paid or received on the interest rate swap were recognized as adjustments to interest expense. In the second quarter of 2008, we repaid the £50 million pound sterling denominated loan.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and six months ended June 30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Derivatives Not Designated as</w:t>
            </w: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1"/>
              </w:rPr>
              <w:t>Hedging Instrument under SFAS</w:t>
            </w: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Amount of Gain (Loss) Recognized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Amount of Gain (Loss) Recognized in</w:t>
            </w:r>
          </w:p>
        </w:tc>
      </w:tr>
      <w:tr>
        <w:trPr>
          <w:trHeight w:val="234"/>
        </w:trPr>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3"/>
              </w:rPr>
              <w:t>133</w:t>
            </w:r>
          </w:p>
        </w:tc>
        <w:tc>
          <w:tcPr>
            <w:tcW w:w="24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1"/>
              </w:rPr>
              <w:t>in Income on Derivative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Income on Derivative</w:t>
            </w:r>
          </w:p>
        </w:tc>
      </w:tr>
      <w:tr>
        <w:trPr>
          <w:trHeight w:val="210"/>
        </w:trPr>
        <w:tc>
          <w:tcPr>
            <w:tcW w:w="2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w w:val="80"/>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Foreign exchange forward contracts</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w:t>
            </w:r>
          </w:p>
        </w:tc>
        <w:tc>
          <w:tcPr>
            <w:tcW w:w="3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7"/>
              </w:rPr>
              <w:t>Cross currency interest rate swap</w:t>
            </w:r>
          </w:p>
        </w:tc>
        <w:tc>
          <w:tcPr>
            <w:tcW w:w="2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w:t>
            </w:r>
          </w:p>
        </w:tc>
        <w:tc>
          <w:tcPr>
            <w:tcW w:w="3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(2,168)</w:t>
            </w: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non-U.S. defined benefit pension plans offering death and disability, retirement, and special termination benefits to employees in Germany, France, Spain, Italy, Belgium, Chile, Portugal, Hungary, and Indonesia. The defined benefit obligation is calculated annually by using the projected unit credit method. The measurement date for the pension plans was December 31, 2008.</w:t>
      </w:r>
    </w:p>
    <w:p>
      <w:pPr>
        <w:spacing w:after="0" w:line="208"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Our general funding policy for these qualified pension plans is to contribute amounts sufficient to satisfy regulatory funding standards of the respective countries for each plan. Our expected contribution assumes that actual plan asset returns are consistent with our expected rate of return and that interest rates remain constant. For 2009, we expect to contribute a total of $450,000 to our defined benefit pension plans with the majority payable in the fourth quarter. For the three and six months ended June 30, 2009, we contributed approximately $30,000 and $53,000, respectively, to the defined benefit pension plans. For the three and six months ended June 30, 2008, we contributed approximately $30,000 and $90,000, respectively, to the defined benefit pension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20" w:type="dxa"/>
            <w:vAlign w:val="bottom"/>
            <w:gridSpan w:val="7"/>
          </w:tcPr>
          <w:p>
            <w:pPr>
              <w:jc w:val="right"/>
              <w:ind w:right="215"/>
              <w:spacing w:after="0"/>
              <w:rPr>
                <w:sz w:val="20"/>
                <w:szCs w:val="20"/>
                <w:color w:val="auto"/>
              </w:rPr>
            </w:pPr>
            <w:r>
              <w:rPr>
                <w:rFonts w:ascii="Arial" w:cs="Arial" w:eastAsia="Arial" w:hAnsi="Arial"/>
                <w:sz w:val="18"/>
                <w:szCs w:val="18"/>
                <w:b w:val="1"/>
                <w:bCs w:val="1"/>
                <w:color w:val="auto"/>
                <w:w w:val="95"/>
              </w:rPr>
              <w:t>Three Months Ended</w:t>
            </w:r>
          </w:p>
        </w:tc>
        <w:tc>
          <w:tcPr>
            <w:tcW w:w="1960" w:type="dxa"/>
            <w:vAlign w:val="bottom"/>
            <w:gridSpan w:val="6"/>
          </w:tcPr>
          <w:p>
            <w:pPr>
              <w:spacing w:after="0"/>
              <w:rPr>
                <w:sz w:val="20"/>
                <w:szCs w:val="20"/>
                <w:color w:val="auto"/>
              </w:rPr>
            </w:pPr>
            <w:r>
              <w:rPr>
                <w:rFonts w:ascii="Arial" w:cs="Arial" w:eastAsia="Arial" w:hAnsi="Arial"/>
                <w:sz w:val="18"/>
                <w:szCs w:val="18"/>
                <w:b w:val="1"/>
                <w:bCs w:val="1"/>
                <w:color w:val="auto"/>
                <w:w w:val="95"/>
              </w:rPr>
              <w:t>Six Months Ended June</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2008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040" w:type="dxa"/>
            <w:vAlign w:val="bottom"/>
            <w:gridSpan w:val="3"/>
          </w:tcPr>
          <w:p>
            <w:pPr>
              <w:jc w:val="right"/>
              <w:ind w:right="270"/>
              <w:spacing w:after="0"/>
              <w:rPr>
                <w:sz w:val="20"/>
                <w:szCs w:val="20"/>
                <w:color w:val="auto"/>
              </w:rPr>
            </w:pPr>
            <w:r>
              <w:rPr>
                <w:rFonts w:ascii="Arial" w:cs="Arial" w:eastAsia="Arial" w:hAnsi="Arial"/>
                <w:sz w:val="17"/>
                <w:szCs w:val="17"/>
                <w:b w:val="1"/>
                <w:bCs w:val="1"/>
                <w:color w:val="auto"/>
                <w:w w:val="71"/>
              </w:rPr>
              <w:t>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35"/>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1,870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actuarial net gain</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75"/>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35"/>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2,852</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stock-based compensation expense for awards of stock options, stock issued pursuant to our ESPP, and the issuance of restricted and unrestricted stock awards and units. We expense stock-based compensation using the straight-line method over the vesting requirement period. For the three months ended June 30, 2009 and 2008, stock-based compensation expense was $4.8 million and $4.1 million and the related tax benefit was $1.2 million and $914,000, respectively. For the six months ended June 30, 2009 and 2008, stock-based compensation expense was $9.3 million and $8.0 million and the related tax benefit was $2.5 million and $1.8 million, respectively. We have not capitalized any stock-based compensation expense. We issue new shares of common stock upon the exercise of stock options or when vesting conditions on restricted awards are fully satisfied.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9"/>
              </w:rPr>
              <w:t>Employee Stock Options</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8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28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2008</w:t>
            </w:r>
          </w:p>
        </w:tc>
      </w:tr>
      <w:tr>
        <w:trPr>
          <w:trHeight w:val="210"/>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Expected life (years)</w:t>
            </w: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4.91</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4.49</w:t>
            </w:r>
          </w:p>
        </w:tc>
      </w:tr>
      <w:tr>
        <w:trPr>
          <w:trHeight w:val="45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1"/>
              </w:rPr>
              <w:t>ESPP</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gridSpan w:val="3"/>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2008</w:t>
            </w:r>
          </w:p>
        </w:tc>
      </w:tr>
      <w:tr>
        <w:trPr>
          <w:trHeight w:val="210"/>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Expected life (years)</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0.25</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0.25</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0.25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No stock options were granted during the three months ended June 30, 2009.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the award is fully exercised. Factors considered in estimating the expected life include historical experience of similar awards, with consideration to the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stock splits, dividends, and other similar events, 5,875,000 shares of common stock are reserved and authorized for issuance under our Amended and Restated 2000 Stock Incentive Plan. Of the authorized shares under the plan, no more than 1.0 million shares can be issued as non-stock options (awards). Awards consist of restricted stock units, restricted stock awards, and unrestricted stock awards. At June 30, 2009, shares available for issuance under the plan as either options or awards were 453,548.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 the grant. Options generally become exercisable in three equal installments beginning one year from the date of grant and generally expire 10 years from the date of grant.</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each stock option granted is estimated on the date of grant using the Black-Scholes option-pricing model. No stock options were granted during the three months ended June 30, 2009. The weighted average grant date fair value of the stock options granted during the three months ended June 30, 2008 was $39.21 per share. The weighted average grant date fair values of the stock options granted during the six months ended June 30, 2009 and 2008 were $57.96 and $39.07 per share, respectively. Compensation expense related to stock options for the three months ended June 30, 2009 and 2008 was $2.3 million in each period, and $4.6 million for each of the six months ended June 30, 2009 and 2008.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696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160" w:type="dxa"/>
            <w:vAlign w:val="bottom"/>
            <w:gridSpan w:val="8"/>
          </w:tcPr>
          <w:p>
            <w:pPr>
              <w:spacing w:after="0"/>
              <w:rPr>
                <w:sz w:val="20"/>
                <w:szCs w:val="20"/>
                <w:color w:val="auto"/>
              </w:rPr>
            </w:pPr>
            <w:r>
              <w:rPr>
                <w:rFonts w:ascii="Arial" w:cs="Arial" w:eastAsia="Arial" w:hAnsi="Arial"/>
                <w:sz w:val="18"/>
                <w:szCs w:val="18"/>
                <w:color w:val="auto"/>
              </w:rPr>
              <w:t>A summary of our stock option activity for the six months ended June 30, 2009 and 2008 is as follows:</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 per</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Contractual Life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2008</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37.81</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95.79</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w:t>
            </w: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47.62</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June 30, 2008</w:t>
            </w:r>
          </w:p>
        </w:tc>
        <w:tc>
          <w:tcPr>
            <w:tcW w:w="1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48.59</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and expected to vest, June 30, 2008</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June 30, 2008</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51.53</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57.96</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w:t>
            </w: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59.59</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Expired</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48.93</w:t>
            </w: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June 30, 2009</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51.89</w:t>
            </w:r>
          </w:p>
        </w:tc>
        <w:tc>
          <w:tcPr>
            <w:tcW w:w="15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6.64</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6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Exercisable and expected to vest, June 30, 2009</w:t>
            </w:r>
          </w:p>
        </w:tc>
        <w:tc>
          <w:tcPr>
            <w:tcW w:w="164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49.89</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6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Exercisable, June 30, 2009</w:t>
            </w:r>
          </w:p>
        </w:tc>
        <w:tc>
          <w:tcPr>
            <w:tcW w:w="164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43.15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intrinsic value in the table above is the amount by which the market value of the underlying stock exceeded the exercise price of the outstanding options before applicable income taxes, based on the closing stock price on the last business day of the period, which represents amounts that would have been received by the optionees had all options been exercised on that date. As of June 30, 2009, total unrecognized stock-based compensation expense related to nonvested stock options was approximately $8.9 million, which is expected to be recognized over a weighted average period of approximately 20 months. During the three months ended June 30, 2009 and 2008, the total intrinsic value of stock options exercised was $140,000 and $8.6 million, respectively. During the six months ended June 30, 2009 and 2008, the total intrinsic value of stock options exercised was $338,000 and $15.3 million, respectively.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and senior management receive restricted stock units or restricted stock awards (collectively restricted awards) as a component of their total compensation. The fair value of a restricted award is the market close price of our common stock on the date of grant. Restricted awards generally vest over a three year period. Compensation expense, net of forfeitures, is recognized over the vesting period.</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vesting, the restricted awards are converted into shares of our common stock on a one-for-one basis and issued to employees. We are entitled to an income tax deduction in an amount equal to the taxable income reported by the employee upon vesting of the restricted awards. Total compensation expense recognized for restricted awards was $2.4 million and $1.7 million for the three months ended June 30, 2009 and 2008, and $4.3 million and $3.0 million for the six months ended June 30, 2009 and 2008. As of June 30, 2009, unrecognized compensation expense was $14.2 million, which is expected to be recognized over a weighted average period of approximately 20 months. The total fair value of awards that vested was $1.3 million during the six months ended June 30, 2009. No awards vested during the three months ended June 30, 2009 and the three and six months ended June 30, 2008.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award activity for the six months ended June 30,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 Restricted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20"/>
                <w:szCs w:val="20"/>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Grant 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Nonvested, January 1, 2008</w:t>
            </w:r>
          </w:p>
        </w:tc>
        <w:tc>
          <w:tcPr>
            <w:tcW w:w="1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6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Forfeited</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Nonvested, June 30, 2008</w:t>
            </w:r>
          </w:p>
        </w:tc>
        <w:tc>
          <w:tcPr>
            <w:tcW w:w="18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Nonvested, January 1, 2009</w:t>
            </w:r>
          </w:p>
        </w:tc>
        <w:tc>
          <w:tcPr>
            <w:tcW w:w="18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Granted</w:t>
            </w:r>
          </w:p>
        </w:tc>
        <w:tc>
          <w:tcPr>
            <w:tcW w:w="1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60"/>
              <w:spacing w:after="0"/>
              <w:rPr>
                <w:sz w:val="20"/>
                <w:szCs w:val="20"/>
                <w:color w:val="auto"/>
              </w:rPr>
            </w:pPr>
            <w:r>
              <w:rPr>
                <w:rFonts w:ascii="Arial" w:cs="Arial" w:eastAsia="Arial" w:hAnsi="Arial"/>
                <w:sz w:val="18"/>
                <w:szCs w:val="18"/>
                <w:color w:val="auto"/>
              </w:rPr>
              <w:t>Vested</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Forfeited</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Nonvested, June 30, 2009</w:t>
            </w:r>
          </w:p>
        </w:tc>
        <w:tc>
          <w:tcPr>
            <w:tcW w:w="18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issue unrestricted stock awards to our Board of Directors as part of their compensation. Awards are fully vested at issuance and are expensed when issued. The fair value of unrestricted stock awards is the market close price of our common stock on the date of grant. During the three months ended June 30, 2009 and 2008, we issued 300 and 156 shares of unrestricted stock with a weighted average grant date fair value of $49.55 and $94.47 per share, respectively. During the six months ended June 30, 2009 and 2008, we issued 2,116 and 1,560 shares of unrestricted stock with a weighted average grant date fair value of $63.62 and $95.81 per share, respectively. The expense related to these awards was $15,000 for each of the three months ended June 30, 2009 and 2008, and $135,000 and $150,000 for the six months ended June 30, 2009 and 2008, respectively.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terms of the ESPP, eligible employees can elect to deduct up to 10% of their regular cash compensation to purchase our common stock at a discounted price. The purchase price of the common stock is 85% of the fair market value of the stock at the end of each fiscal quarter. The sale of the stock occurs at the beginning of the subsequent quarter. Under the ESPP, we sold 19,831 and 8,280 shares to employees during the three months ended June 30, 2009 and 2008, and 32,750 and 15,975 shares during the six months ended June 30, 2009 and 2008, respectively. The fair value of ESPP awards is estimated using the Black-Scholes option-pricing model. The fair value of the ESPP awards was $8.28 and $15.46 per share for the awards associated with the three month offering periods ended June 30, 2009 and 2008, respectively. The weighted average fair value of the ESPP awards associated with the offering periods during the six months ended June 30, 2009 and 2008 was $7.64 and $15.81 per share, respectively. The expense related to ESPP was $138,000 and $134,000 for the three months ended June 30, 2009 and 2008, and $279,000 and $268,000 for the six months ended June 30, 2009 and 2008, respectively. At June 30, 2009, all compensation cost associated with the ESPP had been recognized. There were approximately 276,000 shares of common stock available for future issuance under the ESPP at June 30, 2009.</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 (benefit) as a percentage of income (loss) before tax typically differs from the federal statutory rate of 35%, and can vary from period to period, due to the forecasted mix of earnings in domestic and international jurisdictions, new or revised tax legislation and accounting pronouncements, research credits, state income taxes, adjustments to valuation allowances, and interest expense and penalties related to uncertain tax positions, among other items.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tax provision (benefit) as a percentage of income (loss) before tax was (316%) and (83%) for the three and six months ended June 30, 2009, compared with (11%) and (16%) for the same periods in 2008. The benefit for the three months ended June 30, 2009 was primarily due to expected lower income in higher tax jurisdictions for the year. Our tax benefits in 2008 and 2009 reflected the benefit of certain interest expense deductions and the election under the U.S. Internal Revenue Code Section 338 with respect to the Actaris acquisition in 2007 as well as the forecasted mix of earnings in different tax jurisdictions.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Unrecognized tax benefits in accordance with FASB Interpretation No. 48 (As Amended), </w:t>
      </w:r>
      <w:r>
        <w:rPr>
          <w:rFonts w:ascii="Arial" w:cs="Arial" w:eastAsia="Arial" w:hAnsi="Arial"/>
          <w:sz w:val="17"/>
          <w:szCs w:val="17"/>
          <w:i w:val="1"/>
          <w:iCs w:val="1"/>
          <w:color w:val="auto"/>
        </w:rPr>
        <w:t>Accounting for Uncertainty in Income Taxes an interpretation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FASB Statement No. 109 </w:t>
      </w:r>
      <w:r>
        <w:rPr>
          <w:rFonts w:ascii="Arial" w:cs="Arial" w:eastAsia="Arial" w:hAnsi="Arial"/>
          <w:sz w:val="17"/>
          <w:szCs w:val="17"/>
          <w:color w:val="auto"/>
        </w:rPr>
        <w:t>(FIN 48) were $38.0 million and $37.6 million at June 30, 2009 and December 31, 2008. We classify interest expense and penalties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uncertain tax positions and interest income on tax overpayments as components of income tax expense. We recognized an expense of $606,000 and a benefit of $267,000 during the three months ended June 30, 2009 and 2008, and expenses of $1.3 million and $210,000 during the six months ended June 30, 2009 and 2008, respectively, in interest and penalties. At June 30, 2009 and December 31, 2008, accrued interest was $3.9 million and $3.2 million, and accrued penalties were $3.4 million and $2.9 million, respectively. Unrecognized tax benefits that would affect our tax provision at June 30, 2009 and December 31, 2008 were $37.6 million and $37.0 million, respectively. At June 30, 2009, we expect to pay no income taxes, interest, or penalties related to FIN 48 over the next twelve months.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At June 30, 2009, in addition to the outstanding standby letters of credit of $51.3 million issued under our credit facility’s $115 million multicurrency revolver, our Itron International operating segment has a total of $29.3 million of unsecured multicurrency revolving lines of credit with various financial institutions with total outstanding standby letters of credit of $7.3 million. At December 31, 2008, Itron International had a total of $28.8 million of unsecured multicurrency revolving lines of credit with various financial institutions with total outstanding standby letters of credit of $6.7 million. Unsecured surety bonds in force were $41.5 million and $33.1 million at June 30, 2009 and December 31, 2008,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Legal contingencies at June 30, 2009 were not material to our financial condition or results of operations.</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PT Mecoindo is a joint venture in Indonesia between PT Berca and one of the Itron International subsidiaries. PT Berca is the minority shareholder in PT Mecoindo and has sued several Itron International subsidiaries and the successor in interest to another company previously owned by Schlumberger Limited (Schlumberger). PT Berca claims that it had preemptive rights in the joint venture and has sought to nullify the transaction in 2001 whereby Schlumberger transferred its ownership interest in PT Mecoindo to an Itron International subsidiary. The plaintiff also seeks to collect damages for the earnings it otherwise would have earned had its alleged preemptive rights been observed. The Indonesian courts awarded 129.6 billion rupiahs ($12.6 million) in damages, plus accrued interest at 18% annually, against the defendants and invalidated the 2001 transfer of the Mecoindo interest to a subsidiary of Itron International. During the first quarter of 2009, all of the parties agreed to settle the litigation, including an indemnification claim against Schlumberger. The settlement will take several months to become final. This settlement is not expected to have a material impact on our financial condition or results of operations.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Comprehensive Income (Loss)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comprehensive income (loss) is reflected as a net increase (decrease) to shareholders’ equity and is not reflected in our results of operations. Total comprehensive income (loss) during the reporting periods, net of tax,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6"/>
          </w:tcPr>
          <w:p>
            <w:pPr>
              <w:jc w:val="right"/>
              <w:ind w:right="135"/>
              <w:spacing w:after="0"/>
              <w:rPr>
                <w:sz w:val="20"/>
                <w:szCs w:val="20"/>
                <w:color w:val="auto"/>
              </w:rPr>
            </w:pPr>
            <w:r>
              <w:rPr>
                <w:rFonts w:ascii="Arial" w:cs="Arial" w:eastAsia="Arial" w:hAnsi="Arial"/>
                <w:sz w:val="18"/>
                <w:szCs w:val="18"/>
                <w:b w:val="1"/>
                <w:bCs w:val="1"/>
                <w:color w:val="auto"/>
                <w:w w:val="93"/>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590"/>
              <w:spacing w:after="0"/>
              <w:rPr>
                <w:sz w:val="20"/>
                <w:szCs w:val="20"/>
                <w:color w:val="auto"/>
              </w:rPr>
            </w:pPr>
            <w:r>
              <w:rPr>
                <w:rFonts w:ascii="Arial" w:cs="Arial" w:eastAsia="Arial" w:hAnsi="Arial"/>
                <w:sz w:val="17"/>
                <w:szCs w:val="17"/>
                <w:b w:val="1"/>
                <w:bCs w:val="1"/>
                <w:color w:val="auto"/>
                <w:w w:val="71"/>
              </w:rPr>
              <w:t>thousands)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11,089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12,042</w:t>
            </w: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Foreign currency translation adjustment, net</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97,556</w:t>
            </w: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16,787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(2,924)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140,910</w:t>
            </w:r>
          </w:p>
        </w:tc>
        <w:tc>
          <w:tcPr>
            <w:tcW w:w="140" w:type="dxa"/>
            <w:vAlign w:val="bottom"/>
          </w:tcPr>
          <w:p>
            <w:pPr>
              <w:spacing w:after="0"/>
              <w:rPr>
                <w:sz w:val="18"/>
                <w:szCs w:val="18"/>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unrealized gain (loss) on derivative instruments, designated as cash flow</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hedges, net</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6,242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(3,804)</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40" w:type="dxa"/>
            <w:vAlign w:val="bottom"/>
            <w:shd w:val="clear" w:color="auto" w:fill="CCEEFF"/>
          </w:tcPr>
          <w:p>
            <w:pPr>
              <w:spacing w:after="0"/>
              <w:rPr>
                <w:sz w:val="20"/>
                <w:szCs w:val="20"/>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w w:val="99"/>
              </w:rPr>
              <w:t>Net unrealized gain (loss) on a nonderivative hedging instrument, net</w:t>
            </w:r>
            <w:r>
              <w:rPr>
                <w:rFonts w:ascii="Arial" w:cs="Arial" w:eastAsia="Arial" w:hAnsi="Arial"/>
                <w:sz w:val="25"/>
                <w:szCs w:val="25"/>
                <w:color w:val="auto"/>
                <w:w w:val="99"/>
                <w:vertAlign w:val="superscript"/>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(11,325)</w:t>
            </w: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(19,942)</w:t>
            </w:r>
          </w:p>
        </w:tc>
      </w:tr>
      <w:tr>
        <w:trPr>
          <w:trHeight w:val="216"/>
        </w:trPr>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Net hedging (gain) loss reclassified into net income (loss), net</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Pension plan benefits liability adjustment, net</w:t>
            </w:r>
            <w:r>
              <w:rPr>
                <w:rFonts w:ascii="Arial" w:cs="Arial" w:eastAsia="Arial" w:hAnsi="Arial"/>
                <w:sz w:val="25"/>
                <w:szCs w:val="25"/>
                <w:color w:val="auto"/>
                <w:vertAlign w:val="superscript"/>
              </w:rPr>
              <w:t>(5)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 (loss)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34,060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137,004</w:t>
            </w:r>
          </w:p>
        </w:tc>
        <w:tc>
          <w:tcPr>
            <w:tcW w:w="140" w:type="dxa"/>
            <w:vAlign w:val="bottom"/>
            <w:shd w:val="clear" w:color="auto" w:fill="CCEEFF"/>
          </w:tcPr>
          <w:p>
            <w:pPr>
              <w:spacing w:after="0"/>
              <w:rPr>
                <w:sz w:val="18"/>
                <w:szCs w:val="18"/>
                <w:color w:val="auto"/>
              </w:rPr>
            </w:pPr>
          </w:p>
        </w:tc>
      </w:tr>
      <w:tr>
        <w:trPr>
          <w:trHeight w:val="27"/>
        </w:trPr>
        <w:tc>
          <w:tcPr>
            <w:tcW w:w="5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right="20" w:hanging="245"/>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Income tax provision of $2,145 and $7,953 for the three months ended June 30, 2009 and 2008, and $3,676 and $9,240 for the six months ended June 30, 2009 and 2008, respectively.</w:t>
      </w:r>
    </w:p>
    <w:p>
      <w:pPr>
        <w:spacing w:after="0" w:line="1" w:lineRule="exact"/>
        <w:rPr>
          <w:rFonts w:ascii="Arial" w:cs="Arial" w:eastAsia="Arial" w:hAnsi="Arial"/>
          <w:sz w:val="25"/>
          <w:szCs w:val="25"/>
          <w:color w:val="auto"/>
          <w:vertAlign w:val="superscript"/>
        </w:rPr>
      </w:pPr>
    </w:p>
    <w:p>
      <w:pPr>
        <w:ind w:left="340" w:right="20" w:hanging="245"/>
        <w:spacing w:after="0" w:line="20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Income tax provision (benefit) of ($598) and $3,859 for the three months ended June 30, 2009 and 2008, and ($2,361) and $2,565 for the six months ended June 30, 2009 and 2008, respectively.</w:t>
      </w:r>
    </w:p>
    <w:p>
      <w:pPr>
        <w:spacing w:after="0" w:line="1" w:lineRule="exact"/>
        <w:rPr>
          <w:rFonts w:ascii="Arial" w:cs="Arial" w:eastAsia="Arial" w:hAnsi="Arial"/>
          <w:sz w:val="25"/>
          <w:szCs w:val="25"/>
          <w:color w:val="auto"/>
          <w:vertAlign w:val="superscript"/>
        </w:rPr>
      </w:pPr>
    </w:p>
    <w:p>
      <w:pPr>
        <w:ind w:left="340" w:hanging="245"/>
        <w:spacing w:after="0" w:line="207"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Income tax provision (benefit) of ($7,003) and $(42) for the three months ended June 30, 2009 and 2008, and $1,765 and ($12,467) for the six months ended June 30, 2009 and 2008, respectively.</w:t>
      </w:r>
    </w:p>
    <w:p>
      <w:pPr>
        <w:spacing w:after="0" w:line="1" w:lineRule="exact"/>
        <w:rPr>
          <w:rFonts w:ascii="Arial" w:cs="Arial" w:eastAsia="Arial" w:hAnsi="Arial"/>
          <w:sz w:val="25"/>
          <w:szCs w:val="25"/>
          <w:color w:val="auto"/>
          <w:vertAlign w:val="superscript"/>
        </w:rPr>
      </w:pPr>
    </w:p>
    <w:p>
      <w:pPr>
        <w:ind w:left="340" w:hanging="245"/>
        <w:spacing w:after="0" w:line="20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Income tax provision of $1,377 and $61 for the three months ended June 30, 2009 and 2008, and $2,359 and $140 for the six months ended June 30, 2009 and 2008, respectively.</w:t>
      </w:r>
    </w:p>
    <w:p>
      <w:pPr>
        <w:spacing w:after="0" w:line="1" w:lineRule="exact"/>
        <w:rPr>
          <w:rFonts w:ascii="Arial" w:cs="Arial" w:eastAsia="Arial" w:hAnsi="Arial"/>
          <w:sz w:val="25"/>
          <w:szCs w:val="25"/>
          <w:color w:val="auto"/>
          <w:vertAlign w:val="superscript"/>
        </w:rPr>
      </w:pPr>
    </w:p>
    <w:p>
      <w:pPr>
        <w:ind w:left="340" w:hanging="245"/>
        <w:spacing w:after="0" w:line="211"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Income tax provision (benefit) of ($45) for the three months ended June 30, 2009, and ($67) and $29 for the six months ended June 30, 2009 and 2008, respectively.</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income, net of tax, was $33.9 million at June 30, 2009 and $34.1 million at December 31, 2008. These amounts consisted of the adjustments for foreign currency translation, the unrealized gain (loss) on our hedging instruments, the hedging gain (loss), and the pension liability adjustment as indicated above.</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Fair Values of Financial Instruments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provided are representative of fair values only at June 30, 2009 and December 31, 2008 and do not reflect subsequent changes in the economy, interest and tax rates, and other variables that may affect the determination of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730"/>
              <w:spacing w:after="0"/>
              <w:rPr>
                <w:sz w:val="20"/>
                <w:szCs w:val="20"/>
                <w:color w:val="auto"/>
              </w:rPr>
            </w:pPr>
            <w:r>
              <w:rPr>
                <w:rFonts w:ascii="Arial" w:cs="Arial" w:eastAsia="Arial" w:hAnsi="Arial"/>
                <w:sz w:val="18"/>
                <w:szCs w:val="18"/>
                <w:b w:val="1"/>
                <w:bCs w:val="1"/>
                <w:color w:val="auto"/>
              </w:rPr>
              <w:t>At June 30, 2009</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At December 31, 2008</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276,128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144,390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60"/>
              <w:spacing w:after="0"/>
              <w:rPr>
                <w:sz w:val="20"/>
                <w:szCs w:val="20"/>
                <w:color w:val="auto"/>
              </w:rPr>
            </w:pPr>
            <w:r>
              <w:rPr>
                <w:rFonts w:ascii="Arial" w:cs="Arial" w:eastAsia="Arial" w:hAnsi="Arial"/>
                <w:sz w:val="18"/>
                <w:szCs w:val="18"/>
                <w:color w:val="auto"/>
              </w:rPr>
              <w:t>Foreign exchange forwards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120"/>
              <w:spacing w:after="0"/>
              <w:rPr>
                <w:sz w:val="20"/>
                <w:szCs w:val="20"/>
                <w:color w:val="auto"/>
              </w:rPr>
            </w:pPr>
            <w:r>
              <w:rPr>
                <w:rFonts w:ascii="Arial" w:cs="Arial" w:eastAsia="Arial" w:hAnsi="Arial"/>
                <w:sz w:val="18"/>
                <w:szCs w:val="18"/>
                <w:color w:val="auto"/>
              </w:rPr>
              <w:t>USD denominated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327,717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327,717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375,744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317,128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EUR denominated term loan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333,702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308,073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60"/>
              <w:spacing w:after="0"/>
              <w:rPr>
                <w:sz w:val="20"/>
                <w:szCs w:val="20"/>
                <w:color w:val="auto"/>
              </w:rPr>
            </w:pPr>
            <w:r>
              <w:rPr>
                <w:rFonts w:ascii="Arial" w:cs="Arial" w:eastAsia="Arial" w:hAnsi="Arial"/>
                <w:sz w:val="18"/>
                <w:szCs w:val="18"/>
                <w:color w:val="auto"/>
              </w:rPr>
              <w:t>Convertible senior subordinated notes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249,877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306,337</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380,985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Senior subordinated notes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111,363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95,478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6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17,651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17,495</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17,495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exchange forwards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90"/>
              <w:spacing w:after="0"/>
              <w:rPr>
                <w:sz w:val="20"/>
                <w:szCs w:val="20"/>
                <w:color w:val="auto"/>
              </w:rPr>
            </w:pPr>
            <w:r>
              <w:rPr>
                <w:rFonts w:ascii="Arial" w:cs="Arial" w:eastAsia="Arial" w:hAnsi="Arial"/>
                <w:sz w:val="18"/>
                <w:szCs w:val="18"/>
                <w:color w:val="auto"/>
                <w:w w:val="99"/>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is based on quoted prices from recent trades of the term loans. On April 24, 2009, we completed an amendment to our credit facility, which increased our additional interest rate margin from 1.75% at December 31, 2008 to 3.50% at June 30, 2009. At June 30, 2009, the fair value, based on quoted prices from the most recent trades, equaled the carrying value of the term loans as a result of the amendment.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The convertible notes are registered with the SEC and are generally transferable. The fair value is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from recent broker trades of the convertible notes. The carrying value is lower than the face value of the convertible notes as a result of separating the liability and equity components. The face value of the convertible notes was $223.6 million at June 30, 2009 and $344.5 million at December 31, 2008. See Note 6 for a further discussion.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Senior subordinated notes: </w:t>
      </w:r>
      <w:r>
        <w:rPr>
          <w:rFonts w:ascii="Arial" w:cs="Arial" w:eastAsia="Arial" w:hAnsi="Arial"/>
          <w:sz w:val="17"/>
          <w:szCs w:val="17"/>
          <w:color w:val="auto"/>
        </w:rPr>
        <w:t>The senior subordinated notes are registered with the SEC and are generally transferable. The fair value is based on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from recent broker trades of the senior subordinated notes. On July 17, 2009 we redeemed all of our outstanding notes at a redemption price of 101.938% of the principal amount of the notes of $109.6 million plus accrued and unpaid interest. See Note 16 for a further discussion.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of significant other observable inputs (Level 2), as defined by SFAS 157.</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two operating segments: Itron International and Itron North America. Itron International was previously referred to as the Actaris operating segment. We are now operating under the Itron brand on a worldwide basis. Itron International generates a majority of its revenues in Europe, Africa, South America, and Asia/Pacific, while Itron North America generates a majority of its revenues in the United States and Canada. We have made refinements to our management reporting and geographic reporting structure between our International and North America operations. Itron North America now includes sales of gas and water meters in North America, which were previously part of Itron International. Therefore, the operating segment information as set forth below is based on our current segment reporting structure. Historical segment information has been restated from the segment information previously provided to conform to our current segment reporting structure after the January 1, 2009 refinement.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gain (loss) on extinguishment of debt, other income (expense), and income tax expense (benefit) are not allocated to the segments, nor included in the measure of segment profit or loss. Depreciation and amortization expenses are allocated to our segments. Itron North America depreciation and amortization expense was $11.6 million and $10.7 million for the three months ended June 30, 2009 and 2008, and $23.0 million and $21.5 million for the six months ended June 30, 2009 and 2008, respectively. Itron International depreciation and amortization expense was $26.6 million and $34.4 million for the three months ended June 30, 2009 and 2008, and $51.4 million and $68.0 million for the six months ended June 30, 2009 and 2008,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Segment Products</w:t>
            </w:r>
          </w:p>
        </w:tc>
        <w:tc>
          <w:tcPr>
            <w:tcW w:w="9600" w:type="dxa"/>
            <w:vAlign w:val="bottom"/>
          </w:tcPr>
          <w:p>
            <w:pPr>
              <w:spacing w:after="0"/>
              <w:rPr>
                <w:sz w:val="20"/>
                <w:szCs w:val="20"/>
                <w:color w:val="auto"/>
              </w:rPr>
            </w:pPr>
          </w:p>
        </w:tc>
      </w:tr>
      <w:tr>
        <w:trPr>
          <w:trHeight w:val="418"/>
        </w:trPr>
        <w:tc>
          <w:tcPr>
            <w:tcW w:w="1820" w:type="dxa"/>
            <w:vAlign w:val="bottom"/>
          </w:tcPr>
          <w:p>
            <w:pPr>
              <w:spacing w:after="0"/>
              <w:rPr>
                <w:sz w:val="20"/>
                <w:szCs w:val="20"/>
                <w:color w:val="auto"/>
              </w:rPr>
            </w:pPr>
            <w:r>
              <w:rPr>
                <w:rFonts w:ascii="Arial" w:cs="Arial" w:eastAsia="Arial" w:hAnsi="Arial"/>
                <w:sz w:val="18"/>
                <w:szCs w:val="18"/>
                <w:i w:val="1"/>
                <w:iCs w:val="1"/>
                <w:color w:val="auto"/>
              </w:rPr>
              <w:t>Itron North America</w:t>
            </w:r>
          </w:p>
        </w:tc>
        <w:tc>
          <w:tcPr>
            <w:tcW w:w="9600" w:type="dxa"/>
            <w:vAlign w:val="bottom"/>
          </w:tcPr>
          <w:p>
            <w:pPr>
              <w:ind w:left="340"/>
              <w:spacing w:after="0"/>
              <w:rPr>
                <w:sz w:val="20"/>
                <w:szCs w:val="20"/>
                <w:color w:val="auto"/>
              </w:rPr>
            </w:pPr>
            <w:r>
              <w:rPr>
                <w:rFonts w:ascii="Arial" w:cs="Arial" w:eastAsia="Arial" w:hAnsi="Arial"/>
                <w:sz w:val="18"/>
                <w:szCs w:val="18"/>
                <w:color w:val="auto"/>
                <w:w w:val="92"/>
              </w:rPr>
              <w:t>Electronic and smart electricity meters; gas and water meters; electricity, gas, and water automated meter reading (AMR) and</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5"/>
              </w:rPr>
              <w:t>advanced  metering  infrastructure  (AMI)/smart  meter  modules;  handheld,  mobile,  and  network  AMR  data  collection</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4"/>
              </w:rPr>
              <w:t>technologies; AMI network technologies; software, installation, implementation, consulting, maintenance, support, and other</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services.</w:t>
            </w:r>
          </w:p>
        </w:tc>
      </w:tr>
      <w:tr>
        <w:trPr>
          <w:trHeight w:val="418"/>
        </w:trPr>
        <w:tc>
          <w:tcPr>
            <w:tcW w:w="1820" w:type="dxa"/>
            <w:vAlign w:val="bottom"/>
          </w:tcPr>
          <w:p>
            <w:pPr>
              <w:spacing w:after="0"/>
              <w:rPr>
                <w:sz w:val="20"/>
                <w:szCs w:val="20"/>
                <w:color w:val="auto"/>
              </w:rPr>
            </w:pPr>
            <w:r>
              <w:rPr>
                <w:rFonts w:ascii="Arial" w:cs="Arial" w:eastAsia="Arial" w:hAnsi="Arial"/>
                <w:sz w:val="18"/>
                <w:szCs w:val="18"/>
                <w:i w:val="1"/>
                <w:iCs w:val="1"/>
                <w:color w:val="auto"/>
              </w:rPr>
              <w:t>Itron International</w:t>
            </w:r>
          </w:p>
        </w:tc>
        <w:tc>
          <w:tcPr>
            <w:tcW w:w="9600" w:type="dxa"/>
            <w:vAlign w:val="bottom"/>
          </w:tcPr>
          <w:p>
            <w:pPr>
              <w:ind w:left="340"/>
              <w:spacing w:after="0"/>
              <w:rPr>
                <w:sz w:val="20"/>
                <w:szCs w:val="20"/>
                <w:color w:val="auto"/>
              </w:rPr>
            </w:pPr>
            <w:r>
              <w:rPr>
                <w:rFonts w:ascii="Arial" w:cs="Arial" w:eastAsia="Arial" w:hAnsi="Arial"/>
                <w:sz w:val="18"/>
                <w:szCs w:val="18"/>
                <w:color w:val="auto"/>
                <w:w w:val="95"/>
              </w:rPr>
              <w:t>Electromechanical, electronic, and smart electricity meters; mechanical and ultrasonic water and heat meters; diaphragm,</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w w:val="92"/>
              </w:rPr>
              <w:t>turbine, and rotary gas meters; one-way and two-way electricity prepayment systems, including smart key, keypad, and smart</w:t>
            </w:r>
          </w:p>
        </w:tc>
      </w:tr>
      <w:tr>
        <w:trPr>
          <w:trHeight w:val="216"/>
        </w:trPr>
        <w:tc>
          <w:tcPr>
            <w:tcW w:w="18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card; two-way gas prepayment systems using smart card; AMR and AMI data collection technologies; installation,</w:t>
            </w:r>
          </w:p>
        </w:tc>
      </w:tr>
      <w:tr>
        <w:trPr>
          <w:trHeight w:val="230"/>
        </w:trPr>
        <w:tc>
          <w:tcPr>
            <w:tcW w:w="18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implementation, maintenance support, and other managed services.</w:t>
            </w:r>
          </w:p>
        </w:tc>
      </w:tr>
      <w:tr>
        <w:trPr>
          <w:trHeight w:val="581"/>
        </w:trPr>
        <w:tc>
          <w:tcPr>
            <w:tcW w:w="1820" w:type="dxa"/>
            <w:vAlign w:val="bottom"/>
          </w:tcPr>
          <w:p>
            <w:pPr>
              <w:spacing w:after="0"/>
              <w:rPr>
                <w:sz w:val="24"/>
                <w:szCs w:val="24"/>
                <w:color w:val="auto"/>
              </w:rPr>
            </w:pPr>
          </w:p>
        </w:tc>
        <w:tc>
          <w:tcPr>
            <w:tcW w:w="9600" w:type="dxa"/>
            <w:vAlign w:val="bottom"/>
          </w:tcPr>
          <w:p>
            <w:pPr>
              <w:ind w:left="3800"/>
              <w:spacing w:after="0"/>
              <w:rPr>
                <w:sz w:val="20"/>
                <w:szCs w:val="20"/>
                <w:color w:val="auto"/>
              </w:rPr>
            </w:pPr>
            <w:r>
              <w:rPr>
                <w:rFonts w:ascii="Arial" w:cs="Arial" w:eastAsia="Arial" w:hAnsi="Arial"/>
                <w:sz w:val="18"/>
                <w:szCs w:val="18"/>
                <w:color w:val="auto"/>
              </w:rPr>
              <w:t>26</w:t>
            </w:r>
          </w:p>
        </w:tc>
      </w:tr>
      <w:tr>
        <w:trPr>
          <w:trHeight w:val="105"/>
        </w:trPr>
        <w:tc>
          <w:tcPr>
            <w:tcW w:w="1820" w:type="dxa"/>
            <w:vAlign w:val="bottom"/>
            <w:tcBorders>
              <w:bottom w:val="single" w:sz="8" w:color="808080"/>
            </w:tcBorders>
          </w:tcPr>
          <w:p>
            <w:pPr>
              <w:spacing w:after="0"/>
              <w:rPr>
                <w:sz w:val="9"/>
                <w:szCs w:val="9"/>
                <w:color w:val="auto"/>
              </w:rPr>
            </w:pPr>
          </w:p>
        </w:tc>
        <w:tc>
          <w:tcPr>
            <w:tcW w:w="9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rFonts w:ascii="Arial" w:cs="Arial" w:eastAsia="Arial" w:hAnsi="Arial"/>
                <w:sz w:val="18"/>
                <w:szCs w:val="18"/>
                <w:b w:val="1"/>
                <w:bCs w:val="1"/>
                <w:i w:val="1"/>
                <w:iCs w:val="1"/>
                <w:color w:val="0000EE"/>
              </w:rPr>
            </w:pPr>
            <w:hyperlink w:anchor="page2">
              <w:r>
                <w:rPr>
                  <w:rFonts w:ascii="Arial" w:cs="Arial" w:eastAsia="Arial" w:hAnsi="Arial"/>
                  <w:sz w:val="18"/>
                  <w:szCs w:val="18"/>
                  <w:b w:val="1"/>
                  <w:bCs w:val="1"/>
                  <w:i w:val="1"/>
                  <w:iCs w:val="1"/>
                  <w:color w:val="0000EE"/>
                </w:rPr>
                <w:t>Table of Content</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6"/>
          </w:tcPr>
          <w:p>
            <w:pPr>
              <w:jc w:val="right"/>
              <w:ind w:right="215"/>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4"/>
                <w:szCs w:val="2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142,943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182,023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282,329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Itron International</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270,805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331,908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Total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413,748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513,931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802,266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Itron North America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49,977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70,130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102,296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Itron International</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106,080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gridSpan w:val="2"/>
          </w:tcPr>
          <w:p>
            <w:pPr>
              <w:ind w:left="960"/>
              <w:spacing w:after="0"/>
              <w:rPr>
                <w:sz w:val="20"/>
                <w:szCs w:val="20"/>
                <w:color w:val="auto"/>
              </w:rPr>
            </w:pPr>
            <w:r>
              <w:rPr>
                <w:rFonts w:ascii="Arial" w:cs="Arial" w:eastAsia="Arial" w:hAnsi="Arial"/>
                <w:sz w:val="18"/>
                <w:szCs w:val="18"/>
                <w:color w:val="auto"/>
              </w:rPr>
              <w:t>Total Company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133,109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176,210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262,693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20,174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Itron International</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25,779</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unallocated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(9,775)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960"/>
              <w:spacing w:after="0"/>
              <w:rPr>
                <w:sz w:val="20"/>
                <w:szCs w:val="20"/>
                <w:color w:val="auto"/>
              </w:rPr>
            </w:pPr>
            <w:r>
              <w:rPr>
                <w:rFonts w:ascii="Arial" w:cs="Arial" w:eastAsia="Arial" w:hAnsi="Arial"/>
                <w:sz w:val="18"/>
                <w:szCs w:val="18"/>
                <w:color w:val="auto"/>
              </w:rPr>
              <w:t>Total Company</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36,178</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(26,173)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(7,076)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10,005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(26,811)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No single customer represented more than 10% of total Company or Itron International operating segment revenues for the three and six months ended June 30, 2009 and 2008. No customer accounted for more than 10% of Itron North America operating segment revenues for the three and six months ended June 30, 2009. One customer accounted for 12% and 13% of Itron North America operating segment revenues for the three and six months ended June 30,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Revenues by region were as follows:</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6"/>
          </w:tcPr>
          <w:p>
            <w:pPr>
              <w:jc w:val="right"/>
              <w:ind w:right="215"/>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3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209,558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250,784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407,035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489,436</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United States and Canada</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165,864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270,775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327,036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97,283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175,935</w:t>
            </w:r>
          </w:p>
        </w:tc>
      </w:tr>
      <w:tr>
        <w:trPr>
          <w:trHeight w:val="20"/>
        </w:trPr>
        <w:tc>
          <w:tcPr>
            <w:tcW w:w="35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4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413,748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35"/>
              <w:spacing w:after="0"/>
              <w:rPr>
                <w:sz w:val="20"/>
                <w:szCs w:val="20"/>
                <w:color w:val="auto"/>
              </w:rPr>
            </w:pPr>
            <w:r>
              <w:rPr>
                <w:rFonts w:ascii="Arial" w:cs="Arial" w:eastAsia="Arial" w:hAnsi="Arial"/>
                <w:sz w:val="18"/>
                <w:szCs w:val="18"/>
                <w:color w:val="auto"/>
              </w:rPr>
              <w:t>513,931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802,266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992,407</w:t>
            </w:r>
          </w:p>
        </w:tc>
      </w:tr>
      <w:tr>
        <w:trPr>
          <w:trHeight w:val="27"/>
        </w:trPr>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Consolidating Financial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subordinated notes and convertible notes, issued by Itron, Inc., are guaranteed by our U.S. domestic subsidiaries, which are 100% owned, and any future domestic subsidiaries. The guarantees are joint and several, full, complete, and unconditional. There are currently no restrictions on the ability of the subsidiary guarantors to transfer funds to the parent company.</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 2009, we transferred a substantial portion of our guarantor subsidiary operations located in the United States into the parent company. This change in legal entities implemented on January 1, 2009 is reflected in the below consolidating statements as of and for the three and six months ended June 30, 2009. We have not restated the comparative prior period results due to the complexity of the transfer and the immaterial nature of the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June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198,105</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(11,009)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280,639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14,260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23,665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11,402</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18,889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121,390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27,781</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(28,634)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(27,333)</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(28,878)</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20,764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Equity in losses of guarantor and non-guarantor subsidiaries,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(14,025)</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15,712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235,649</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(9,035)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337,721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108,422</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14,098</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27,848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10,453</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13,420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83,186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140,032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25,236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32,203</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(31,815)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(25,699)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(32,245)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Equity in earnings (losses) of guarantor and non-guarantor</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subsidiaries, net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(6,736)</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382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Consolidating Statement of Operations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2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Six Months Ended June 30, 2009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383,726</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(24,002)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539,573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163,961</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28,146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46,754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39,662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21,554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35,937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23,057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54,327</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(55,959)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(35,504)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(53,699)</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55,959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Loss on extinguishment of debt, net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680"/>
              <w:spacing w:after="0"/>
              <w:rPr>
                <w:sz w:val="20"/>
                <w:szCs w:val="20"/>
                <w:color w:val="auto"/>
              </w:rPr>
            </w:pPr>
            <w:r>
              <w:rPr>
                <w:rFonts w:ascii="Arial" w:cs="Arial" w:eastAsia="Arial" w:hAnsi="Arial"/>
                <w:sz w:val="18"/>
                <w:szCs w:val="18"/>
                <w:color w:val="auto"/>
              </w:rPr>
              <w:t>Total other income (expense)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(56,075)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(47,479)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(33,018)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23,686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4"/>
          </w:tcPr>
          <w:p>
            <w:pPr>
              <w:spacing w:after="0" w:line="201" w:lineRule="exact"/>
              <w:rPr>
                <w:sz w:val="20"/>
                <w:szCs w:val="20"/>
                <w:color w:val="auto"/>
              </w:rPr>
            </w:pPr>
            <w:r>
              <w:rPr>
                <w:rFonts w:ascii="Arial" w:cs="Arial" w:eastAsia="Arial" w:hAnsi="Arial"/>
                <w:sz w:val="18"/>
                <w:szCs w:val="18"/>
                <w:color w:val="auto"/>
                <w:w w:val="98"/>
              </w:rPr>
              <w:t>Equity in losses of guarantor and non-guarantor subsidiaries,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net</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(32,577)</w:t>
            </w: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35,615</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4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396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Consolidating Statement of Operations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6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Six Months Ended June 30, 2008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665,761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31,133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456,677</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(19,176)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653,638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209,084</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54,640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21,552</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26,654</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38,030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165,615</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275,304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16,657</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43,469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62,887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(62,210)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(53,921)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(62,525)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62,210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(62,679)</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(19,210)</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Equity in earnings (losses) of guarantor and non-guarantor</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subsidiaries, net</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(19,992)</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19,439</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12,042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(22,693)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Balance Sheet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81,442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227,993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54,532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111,989</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22,096</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41,396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(26,584)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477,968</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(34,305)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845,649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118,648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193,820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36,488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21,728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11,751</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69,914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359,715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31,313</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(35,194)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receivable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1,686,560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(1,783,349)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ind w:left="90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2,539,476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101,739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2,169,721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(1,852,848)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42,740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22,486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46,729</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Intercompany accounts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(6,985)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19,555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24,076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30,701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advances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(26,584)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313,152</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(33,569)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532,794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Pension plan benefits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56,831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96,791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(1,783,349)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(40,704)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129,564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9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1,190,404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2,232,976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(1,816,918)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1,609,016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106,190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80,413</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(186,603)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Accumulated other comprehensive income (loss),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(161,594)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159,399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99,185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(63,255)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(35,930)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2,539,476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101,739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2,169,721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(1,852,848)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2,958,088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4" w:name="page35"/>
    <w:bookmarkEnd w:id="3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Balance Sheet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Non-guarantor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89,458</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7,868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223,952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accounts receivable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52,248</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105,280</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18,360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37,429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22,652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457,836</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(28,832)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717,717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96,952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16,296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194,469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53,950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(24,022)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54,370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27,303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400,213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57,540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1,113,173</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151,268</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(146,364)</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(51,297)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receivable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(1,708,359)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2,359,048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276,048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2,009,740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(1,788,488)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36,962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158,565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46,932</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Intercompany accounts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(15,138)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51,093</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12,730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Current portion of warranty</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intercompany advances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15,641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308,389</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(28,238)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424,421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Pension plan benefits</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55,811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(1,708,359)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92,105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1,300,272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33,597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2,200,300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(1,736,597)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1,797,572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246,982</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(47,520)</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(199,462)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net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34,093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50,291</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(131,624)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138,085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(17,792)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242,451</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(190,560)</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(51,891)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1,058,776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276,048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5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04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0" w:type="dxa"/>
            <w:vAlign w:val="bottom"/>
            <w:gridSpan w:val="7"/>
          </w:tcPr>
          <w:p>
            <w:pPr>
              <w:ind w:left="4140"/>
              <w:spacing w:after="0"/>
              <w:rPr>
                <w:sz w:val="20"/>
                <w:szCs w:val="20"/>
                <w:color w:val="auto"/>
              </w:rPr>
            </w:pPr>
            <w:r>
              <w:rPr>
                <w:rFonts w:ascii="Arial" w:cs="Arial" w:eastAsia="Arial" w:hAnsi="Arial"/>
                <w:sz w:val="18"/>
                <w:szCs w:val="18"/>
                <w:b w:val="1"/>
                <w:bCs w:val="1"/>
                <w:color w:val="auto"/>
              </w:rPr>
              <w:t>Consolidating Statement of Cash Flows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7"/>
          </w:tcPr>
          <w:p>
            <w:pPr>
              <w:ind w:left="4380"/>
              <w:spacing w:after="0"/>
              <w:rPr>
                <w:sz w:val="20"/>
                <w:szCs w:val="20"/>
                <w:color w:val="auto"/>
              </w:rPr>
            </w:pPr>
            <w:r>
              <w:rPr>
                <w:rFonts w:ascii="Arial" w:cs="Arial" w:eastAsia="Arial" w:hAnsi="Arial"/>
                <w:sz w:val="18"/>
                <w:szCs w:val="18"/>
                <w:b w:val="1"/>
                <w:bCs w:val="1"/>
                <w:color w:val="auto"/>
              </w:rPr>
              <w:t>Six Months Ended June 30, 2009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Combined Non-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Subsidiaries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Eliminations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(34,333)</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35,615</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100"/>
              <w:spacing w:after="0" w:line="201" w:lineRule="exact"/>
              <w:rPr>
                <w:sz w:val="20"/>
                <w:szCs w:val="20"/>
                <w:color w:val="auto"/>
              </w:rPr>
            </w:pPr>
            <w:r>
              <w:rPr>
                <w:rFonts w:ascii="Arial" w:cs="Arial" w:eastAsia="Arial" w:hAnsi="Arial"/>
                <w:sz w:val="18"/>
                <w:szCs w:val="18"/>
                <w:color w:val="auto"/>
                <w:w w:val="94"/>
              </w:rPr>
              <w:t>Adjustments to reconcile net loss to net cash provided by (used in)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51,464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Amortization of convertible debt discount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(21,902)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(13,098)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Equity in losses of guarantor and non-guarantor subsidiaries,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32,577</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(35,615)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14,472</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(4,041)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Accounts payables, other current liabilities, and taxes payable</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1,301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Wages and benefits payable</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Effect of foreign exchange rate changes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7,989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Intercompany transactions,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68,921</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(11,678)</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(15,780)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Business acquisitions &amp; contingent consideration, net of cash</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equivalents acquired</w:t>
            </w:r>
          </w:p>
        </w:tc>
        <w:tc>
          <w:tcPr>
            <w:tcW w:w="2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Current intercompany notes,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(13,481)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1,217</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12,264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intercompany notes receivable,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6,421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(25,234)</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Payments on debt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(70,241)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Current intercompany notes,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13,518</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(12,264)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intercompany notes payable,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Prepaid debt fees</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83,442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13,329</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(9,438)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0"/>
              </w:rPr>
              <w:t>Effect of foreign exchange rate changes on cash and cash equivalents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127,129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4,588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67,404</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73,806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transferred from guarantor to parent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78,394</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Fixed assets purchased but not yet paid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1,759</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Exchange of debt for common stock (see Note 6)</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120,984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Contingent consideration payable for previous acquisitions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5,552</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Interest, net of amounts capitalized</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31,681</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10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94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04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10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6" w:name="page37"/>
    <w:bookmarkEnd w:id="3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0" w:type="dxa"/>
            <w:vAlign w:val="bottom"/>
            <w:gridSpan w:val="7"/>
          </w:tcPr>
          <w:p>
            <w:pPr>
              <w:ind w:left="4140"/>
              <w:spacing w:after="0"/>
              <w:rPr>
                <w:sz w:val="20"/>
                <w:szCs w:val="20"/>
                <w:color w:val="auto"/>
              </w:rPr>
            </w:pPr>
            <w:r>
              <w:rPr>
                <w:rFonts w:ascii="Arial" w:cs="Arial" w:eastAsia="Arial" w:hAnsi="Arial"/>
                <w:sz w:val="18"/>
                <w:szCs w:val="18"/>
                <w:b w:val="1"/>
                <w:bCs w:val="1"/>
                <w:color w:val="auto"/>
              </w:rPr>
              <w:t>Consolidating Statement of Cash Flows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7"/>
          </w:tcPr>
          <w:p>
            <w:pPr>
              <w:ind w:left="4380"/>
              <w:spacing w:after="0"/>
              <w:rPr>
                <w:sz w:val="20"/>
                <w:szCs w:val="20"/>
                <w:color w:val="auto"/>
              </w:rPr>
            </w:pPr>
            <w:r>
              <w:rPr>
                <w:rFonts w:ascii="Arial" w:cs="Arial" w:eastAsia="Arial" w:hAnsi="Arial"/>
                <w:sz w:val="18"/>
                <w:szCs w:val="18"/>
                <w:b w:val="1"/>
                <w:bCs w:val="1"/>
                <w:color w:val="auto"/>
              </w:rPr>
              <w:t>Six Months Ended June 30, 2008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Combined Non-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Parent</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Subsidiaries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Eliminations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(22,693)</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19,439</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100"/>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20,269</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68,088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Amortization of convertible debt discount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(20,117)</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220"/>
              <w:spacing w:after="0" w:line="201" w:lineRule="exact"/>
              <w:rPr>
                <w:sz w:val="20"/>
                <w:szCs w:val="20"/>
                <w:color w:val="auto"/>
              </w:rPr>
            </w:pPr>
            <w:r>
              <w:rPr>
                <w:rFonts w:ascii="Arial" w:cs="Arial" w:eastAsia="Arial" w:hAnsi="Arial"/>
                <w:sz w:val="18"/>
                <w:szCs w:val="18"/>
                <w:color w:val="auto"/>
              </w:rPr>
              <w:t>Equity in (earnings) losses of guarantor and non-guarantor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19,992</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(19,439)</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25,328</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(37,598)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(26,783)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payables, other current liabilities, and taxes payable</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36,376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Wages and benefits payable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5,481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Unearned revenue</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foreign exchange rate changes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Intercompany transactions,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(3,576)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89,091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27,539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(13,699)</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100"/>
              <w:spacing w:after="0" w:line="201" w:lineRule="exact"/>
              <w:rPr>
                <w:sz w:val="20"/>
                <w:szCs w:val="20"/>
                <w:color w:val="auto"/>
              </w:rPr>
            </w:pPr>
            <w:r>
              <w:rPr>
                <w:rFonts w:ascii="Arial" w:cs="Arial" w:eastAsia="Arial" w:hAnsi="Arial"/>
                <w:sz w:val="18"/>
                <w:szCs w:val="18"/>
                <w:color w:val="auto"/>
              </w:rPr>
              <w:t>Business acquisitions &amp; contingent consideration, net of cash</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equivalents acquired</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intercompany notes,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7,806</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Long-term intercompany notes receivable, net</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5,975</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(8,070)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(7,523)</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(19,425)</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debt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(350,749)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317,536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debt fees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Cash received from parent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4,257</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(4,257)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received from guarantor subsidiaries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Cash received from non-guarantor subsidiaries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Intercompany notes payable</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(41,268)</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2,302</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0"/>
              </w:rPr>
              <w:t>Effect of foreign exchange rate changes on cash and cash equivalents</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34,818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23,022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27,937</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62,387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62,755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85,409</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Non-cash transactions: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assets purchased but not yet paid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2,145</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13,458</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41,831</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7" w:name="page38"/>
    <w:bookmarkEnd w:id="3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August 3, 2009, the date of issuance of our condensed consolidated financial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17, 2009, we paid $113.2 million, including accrued interest of $1.5 million, to redeem all of our 7.75% senior subordinated notes (the subordinated notes). The subordinated notes had a remaining principal value of $109.6 million and were originally due May 2012. We redeemed the notes at 101.938% of the principal amount. During the third quarter of 2009, we will recognize a loss on extinguishment of $2.5 million, which will include the write-off of the unamortized debt discount of $336,000. We will also write-off the unamortized prepaid debt fees of $2.0 million, which will be included in interest expense within the Consolidated Statements of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00" w:lineRule="exact"/>
        <w:rPr>
          <w:sz w:val="20"/>
          <w:szCs w:val="20"/>
          <w:color w:val="auto"/>
        </w:rPr>
      </w:pP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2008 filed with the Securities and Exchange Commission (SEC) on February 26,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Securities and Exchange Commission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liquidity, and other items. These statements reflect our current plans and expectations and are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competition, 4) changes in estimated liabilities for product warranties and/or litigation, 5) our dependence on customers’ acceptance of new product and their performance, 6) changes in domestic and international laws and regulations, 7) future business combinations, 8) changes in estimates for stock-based compensation or pension costs, 9) changes in foreign currency exchange rates, 10) international business risks, 11) our own and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see “Risk Factors” within Item 1A included in our Annual Report on Form 10-K for the fiscal year ended December 31, 2008, which was filed with the SEC on February 26, 2009, and Item 1A included in our Quarterly Report on Form 10-Q for the three months ended March 31, 2009, which was filed with the SEC on May 5,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2009 financial results have been negatively impacted by a number of factors including economic uncertainty, a shift in technology choice for some utilities from automated meter reading (AMR) to advanced metering infrastructure (AMI) systems, foreign exchange rate volatility, and delayed purchases for customers awaiting approval of projects that may qualify for stimulus funding through the American Recovery and Reinvestment Act of 2009.</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current economic environment and foreign exchange rate volatility, we considered it prudent to strengthen our financial position. As a result, during the six months ended June 30, 2009, we reduced our borrowings by $191 million, issued $286 million in common stock, and amended our credit facility to reduce our current and future covenant requirements. On July 17, 2009, we further reduced our total borrowings by repaying the remaining $110 million of our senior subordinated notes.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900"/>
              <w:spacing w:after="0"/>
              <w:rPr>
                <w:sz w:val="20"/>
                <w:szCs w:val="20"/>
                <w:color w:val="auto"/>
              </w:rPr>
            </w:pPr>
            <w:r>
              <w:rPr>
                <w:rFonts w:ascii="Arial" w:cs="Arial" w:eastAsia="Arial" w:hAnsi="Arial"/>
                <w:sz w:val="18"/>
                <w:szCs w:val="18"/>
                <w:b w:val="1"/>
                <w:bCs w:val="1"/>
                <w:color w:val="auto"/>
                <w:w w:val="91"/>
              </w:rPr>
              <w:t>Six Months Ended June 30,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0"/>
        </w:trPr>
        <w:tc>
          <w:tcPr>
            <w:tcW w:w="23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 Change</w:t>
            </w:r>
          </w:p>
        </w:tc>
      </w:tr>
      <w:tr>
        <w:trPr>
          <w:trHeight w:val="210"/>
        </w:trPr>
        <w:tc>
          <w:tcPr>
            <w:tcW w:w="2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(in millions, except</w:t>
            </w: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ind w:left="100"/>
              <w:spacing w:after="0"/>
              <w:rPr>
                <w:sz w:val="20"/>
                <w:szCs w:val="20"/>
                <w:color w:val="auto"/>
              </w:rPr>
            </w:pPr>
            <w:r>
              <w:rPr>
                <w:rFonts w:ascii="Arial" w:cs="Arial" w:eastAsia="Arial" w:hAnsi="Arial"/>
                <w:sz w:val="18"/>
                <w:szCs w:val="18"/>
                <w:b w:val="1"/>
                <w:bCs w:val="1"/>
                <w:color w:val="auto"/>
                <w:w w:val="82"/>
              </w:rPr>
              <w:t>(in millions, except</w:t>
            </w: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413.7</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513.9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802.2</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133.1</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ind w:left="880"/>
              <w:spacing w:after="0"/>
              <w:rPr>
                <w:sz w:val="20"/>
                <w:szCs w:val="20"/>
                <w:color w:val="auto"/>
              </w:rPr>
            </w:pPr>
            <w:r>
              <w:rPr>
                <w:rFonts w:ascii="Arial" w:cs="Arial" w:eastAsia="Arial" w:hAnsi="Arial"/>
                <w:sz w:val="18"/>
                <w:szCs w:val="18"/>
                <w:color w:val="auto"/>
              </w:rPr>
              <w:t>262.7</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338.8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7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Six Months Ended June 30,</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Revenues by region</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w w:val="75"/>
              </w:rPr>
              <w:t>millions)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489.4</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United States and Canada</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327.0</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992.4</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Revenues decreased 19% for the three and six months ended June 30, 2009, compared with the same periods in 2008, or $100.2 million and $190.2 million, respectively. A strengthening U.S. dollar against most foreign currencies accounted for 52% and 57% of the decrease in revenues for each of the respective periods. A more detailed analysis of these fluctuations is provided in </w:t>
      </w:r>
      <w:r>
        <w:rPr>
          <w:rFonts w:ascii="Arial" w:cs="Arial" w:eastAsia="Arial" w:hAnsi="Arial"/>
          <w:sz w:val="18"/>
          <w:szCs w:val="18"/>
          <w:i w:val="1"/>
          <w:iCs w:val="1"/>
          <w:color w:val="auto"/>
        </w:rPr>
        <w:t>Operating Segment Results.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total revenues for the three and six months ended June 30, 2009 and 2008. Our 10 largest customers accounted for approximately 15% and 13% of total revenues for the three and six months ended June 30, 2009, and 17% of total revenues for each of the same periods in 2008.</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Gross margin was 32% and 33% for the three and six months ended June 30, 2009, compared with 34% during the same periods in 2008. The decrease in gross margin for the three months ended June 30, 2009 was primarily the result of Itron North America while the year-to-date gross margin decrease was more equally split between the two operating segments. A more detailed analysis of these fluctuations is provided in </w:t>
      </w:r>
      <w:r>
        <w:rPr>
          <w:rFonts w:ascii="Arial" w:cs="Arial" w:eastAsia="Arial" w:hAnsi="Arial"/>
          <w:sz w:val="16"/>
          <w:szCs w:val="16"/>
          <w:i w:val="1"/>
          <w:iCs w:val="1"/>
          <w:color w:val="auto"/>
        </w:rPr>
        <w:t>Operating Segment Results.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 Shipments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Meters are sold with and without advanced functionality (AMR/AMI/smart metering). In addition, smart meter modules can be sold separately from the meter. Depending on customers’ preferences, we also incorporate other vendors’ technology in our meters. Meter and AMR/AMI unit shipments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5"/>
              </w:rPr>
              <w:t>Three Months Ended June 30,</w:t>
            </w:r>
          </w:p>
        </w:tc>
        <w:tc>
          <w:tcPr>
            <w:tcW w:w="334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Total meters (with or without AMR/AMI)</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(units in</w:t>
            </w:r>
          </w:p>
        </w:tc>
        <w:tc>
          <w:tcPr>
            <w:tcW w:w="220" w:type="dxa"/>
            <w:vAlign w:val="bottom"/>
          </w:tcPr>
          <w:p>
            <w:pPr>
              <w:spacing w:after="0"/>
              <w:rPr>
                <w:sz w:val="19"/>
                <w:szCs w:val="19"/>
                <w:color w:val="auto"/>
              </w:rPr>
            </w:pPr>
          </w:p>
        </w:tc>
        <w:tc>
          <w:tcPr>
            <w:tcW w:w="1280" w:type="dxa"/>
            <w:vAlign w:val="bottom"/>
          </w:tcPr>
          <w:p>
            <w:pPr>
              <w:jc w:val="right"/>
              <w:ind w:right="510"/>
              <w:spacing w:after="0"/>
              <w:rPr>
                <w:sz w:val="20"/>
                <w:szCs w:val="20"/>
                <w:color w:val="auto"/>
              </w:rPr>
            </w:pPr>
            <w:r>
              <w:rPr>
                <w:rFonts w:ascii="Arial" w:cs="Arial" w:eastAsia="Arial" w:hAnsi="Arial"/>
                <w:sz w:val="17"/>
                <w:szCs w:val="17"/>
                <w:b w:val="1"/>
                <w:bCs w:val="1"/>
                <w:color w:val="auto"/>
                <w:w w:val="71"/>
              </w:rPr>
              <w:t>thousands)</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10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Electricity - Itron North America</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Electricity - Itron International</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3,780</w:t>
            </w:r>
          </w:p>
        </w:tc>
        <w:tc>
          <w:tcPr>
            <w:tcW w:w="1300" w:type="dxa"/>
            <w:vAlign w:val="bottom"/>
          </w:tcPr>
          <w:p>
            <w:pPr>
              <w:jc w:val="right"/>
              <w:spacing w:after="0"/>
              <w:rPr>
                <w:sz w:val="20"/>
                <w:szCs w:val="20"/>
                <w:color w:val="auto"/>
              </w:rPr>
            </w:pPr>
            <w:r>
              <w:rPr>
                <w:rFonts w:ascii="Arial" w:cs="Arial" w:eastAsia="Arial" w:hAnsi="Arial"/>
                <w:sz w:val="18"/>
                <w:szCs w:val="18"/>
                <w:color w:val="auto"/>
              </w:rPr>
              <w:t>3,700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Water</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2,025</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4,380</w:t>
            </w:r>
          </w:p>
        </w:tc>
        <w:tc>
          <w:tcPr>
            <w:tcW w:w="1300" w:type="dxa"/>
            <w:vAlign w:val="bottom"/>
          </w:tcPr>
          <w:p>
            <w:pPr>
              <w:jc w:val="right"/>
              <w:spacing w:after="0"/>
              <w:rPr>
                <w:sz w:val="20"/>
                <w:szCs w:val="20"/>
                <w:color w:val="auto"/>
              </w:rPr>
            </w:pPr>
            <w:r>
              <w:rPr>
                <w:rFonts w:ascii="Arial" w:cs="Arial" w:eastAsia="Arial" w:hAnsi="Arial"/>
                <w:sz w:val="18"/>
                <w:szCs w:val="18"/>
                <w:color w:val="auto"/>
              </w:rPr>
              <w:t>4,600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meters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5,665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11,580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AMR/AMI units (North America and International)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Meters with AMR</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1,365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1,530</w:t>
            </w:r>
          </w:p>
        </w:tc>
        <w:tc>
          <w:tcPr>
            <w:tcW w:w="1300" w:type="dxa"/>
            <w:vAlign w:val="bottom"/>
          </w:tcPr>
          <w:p>
            <w:pPr>
              <w:jc w:val="right"/>
              <w:spacing w:after="0"/>
              <w:rPr>
                <w:sz w:val="20"/>
                <w:szCs w:val="20"/>
                <w:color w:val="auto"/>
              </w:rPr>
            </w:pPr>
            <w:r>
              <w:rPr>
                <w:rFonts w:ascii="Arial" w:cs="Arial" w:eastAsia="Arial" w:hAnsi="Arial"/>
                <w:sz w:val="18"/>
                <w:szCs w:val="18"/>
                <w:color w:val="auto"/>
              </w:rPr>
              <w:t>2,690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Meters with AMI</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AMR/AMI modules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1300" w:type="dxa"/>
            <w:vAlign w:val="bottom"/>
          </w:tcPr>
          <w:p>
            <w:pPr>
              <w:jc w:val="right"/>
              <w:spacing w:after="0"/>
              <w:rPr>
                <w:sz w:val="20"/>
                <w:szCs w:val="20"/>
                <w:color w:val="auto"/>
              </w:rPr>
            </w:pPr>
            <w:r>
              <w:rPr>
                <w:rFonts w:ascii="Arial" w:cs="Arial" w:eastAsia="Arial" w:hAnsi="Arial"/>
                <w:sz w:val="18"/>
                <w:szCs w:val="18"/>
                <w:color w:val="auto"/>
              </w:rPr>
              <w:t>2,300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AMR/AMI units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Meters with other vendors' AMR</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24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0" w:name="page41"/>
    <w:bookmarkEnd w:id="4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our operating segments, see Note 14 of the condensed consolidated financial statements. The following tables and discussion highlight significant changes in trends or components of each operating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11"/>
          </w:tcPr>
          <w:p>
            <w:pPr>
              <w:ind w:left="580"/>
              <w:spacing w:after="0"/>
              <w:rPr>
                <w:sz w:val="20"/>
                <w:szCs w:val="20"/>
                <w:color w:val="auto"/>
              </w:rPr>
            </w:pPr>
            <w:r>
              <w:rPr>
                <w:rFonts w:ascii="Arial" w:cs="Arial" w:eastAsia="Arial" w:hAnsi="Arial"/>
                <w:sz w:val="18"/>
                <w:szCs w:val="18"/>
                <w:b w:val="1"/>
                <w:bCs w:val="1"/>
                <w:color w:val="auto"/>
                <w:w w:val="97"/>
              </w:rPr>
              <w:t>Three Months Ended June 30,</w:t>
            </w:r>
          </w:p>
        </w:tc>
        <w:tc>
          <w:tcPr>
            <w:tcW w:w="5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11"/>
          </w:tcPr>
          <w:p>
            <w:pPr>
              <w:ind w:left="44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1"/>
              </w:rPr>
              <w:t>% Change</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120" w:type="dxa"/>
            <w:vAlign w:val="bottom"/>
          </w:tcPr>
          <w:p>
            <w:pPr>
              <w:spacing w:after="0"/>
              <w:rPr>
                <w:sz w:val="19"/>
                <w:szCs w:val="19"/>
                <w:color w:val="auto"/>
              </w:rPr>
            </w:pPr>
          </w:p>
        </w:tc>
        <w:tc>
          <w:tcPr>
            <w:tcW w:w="1800" w:type="dxa"/>
            <w:vAlign w:val="bottom"/>
            <w:gridSpan w:val="5"/>
          </w:tcPr>
          <w:p>
            <w:pPr>
              <w:ind w:left="760"/>
              <w:spacing w:after="0"/>
              <w:rPr>
                <w:sz w:val="20"/>
                <w:szCs w:val="20"/>
                <w:color w:val="auto"/>
              </w:rPr>
            </w:pPr>
            <w:r>
              <w:rPr>
                <w:rFonts w:ascii="Arial" w:cs="Arial" w:eastAsia="Arial" w:hAnsi="Arial"/>
                <w:sz w:val="18"/>
                <w:szCs w:val="18"/>
                <w:b w:val="1"/>
                <w:bCs w:val="1"/>
                <w:color w:val="auto"/>
              </w:rPr>
              <w:t>(millions)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(millions)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Itron North America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8"/>
              </w:rPr>
              <w:t>142.9</w:t>
            </w:r>
          </w:p>
        </w:tc>
        <w:tc>
          <w:tcPr>
            <w:tcW w:w="780" w:type="dxa"/>
            <w:vAlign w:val="bottom"/>
            <w:tcBorders>
              <w:left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182.0</w:t>
            </w:r>
          </w:p>
        </w:tc>
        <w:tc>
          <w:tcPr>
            <w:tcW w:w="116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282.3</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351.8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540"/>
              <w:spacing w:after="0"/>
              <w:rPr>
                <w:sz w:val="20"/>
                <w:szCs w:val="20"/>
                <w:color w:val="auto"/>
              </w:rPr>
            </w:pPr>
            <w:r>
              <w:rPr>
                <w:rFonts w:ascii="Arial" w:cs="Arial" w:eastAsia="Arial" w:hAnsi="Arial"/>
                <w:sz w:val="18"/>
                <w:szCs w:val="18"/>
                <w:color w:val="auto"/>
              </w:rPr>
              <w:t>Itron International</w:t>
            </w:r>
          </w:p>
        </w:tc>
        <w:tc>
          <w:tcPr>
            <w:tcW w:w="120" w:type="dxa"/>
            <w:vAlign w:val="bottom"/>
          </w:tcPr>
          <w:p>
            <w:pPr>
              <w:spacing w:after="0"/>
              <w:rPr>
                <w:sz w:val="18"/>
                <w:szCs w:val="18"/>
                <w:color w:val="auto"/>
              </w:rPr>
            </w:pPr>
          </w:p>
        </w:tc>
        <w:tc>
          <w:tcPr>
            <w:tcW w:w="1020" w:type="dxa"/>
            <w:vAlign w:val="bottom"/>
            <w:gridSpan w:val="3"/>
          </w:tcPr>
          <w:p>
            <w:pPr>
              <w:jc w:val="center"/>
              <w:ind w:left="530"/>
              <w:spacing w:after="0"/>
              <w:rPr>
                <w:sz w:val="20"/>
                <w:szCs w:val="20"/>
                <w:color w:val="auto"/>
              </w:rPr>
            </w:pPr>
            <w:r>
              <w:rPr>
                <w:rFonts w:ascii="Arial" w:cs="Arial" w:eastAsia="Arial" w:hAnsi="Arial"/>
                <w:sz w:val="18"/>
                <w:szCs w:val="18"/>
                <w:color w:val="auto"/>
                <w:w w:val="88"/>
              </w:rPr>
              <w:t>270.8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331.9</w:t>
            </w:r>
          </w:p>
        </w:tc>
        <w:tc>
          <w:tcPr>
            <w:tcW w:w="1160" w:type="dxa"/>
            <w:vAlign w:val="bottom"/>
            <w:gridSpan w:val="4"/>
          </w:tcPr>
          <w:p>
            <w:pPr>
              <w:jc w:val="right"/>
              <w:ind w:right="2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640.6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8"/>
              </w:rPr>
              <w:t>413.7</w:t>
            </w:r>
          </w:p>
        </w:tc>
        <w:tc>
          <w:tcPr>
            <w:tcW w:w="780" w:type="dxa"/>
            <w:vAlign w:val="bottom"/>
            <w:tcBorders>
              <w:left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513.9</w:t>
            </w:r>
          </w:p>
        </w:tc>
        <w:tc>
          <w:tcPr>
            <w:tcW w:w="116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802.2</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992.4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1"/>
          </w:tcPr>
          <w:p>
            <w:pPr>
              <w:ind w:left="740"/>
              <w:spacing w:after="0"/>
              <w:rPr>
                <w:sz w:val="20"/>
                <w:szCs w:val="20"/>
                <w:color w:val="auto"/>
              </w:rPr>
            </w:pPr>
            <w:r>
              <w:rPr>
                <w:rFonts w:ascii="Arial" w:cs="Arial" w:eastAsia="Arial" w:hAnsi="Arial"/>
                <w:sz w:val="18"/>
                <w:szCs w:val="18"/>
                <w:b w:val="1"/>
                <w:bCs w:val="1"/>
                <w:color w:val="auto"/>
                <w:w w:val="91"/>
              </w:rPr>
              <w:t>Three Months Ended June 30,</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6"/>
              </w:rPr>
              <w:t>Six Months Ended June 30,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50"/>
              <w:spacing w:after="0" w:line="195" w:lineRule="exact"/>
              <w:rPr>
                <w:sz w:val="20"/>
                <w:szCs w:val="20"/>
                <w:color w:val="auto"/>
              </w:rPr>
            </w:pPr>
            <w:r>
              <w:rPr>
                <w:rFonts w:ascii="Arial" w:cs="Arial" w:eastAsia="Arial" w:hAnsi="Arial"/>
                <w:sz w:val="18"/>
                <w:szCs w:val="18"/>
                <w:b w:val="1"/>
                <w:bCs w:val="1"/>
                <w:i w:val="1"/>
                <w:iCs w:val="1"/>
                <w:color w:val="auto"/>
                <w:w w:val="84"/>
              </w:rPr>
              <w:t>Gross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center"/>
              <w:ind w:left="10"/>
              <w:spacing w:after="0" w:line="195" w:lineRule="exact"/>
              <w:rPr>
                <w:sz w:val="20"/>
                <w:szCs w:val="20"/>
                <w:color w:val="auto"/>
              </w:rPr>
            </w:pPr>
            <w:r>
              <w:rPr>
                <w:rFonts w:ascii="Arial" w:cs="Arial" w:eastAsia="Arial" w:hAnsi="Arial"/>
                <w:sz w:val="18"/>
                <w:szCs w:val="18"/>
                <w:b w:val="1"/>
                <w:bCs w:val="1"/>
                <w:i w:val="1"/>
                <w:iCs w:val="1"/>
                <w:color w:val="auto"/>
                <w:w w:val="84"/>
              </w:rPr>
              <w:t>Gross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left="70"/>
              <w:spacing w:after="0" w:line="195" w:lineRule="exact"/>
              <w:rPr>
                <w:sz w:val="20"/>
                <w:szCs w:val="20"/>
                <w:color w:val="auto"/>
              </w:rPr>
            </w:pPr>
            <w:r>
              <w:rPr>
                <w:rFonts w:ascii="Arial" w:cs="Arial" w:eastAsia="Arial" w:hAnsi="Arial"/>
                <w:sz w:val="18"/>
                <w:szCs w:val="18"/>
                <w:b w:val="1"/>
                <w:bCs w:val="1"/>
                <w:i w:val="1"/>
                <w:iCs w:val="1"/>
                <w:color w:val="auto"/>
                <w:w w:val="84"/>
              </w:rPr>
              <w:t>Gross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line="195" w:lineRule="exact"/>
              <w:rPr>
                <w:sz w:val="20"/>
                <w:szCs w:val="20"/>
                <w:color w:val="auto"/>
              </w:rPr>
            </w:pPr>
            <w:r>
              <w:rPr>
                <w:rFonts w:ascii="Arial" w:cs="Arial" w:eastAsia="Arial" w:hAnsi="Arial"/>
                <w:sz w:val="18"/>
                <w:szCs w:val="18"/>
                <w:b w:val="1"/>
                <w:bCs w:val="1"/>
                <w:i w:val="1"/>
                <w:iCs w:val="1"/>
                <w:color w:val="auto"/>
                <w:w w:val="84"/>
              </w:rPr>
              <w:t>Gross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7"/>
              </w:rPr>
              <w:t>Segment Gross Profit and Margin</w:t>
            </w:r>
          </w:p>
        </w:tc>
        <w:tc>
          <w:tcPr>
            <w:tcW w:w="10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4"/>
              </w:rPr>
              <w:t>Gross Profit</w:t>
            </w:r>
          </w:p>
        </w:tc>
        <w:tc>
          <w:tcPr>
            <w:tcW w:w="140" w:type="dxa"/>
            <w:vAlign w:val="bottom"/>
          </w:tcPr>
          <w:p>
            <w:pPr>
              <w:spacing w:after="0"/>
              <w:rPr>
                <w:sz w:val="20"/>
                <w:szCs w:val="20"/>
                <w:color w:val="auto"/>
              </w:rPr>
            </w:pPr>
          </w:p>
        </w:tc>
        <w:tc>
          <w:tcPr>
            <w:tcW w:w="780" w:type="dxa"/>
            <w:vAlign w:val="bottom"/>
            <w:gridSpan w:val="2"/>
          </w:tcPr>
          <w:p>
            <w:pPr>
              <w:jc w:val="center"/>
              <w:ind w:right="50"/>
              <w:spacing w:after="0"/>
              <w:rPr>
                <w:sz w:val="20"/>
                <w:szCs w:val="20"/>
                <w:color w:val="auto"/>
              </w:rPr>
            </w:pPr>
            <w:r>
              <w:rPr>
                <w:rFonts w:ascii="Arial" w:cs="Arial" w:eastAsia="Arial" w:hAnsi="Arial"/>
                <w:sz w:val="18"/>
                <w:szCs w:val="18"/>
                <w:b w:val="1"/>
                <w:bCs w:val="1"/>
                <w:i w:val="1"/>
                <w:iCs w:val="1"/>
                <w:color w:val="auto"/>
                <w:w w:val="94"/>
              </w:rPr>
              <w:t>Margin</w:t>
            </w:r>
          </w:p>
        </w:tc>
        <w:tc>
          <w:tcPr>
            <w:tcW w:w="220" w:type="dxa"/>
            <w:vAlign w:val="bottom"/>
          </w:tcPr>
          <w:p>
            <w:pPr>
              <w:spacing w:after="0"/>
              <w:rPr>
                <w:sz w:val="20"/>
                <w:szCs w:val="20"/>
                <w:color w:val="auto"/>
              </w:rPr>
            </w:pPr>
          </w:p>
        </w:tc>
        <w:tc>
          <w:tcPr>
            <w:tcW w:w="10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6"/>
              </w:rPr>
              <w:t>Gross Profit</w:t>
            </w: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980" w:type="dxa"/>
            <w:vAlign w:val="bottom"/>
            <w:gridSpan w:val="4"/>
          </w:tcPr>
          <w:p>
            <w:pPr>
              <w:jc w:val="center"/>
              <w:ind w:right="22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(millions)</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Itron North America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39%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102.3</w:t>
            </w:r>
          </w:p>
        </w:tc>
        <w:tc>
          <w:tcPr>
            <w:tcW w:w="7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4"/>
              </w:rPr>
              <w:t>36%</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580"/>
              <w:spacing w:after="0"/>
              <w:rPr>
                <w:sz w:val="20"/>
                <w:szCs w:val="20"/>
                <w:color w:val="auto"/>
              </w:rPr>
            </w:pPr>
            <w:r>
              <w:rPr>
                <w:rFonts w:ascii="Arial" w:cs="Arial" w:eastAsia="Arial" w:hAnsi="Arial"/>
                <w:sz w:val="18"/>
                <w:szCs w:val="18"/>
                <w:color w:val="auto"/>
              </w:rPr>
              <w:t>Itron International</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106.1</w:t>
            </w:r>
          </w:p>
        </w:tc>
        <w:tc>
          <w:tcPr>
            <w:tcW w:w="60" w:type="dxa"/>
            <w:vAlign w:val="bottom"/>
          </w:tcPr>
          <w:p>
            <w:pPr>
              <w:spacing w:after="0"/>
              <w:rPr>
                <w:sz w:val="18"/>
                <w:szCs w:val="18"/>
                <w:color w:val="auto"/>
              </w:rPr>
            </w:pPr>
          </w:p>
        </w:tc>
        <w:tc>
          <w:tcPr>
            <w:tcW w:w="7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160.4</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4"/>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4"/>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Borders>
              <w:right w:val="single" w:sz="8" w:color="CCEEFF"/>
            </w:tcBorders>
            <w:shd w:val="clear" w:color="auto" w:fill="CCEEFF"/>
          </w:tcPr>
          <w:p>
            <w:pPr>
              <w:ind w:left="1040"/>
              <w:spacing w:after="0" w:line="195" w:lineRule="exact"/>
              <w:rPr>
                <w:sz w:val="20"/>
                <w:szCs w:val="20"/>
                <w:color w:val="auto"/>
              </w:rPr>
            </w:pPr>
            <w:r>
              <w:rPr>
                <w:rFonts w:ascii="Arial" w:cs="Arial" w:eastAsia="Arial" w:hAnsi="Arial"/>
                <w:sz w:val="18"/>
                <w:szCs w:val="18"/>
                <w:color w:val="auto"/>
              </w:rPr>
              <w:t>Total gross profit and</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Borders>
              <w:right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margin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32%</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176.2</w:t>
            </w: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34%</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262.7</w:t>
            </w:r>
          </w:p>
        </w:tc>
        <w:tc>
          <w:tcPr>
            <w:tcW w:w="7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4"/>
              </w:rPr>
              <w:t>33%</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34%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1"/>
          </w:tcPr>
          <w:p>
            <w:pPr>
              <w:ind w:left="740"/>
              <w:spacing w:after="0"/>
              <w:rPr>
                <w:sz w:val="20"/>
                <w:szCs w:val="20"/>
                <w:color w:val="auto"/>
              </w:rPr>
            </w:pPr>
            <w:r>
              <w:rPr>
                <w:rFonts w:ascii="Arial" w:cs="Arial" w:eastAsia="Arial" w:hAnsi="Arial"/>
                <w:sz w:val="18"/>
                <w:szCs w:val="18"/>
                <w:b w:val="1"/>
                <w:bCs w:val="1"/>
                <w:color w:val="auto"/>
                <w:w w:val="91"/>
              </w:rPr>
              <w:t>Three Months Ended June 30,</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6"/>
              </w:rPr>
              <w:t>Six Months Ended June 30,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000" w:type="dxa"/>
            <w:vAlign w:val="bottom"/>
            <w:gridSpan w:val="3"/>
          </w:tcPr>
          <w:p>
            <w:pPr>
              <w:jc w:val="center"/>
              <w:ind w:right="140"/>
              <w:spacing w:after="0" w:line="195" w:lineRule="exact"/>
              <w:rPr>
                <w:sz w:val="20"/>
                <w:szCs w:val="20"/>
                <w:color w:val="auto"/>
              </w:rPr>
            </w:pPr>
            <w:r>
              <w:rPr>
                <w:rFonts w:ascii="Arial" w:cs="Arial" w:eastAsia="Arial" w:hAnsi="Arial"/>
                <w:sz w:val="18"/>
                <w:szCs w:val="18"/>
                <w:b w:val="1"/>
                <w:bCs w:val="1"/>
                <w:i w:val="1"/>
                <w:iCs w:val="1"/>
                <w:color w:val="auto"/>
                <w:w w:val="86"/>
              </w:rPr>
              <w:t>Operating</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5"/>
          </w:tcPr>
          <w:p>
            <w:pPr>
              <w:jc w:val="center"/>
              <w:ind w:right="180"/>
              <w:spacing w:after="0" w:line="195" w:lineRule="exact"/>
              <w:rPr>
                <w:sz w:val="20"/>
                <w:szCs w:val="20"/>
                <w:color w:val="auto"/>
              </w:rPr>
            </w:pPr>
            <w:r>
              <w:rPr>
                <w:rFonts w:ascii="Arial" w:cs="Arial" w:eastAsia="Arial" w:hAnsi="Arial"/>
                <w:sz w:val="18"/>
                <w:szCs w:val="18"/>
                <w:b w:val="1"/>
                <w:bCs w:val="1"/>
                <w:i w:val="1"/>
                <w:iCs w:val="1"/>
                <w:color w:val="auto"/>
                <w:w w:val="86"/>
              </w:rPr>
              <w:t>Operating</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200"/>
              <w:spacing w:after="0" w:line="195" w:lineRule="exact"/>
              <w:rPr>
                <w:sz w:val="20"/>
                <w:szCs w:val="20"/>
                <w:color w:val="auto"/>
              </w:rPr>
            </w:pPr>
            <w:r>
              <w:rPr>
                <w:rFonts w:ascii="Arial" w:cs="Arial" w:eastAsia="Arial" w:hAnsi="Arial"/>
                <w:sz w:val="18"/>
                <w:szCs w:val="18"/>
                <w:b w:val="1"/>
                <w:bCs w:val="1"/>
                <w:i w:val="1"/>
                <w:iCs w:val="1"/>
                <w:color w:val="auto"/>
                <w:w w:val="89"/>
              </w:rPr>
              <w:t>Operating</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center"/>
              <w:ind w:right="300"/>
              <w:spacing w:after="0" w:line="195" w:lineRule="exact"/>
              <w:rPr>
                <w:sz w:val="20"/>
                <w:szCs w:val="20"/>
                <w:color w:val="auto"/>
              </w:rPr>
            </w:pPr>
            <w:r>
              <w:rPr>
                <w:rFonts w:ascii="Arial" w:cs="Arial" w:eastAsia="Arial" w:hAnsi="Arial"/>
                <w:sz w:val="18"/>
                <w:szCs w:val="18"/>
                <w:b w:val="1"/>
                <w:bCs w:val="1"/>
                <w:i w:val="1"/>
                <w:iCs w:val="1"/>
                <w:color w:val="auto"/>
                <w:w w:val="86"/>
              </w:rPr>
              <w:t>Operating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i w:val="1"/>
                <w:iCs w:val="1"/>
                <w:color w:val="auto"/>
                <w:w w:val="88"/>
              </w:rPr>
              <w:t>Income</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89"/>
              </w:rPr>
              <w:t>Operating</w:t>
            </w:r>
          </w:p>
        </w:tc>
        <w:tc>
          <w:tcPr>
            <w:tcW w:w="220" w:type="dxa"/>
            <w:vAlign w:val="bottom"/>
          </w:tcPr>
          <w:p>
            <w:pPr>
              <w:spacing w:after="0"/>
              <w:rPr>
                <w:sz w:val="18"/>
                <w:szCs w:val="18"/>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8"/>
                <w:szCs w:val="18"/>
                <w:b w:val="1"/>
                <w:bCs w:val="1"/>
                <w:i w:val="1"/>
                <w:iCs w:val="1"/>
                <w:color w:val="auto"/>
                <w:w w:val="88"/>
              </w:rPr>
              <w:t>Income</w:t>
            </w: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89"/>
              </w:rPr>
              <w:t>Operating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i w:val="1"/>
                <w:iCs w:val="1"/>
                <w:color w:val="auto"/>
                <w:w w:val="88"/>
              </w:rPr>
              <w:t>Income</w:t>
            </w:r>
          </w:p>
        </w:tc>
        <w:tc>
          <w:tcPr>
            <w:tcW w:w="1240" w:type="dxa"/>
            <w:vAlign w:val="bottom"/>
            <w:gridSpan w:val="4"/>
          </w:tcPr>
          <w:p>
            <w:pPr>
              <w:jc w:val="center"/>
              <w:ind w:right="230"/>
              <w:spacing w:after="0"/>
              <w:rPr>
                <w:sz w:val="20"/>
                <w:szCs w:val="20"/>
                <w:color w:val="auto"/>
              </w:rPr>
            </w:pPr>
            <w:r>
              <w:rPr>
                <w:rFonts w:ascii="Arial" w:cs="Arial" w:eastAsia="Arial" w:hAnsi="Arial"/>
                <w:sz w:val="18"/>
                <w:szCs w:val="18"/>
                <w:b w:val="1"/>
                <w:bCs w:val="1"/>
                <w:i w:val="1"/>
                <w:iCs w:val="1"/>
                <w:color w:val="auto"/>
                <w:w w:val="89"/>
              </w:rPr>
              <w:t>Operating</w:t>
            </w:r>
          </w:p>
        </w:tc>
        <w:tc>
          <w:tcPr>
            <w:tcW w:w="4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b w:val="1"/>
                <w:bCs w:val="1"/>
                <w:i w:val="1"/>
                <w:iCs w:val="1"/>
                <w:color w:val="auto"/>
                <w:w w:val="88"/>
              </w:rPr>
              <w:t>Income</w:t>
            </w:r>
          </w:p>
        </w:tc>
        <w:tc>
          <w:tcPr>
            <w:tcW w:w="980" w:type="dxa"/>
            <w:vAlign w:val="bottom"/>
            <w:gridSpan w:val="4"/>
          </w:tcPr>
          <w:p>
            <w:pPr>
              <w:jc w:val="center"/>
              <w:ind w:right="220"/>
              <w:spacing w:after="0"/>
              <w:rPr>
                <w:sz w:val="20"/>
                <w:szCs w:val="20"/>
                <w:color w:val="auto"/>
              </w:rPr>
            </w:pPr>
            <w:r>
              <w:rPr>
                <w:rFonts w:ascii="Arial" w:cs="Arial" w:eastAsia="Arial" w:hAnsi="Arial"/>
                <w:sz w:val="18"/>
                <w:szCs w:val="18"/>
                <w:b w:val="1"/>
                <w:bCs w:val="1"/>
                <w:i w:val="1"/>
                <w:iCs w:val="1"/>
                <w:color w:val="auto"/>
                <w:w w:val="89"/>
              </w:rPr>
              <w:t>Operating</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Segment Operating Income</w:t>
            </w:r>
          </w:p>
        </w:tc>
        <w:tc>
          <w:tcPr>
            <w:tcW w:w="12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5"/>
              </w:rPr>
              <w:t>(Loss)</w:t>
            </w:r>
          </w:p>
        </w:tc>
        <w:tc>
          <w:tcPr>
            <w:tcW w:w="140" w:type="dxa"/>
            <w:vAlign w:val="bottom"/>
          </w:tcPr>
          <w:p>
            <w:pPr>
              <w:spacing w:after="0"/>
              <w:rPr>
                <w:sz w:val="20"/>
                <w:szCs w:val="20"/>
                <w:color w:val="auto"/>
              </w:rPr>
            </w:pPr>
          </w:p>
        </w:tc>
        <w:tc>
          <w:tcPr>
            <w:tcW w:w="780" w:type="dxa"/>
            <w:vAlign w:val="bottom"/>
            <w:gridSpan w:val="2"/>
          </w:tcPr>
          <w:p>
            <w:pPr>
              <w:jc w:val="center"/>
              <w:ind w:right="50"/>
              <w:spacing w:after="0"/>
              <w:rPr>
                <w:sz w:val="20"/>
                <w:szCs w:val="20"/>
                <w:color w:val="auto"/>
              </w:rPr>
            </w:pPr>
            <w:r>
              <w:rPr>
                <w:rFonts w:ascii="Arial" w:cs="Arial" w:eastAsia="Arial" w:hAnsi="Arial"/>
                <w:sz w:val="18"/>
                <w:szCs w:val="18"/>
                <w:b w:val="1"/>
                <w:bCs w:val="1"/>
                <w:i w:val="1"/>
                <w:iCs w:val="1"/>
                <w:color w:val="auto"/>
                <w:w w:val="94"/>
              </w:rPr>
              <w:t>Margin</w:t>
            </w:r>
          </w:p>
        </w:tc>
        <w:tc>
          <w:tcPr>
            <w:tcW w:w="220" w:type="dxa"/>
            <w:vAlign w:val="bottom"/>
          </w:tcPr>
          <w:p>
            <w:pPr>
              <w:spacing w:after="0"/>
              <w:rPr>
                <w:sz w:val="20"/>
                <w:szCs w:val="20"/>
                <w:color w:val="auto"/>
              </w:rPr>
            </w:pPr>
          </w:p>
        </w:tc>
        <w:tc>
          <w:tcPr>
            <w:tcW w:w="1080" w:type="dxa"/>
            <w:vAlign w:val="bottom"/>
            <w:gridSpan w:val="5"/>
          </w:tcPr>
          <w:p>
            <w:pPr>
              <w:jc w:val="center"/>
              <w:ind w:right="180"/>
              <w:spacing w:after="0"/>
              <w:rPr>
                <w:sz w:val="20"/>
                <w:szCs w:val="20"/>
                <w:color w:val="auto"/>
              </w:rPr>
            </w:pPr>
            <w:r>
              <w:rPr>
                <w:rFonts w:ascii="Arial" w:cs="Arial" w:eastAsia="Arial" w:hAnsi="Arial"/>
                <w:sz w:val="18"/>
                <w:szCs w:val="18"/>
                <w:b w:val="1"/>
                <w:bCs w:val="1"/>
                <w:i w:val="1"/>
                <w:iCs w:val="1"/>
                <w:color w:val="auto"/>
                <w:w w:val="85"/>
              </w:rPr>
              <w:t>(Loss)</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i w:val="1"/>
                <w:iCs w:val="1"/>
                <w:color w:val="auto"/>
                <w:w w:val="85"/>
              </w:rPr>
              <w:t>(Loss)</w:t>
            </w: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b w:val="1"/>
                <w:bCs w:val="1"/>
                <w:i w:val="1"/>
                <w:iCs w:val="1"/>
                <w:color w:val="auto"/>
                <w:w w:val="85"/>
              </w:rPr>
              <w:t>(Loss)</w:t>
            </w:r>
          </w:p>
        </w:tc>
        <w:tc>
          <w:tcPr>
            <w:tcW w:w="980" w:type="dxa"/>
            <w:vAlign w:val="bottom"/>
            <w:gridSpan w:val="4"/>
          </w:tcPr>
          <w:p>
            <w:pPr>
              <w:jc w:val="center"/>
              <w:ind w:right="22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(Loss) and Operating Margin</w:t>
            </w: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(millions)</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Itron North America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11%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7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2"/>
              </w:rPr>
              <w:t>5%</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580"/>
              <w:spacing w:after="0"/>
              <w:rPr>
                <w:sz w:val="20"/>
                <w:szCs w:val="20"/>
                <w:color w:val="auto"/>
              </w:rPr>
            </w:pPr>
            <w:r>
              <w:rPr>
                <w:rFonts w:ascii="Arial" w:cs="Arial" w:eastAsia="Arial" w:hAnsi="Arial"/>
                <w:sz w:val="18"/>
                <w:szCs w:val="18"/>
                <w:color w:val="auto"/>
              </w:rPr>
              <w:t>Itron International</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70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22.7</w:t>
            </w:r>
          </w:p>
        </w:tc>
        <w:tc>
          <w:tcPr>
            <w:tcW w:w="760" w:type="dxa"/>
            <w:vAlign w:val="bottom"/>
          </w:tcPr>
          <w:p>
            <w:pPr>
              <w:jc w:val="center"/>
              <w:ind w:left="19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Corporate unallocated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ind w:left="1140"/>
              <w:spacing w:after="0"/>
              <w:rPr>
                <w:sz w:val="20"/>
                <w:szCs w:val="20"/>
                <w:color w:val="auto"/>
              </w:rPr>
            </w:pPr>
            <w:r>
              <w:rPr>
                <w:rFonts w:ascii="Arial" w:cs="Arial" w:eastAsia="Arial" w:hAnsi="Arial"/>
                <w:sz w:val="18"/>
                <w:szCs w:val="18"/>
                <w:color w:val="auto"/>
              </w:rPr>
              <w:t>Total Company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70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7%</w:t>
            </w:r>
          </w:p>
        </w:tc>
        <w:tc>
          <w:tcPr>
            <w:tcW w:w="16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20.7</w:t>
            </w:r>
          </w:p>
        </w:tc>
        <w:tc>
          <w:tcPr>
            <w:tcW w:w="760" w:type="dxa"/>
            <w:vAlign w:val="bottom"/>
          </w:tcPr>
          <w:p>
            <w:pPr>
              <w:jc w:val="center"/>
              <w:ind w:left="190"/>
              <w:spacing w:after="0"/>
              <w:rPr>
                <w:sz w:val="20"/>
                <w:szCs w:val="20"/>
                <w:color w:val="auto"/>
              </w:rPr>
            </w:pPr>
            <w:r>
              <w:rPr>
                <w:rFonts w:ascii="Arial" w:cs="Arial" w:eastAsia="Arial" w:hAnsi="Arial"/>
                <w:sz w:val="18"/>
                <w:szCs w:val="18"/>
                <w:color w:val="auto"/>
                <w:w w:val="92"/>
              </w:rPr>
              <w:t>3%</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Itron North America: </w:t>
      </w:r>
      <w:r>
        <w:rPr>
          <w:rFonts w:ascii="Arial" w:cs="Arial" w:eastAsia="Arial" w:hAnsi="Arial"/>
          <w:sz w:val="16"/>
          <w:szCs w:val="16"/>
          <w:color w:val="auto"/>
        </w:rPr>
        <w:t>Revenues decreased $39.1 million, or 21%, during the three months ended June 30, 2009, and $69.5 million, or 20%, during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2009, compared with the same periods in 2008, primarily due to the completion of a number of AMR contracts in 2008 and fewer electric meters shipped during the quarter related to the economic downturn and delays in orders as customers evaluate projects eligible for stimulus funds.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decreased four percentage points and two percentage points for the three and six months ended June 30, 2009, compared with the same periods last year, primarily due to shipments of our current-version low margin AMI meters and increased overhead due to lower overall production levels. Itron North America margins are expected to remain at lower levels until we have higher volume shipments of a cost reduced AMI meter.</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 customer represented more than 10% of Itron North America operating segment revenues in the second quarter and first half of 2009. One customer accounted for 12% and 13% of Itron North America operating segment revenues for the second quarter and first half of 2008, respectively.</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Itron North America operating expenses decreased $5.8 million, or 12%, for the three months ended June 30, 2009 and $7.3 million, or 8%, for the six months ended June 30, 2009, compared with the same periods in 2009. Lower sales and general and administrative expenses, and amortization of intangible assets were the primary factors for the reduced expenses. Operating expenses as a percentage of revenues were 31% for the three and six months ended June 30, 2009, compared with 27% for the same periods in 2008, as a result of lower revenues in 2009.</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w:t>
        </w:r>
      </w:hyperlink>
    </w:p>
    <w:p>
      <w:pPr>
        <w:spacing w:after="0" w:line="24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Itron International</w:t>
      </w:r>
      <w:r>
        <w:rPr>
          <w:rFonts w:ascii="Arial" w:cs="Arial" w:eastAsia="Arial" w:hAnsi="Arial"/>
          <w:sz w:val="16"/>
          <w:szCs w:val="16"/>
          <w:color w:val="auto"/>
        </w:rPr>
        <w:t>: Revenues decreased $61.1 million, or 18%, and $120.7 million, or 19%, for the three and six months ended June 30, 2009,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periods last year. A strengthening U.S. dollar against most foreign currencies accounted for 82% and 85% of the decrease in revenues for each of the respective periods, while the remainder was primarily due to the completion of a smart metering/AMI project in 2008 and lower revenue in South America.</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decreased one percentage point for the three and six months ended June 30, 2009, compared with the same periods last year, due to the completion of a smart metering/AMI project in Sweden and a higher mix of service revenue with lower margin in South America.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Business line revenues for Itron International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20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540" w:type="dxa"/>
            <w:vAlign w:val="bottom"/>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15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41%</w:t>
            </w:r>
          </w:p>
        </w:tc>
        <w:tc>
          <w:tcPr>
            <w:tcW w:w="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41%</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39%</w:t>
            </w:r>
          </w:p>
        </w:tc>
        <w:tc>
          <w:tcPr>
            <w:tcW w:w="9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Gas</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29%</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29%</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29%</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32%</w:t>
            </w:r>
          </w:p>
        </w:tc>
        <w:tc>
          <w:tcPr>
            <w:tcW w:w="9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Itron International operating segment revenues in the three and six months ended June 30, 2009 and 2008.</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Itron International were $70.2 million and $80.3 million for the three months ended June 30, 2009 and 2008, or 26% and 24% of revenues for the respective periods. Operating expenses for the six months ended June 30, 2009 and 2008 were $137.7 million and $159.8 million, or 26% and 25% of revenues for the respective periods. Operating expenses decreased primarily as a result of a strengthening U.S. dollar against most foreign currencies.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$2.7 million and $3.9 million in the three and six months ended June 30, 2009, compared with the same periods last year, due to reductions in compensation expense and reduced consulting fees for Sarbanes-Oxley Act of 2002 compliance.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approval. Total backlog represents committed but undelivered contracts and purchase orders at period 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Ending</w:t>
            </w:r>
          </w:p>
        </w:tc>
        <w:tc>
          <w:tcPr>
            <w:tcW w:w="50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Quarterly</w:t>
            </w: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12-Month</w:t>
            </w:r>
          </w:p>
        </w:tc>
        <w:tc>
          <w:tcPr>
            <w:tcW w:w="502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Bookings</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Total Backlog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Backlog</w:t>
            </w:r>
          </w:p>
        </w:tc>
        <w:tc>
          <w:tcPr>
            <w:tcW w:w="5020" w:type="dxa"/>
            <w:vAlign w:val="bottom"/>
          </w:tcPr>
          <w:p>
            <w:pPr>
              <w:spacing w:after="0"/>
              <w:rPr>
                <w:sz w:val="20"/>
                <w:szCs w:val="20"/>
                <w:color w:val="auto"/>
              </w:rPr>
            </w:pPr>
          </w:p>
        </w:tc>
      </w:tr>
      <w:tr>
        <w:trPr>
          <w:trHeight w:val="210"/>
        </w:trPr>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5020" w:type="dxa"/>
            <w:vAlign w:val="bottom"/>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March 31, 2009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50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5020" w:type="dxa"/>
            <w:vAlign w:val="bottom"/>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September 30, 2008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50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5020" w:type="dxa"/>
            <w:vAlign w:val="bottom"/>
          </w:tcPr>
          <w:p>
            <w:pPr>
              <w:spacing w:after="0"/>
              <w:rPr>
                <w:sz w:val="18"/>
                <w:szCs w:val="18"/>
                <w:color w:val="auto"/>
              </w:rPr>
            </w:pPr>
          </w:p>
        </w:tc>
      </w:tr>
      <w:tr>
        <w:trPr>
          <w:trHeight w:val="824"/>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05"/>
        </w:trPr>
        <w:tc>
          <w:tcPr>
            <w:tcW w:w="2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enter into AMI agreements to deploy our OpenWay® meter and communications system, we include these contracts in bookings and backlog when regulatory approvals are received or certain other conditions are met. At June 30, 2009, three of our four signed AMI contracts were included in bookings and backlog. Bookings and backlog for the first quarter of 2009 included $257 million related to the San Diego Gas &amp; Electric AMI contract. During the fourth quarter of 2008, $334 million was booked related to the CenterPoint Energy AMI contract and during the third quarter of 2008, $470 million was booked related to the Southern California Edison AMI contract. A significant portion of these AMI contracts is not included in 12-month backlog as these are multi-year contracts.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Three Months Ended 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Six Months Ended June 30,</w:t>
            </w:r>
          </w:p>
        </w:tc>
        <w:tc>
          <w:tcPr>
            <w:tcW w:w="940" w:type="dxa"/>
            <w:vAlign w:val="bottom"/>
            <w:tcBorders>
              <w:bottom w:val="single" w:sz="8" w:color="auto"/>
            </w:tcBorders>
          </w:tcPr>
          <w:p>
            <w:pPr>
              <w:spacing w:after="0"/>
              <w:rPr>
                <w:sz w:val="20"/>
                <w:szCs w:val="20"/>
                <w:color w:val="auto"/>
              </w:rPr>
            </w:pPr>
          </w:p>
        </w:tc>
      </w:tr>
      <w:tr>
        <w:trPr>
          <w:trHeight w:val="191"/>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r>
      <w:tr>
        <w:trPr>
          <w:trHeight w:val="210"/>
        </w:trPr>
        <w:tc>
          <w:tcPr>
            <w:tcW w:w="27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10"/>
        </w:trPr>
        <w:tc>
          <w:tcPr>
            <w:tcW w:w="27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Total operating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decreased 13% and 12% for the three and six months ended June 30, 2009, compared with the same periods in 2008. The decrease in expenses was due to the strengthening of the U.S. dollar against other currencies, lower amortization of intangible assets, and reductions in compensation and third-party consulting costs. As a percentage of revenues, operating expenses increased 2% for the three and six months ended June 30, 2009, compared with the same period in 2008, as a result of lower revenues. To partially mitigate the reduced revenues, a variety of cost containment measures are underway, including, but not limited to, suspended compensation increases and selective headcount reductions.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215"/>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3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(15,967)</w:t>
            </w:r>
          </w:p>
        </w:tc>
        <w:tc>
          <w:tcPr>
            <w:tcW w:w="340" w:type="dxa"/>
            <w:vAlign w:val="bottom"/>
          </w:tcPr>
          <w:p>
            <w:pPr>
              <w:spacing w:after="0"/>
              <w:rPr>
                <w:sz w:val="18"/>
                <w:szCs w:val="18"/>
                <w:color w:val="auto"/>
              </w:rPr>
            </w:pPr>
          </w:p>
        </w:tc>
        <w:tc>
          <w:tcPr>
            <w:tcW w:w="1140" w:type="dxa"/>
            <w:vAlign w:val="bottom"/>
            <w:gridSpan w:val="2"/>
          </w:tcPr>
          <w:p>
            <w:pPr>
              <w:jc w:val="right"/>
              <w:ind w:right="75"/>
              <w:spacing w:after="0"/>
              <w:rPr>
                <w:sz w:val="20"/>
                <w:szCs w:val="20"/>
                <w:color w:val="auto"/>
              </w:rPr>
            </w:pPr>
            <w:r>
              <w:rPr>
                <w:rFonts w:ascii="Arial" w:cs="Arial" w:eastAsia="Arial" w:hAnsi="Arial"/>
                <w:sz w:val="18"/>
                <w:szCs w:val="18"/>
                <w:color w:val="auto"/>
              </w:rPr>
              <w:t>(21,761)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(30,972)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(48,440)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prepaid debt fees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(4,027)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(5,885)</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(10,340)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w:t>
            </w:r>
          </w:p>
        </w:tc>
      </w:tr>
      <w:tr>
        <w:trPr>
          <w:trHeight w:val="20"/>
        </w:trPr>
        <w:tc>
          <w:tcPr>
            <w:tcW w:w="35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8"/>
                <w:szCs w:val="18"/>
                <w:color w:val="auto"/>
              </w:rPr>
              <w:t>Total other income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(18,795)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5"/>
              <w:spacing w:after="0"/>
              <w:rPr>
                <w:sz w:val="20"/>
                <w:szCs w:val="20"/>
                <w:color w:val="auto"/>
              </w:rPr>
            </w:pPr>
            <w:r>
              <w:rPr>
                <w:rFonts w:ascii="Arial" w:cs="Arial" w:eastAsia="Arial" w:hAnsi="Arial"/>
                <w:sz w:val="18"/>
                <w:szCs w:val="18"/>
                <w:color w:val="auto"/>
              </w:rPr>
              <w:t>(26,173)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(47,479)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(53,098)</w:t>
            </w:r>
          </w:p>
        </w:tc>
      </w:tr>
      <w:tr>
        <w:trPr>
          <w:trHeight w:val="27"/>
        </w:trPr>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67% and 65% in the three and six months ended June 30, 2009, compared with the same periods in 2008,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interest rates in the first half of 2009, compared with the same period in 2008. The decrease in interest rates was partially offset by an increase in our average cash and cash equivalent balances, which were $151.6 million and $136.2 million for the three and six months ended June 30, 2009, compared with $123.4 million and $104.1 million for the same periods in 2008.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w:t>
        </w:r>
      </w:hyperlink>
    </w:p>
    <w:p>
      <w:pPr>
        <w:spacing w:after="0" w:line="2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27% and 36% in the three and six months ended June 30, 2009, compared with the same periods in 2008,</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decline in the principal balance of our debt outstanding and a decline in the LIBOR interest rate during the first half of 2009. The decrease in interest expense was partially offset by an increase in the applicable margin on our term loans in the second quarter of 2009 from 1.75% to 3.50%, related to our term loan agreement amendment, compared with an applicable margin of 2.0% during the three and six months ended June 30, 2008. At June 30, 2009, inclusive of our interest rate swaps, 83% of our borrowings were at fixed rates. The average outstanding principal balance on our borrowings was $961.3 million and $995.8 million in the three and six months ended June 30, 2009, compared with $1.4 billion and $1.5 billion for the same periods in 2008.</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Amortization of prepaid debt fees</w:t>
      </w:r>
      <w:r>
        <w:rPr>
          <w:rFonts w:ascii="Arial" w:cs="Arial" w:eastAsia="Arial" w:hAnsi="Arial"/>
          <w:sz w:val="16"/>
          <w:szCs w:val="16"/>
          <w:color w:val="auto"/>
        </w:rPr>
        <w:t>: The decrease in amortization of prepaid debt fees for the three and six months ended June 30, 2009, compared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in 2008, is primarily due to lower debt prepayments. Debt repayments were $2.7 million and $70.2 million for the three and six months ended June 30, 2009, compared with $304.0 million and $350.7 million for the three and six months ended June 30, 2008. When debt is repaid early, the related portion of unamortized prepaid debt fees is written-off and included in interest expense. There were no remaining prepaid debt fees when we completed the exchange of our convertible notes for stock in the first quarter of 2009 as those fees were written-off when the notes first became convertible in 2007.</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Loss on extinguishment of debt</w:t>
      </w:r>
      <w:r>
        <w:rPr>
          <w:rFonts w:ascii="Arial" w:cs="Arial" w:eastAsia="Arial" w:hAnsi="Arial"/>
          <w:sz w:val="17"/>
          <w:szCs w:val="17"/>
          <w:color w:val="auto"/>
        </w:rPr>
        <w:t>: During the first quarter of 2009, we entered into exchange agreements with certain holders of our convertible notes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aggregate, approximately 2.3 million shares of common stock, valued at $132.9 million, in exchange for, in the aggregate, $121.0 million principal amount of the convertible notes, representing 35% of the aggregate principal outstanding at the date of the exchanges. As a result, we recognized a net loss on extinguishment of debt of $10.3 million, calculated as the inducement loss, plus an allocation of advisory fees less the revaluation gain. For a description of the induced conversion, see Note 6 of the condensed consolidated financial statements.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In the three and six months ended June 30, 2009, other expenses, net, resulted primarily from net foreign currency losses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revaluation of monetary asset and liability balances denominated in a currency other than the reporting entity’s functional currency and $1.5 million in legal and advisory fees associated with the amendment to our credit facility. In the three and six months ended June 30, 2008, other expenses, net, resulted primarily from net foreign currency losses due to the revaluation of monetary asset and liability balances denominated in a currency other than the reporting entity’s functional currency.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Cash Flow Information: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8"/>
                <w:szCs w:val="18"/>
                <w:color w:val="auto"/>
              </w:rPr>
            </w:pPr>
          </w:p>
        </w:tc>
      </w:tr>
      <w:tr>
        <w:trPr>
          <w:trHeight w:val="210"/>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75"/>
              </w:rPr>
              <w:t>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67.3</w:t>
            </w:r>
          </w:p>
        </w:tc>
        <w:tc>
          <w:tcPr>
            <w:tcW w:w="3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87.3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7"/>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was $276.1 million at June 30, 2009, compared with $144.4 million at December 31, 2008. The increase was primarily the result of our financing activities.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Cash provided by operating activities for the six months ended June 30, 2009 was $53.2 million lower, compared with the same period in 2008, primarily due to the impact of our lower earnings.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Net cash used in investing activities decreased 9% in the first half of 2009, compared with the same period in 2008, primarily due to delayed purchases of machinery and equipment. Payment of contingent consideration totaling $1.3 million in 2009 was related to our 2006 acquisitions of ELO Sistemas e Tecnologia Ltda and Quantum Consulting, Inc.</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4" w:name="page45"/>
    <w:bookmarkEnd w:id="4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half of 2009, we repaid debt of $70.2 million, compared with $350.7 million during the same period in 2008. On June 3, 2009, we completed an underwritten public offering of approximately 3.2 million shares of common stock for net proceeds of $160.4 million, compared with our 2008 public offering of approximately 3.4 million shares of common stock resulting in net proceeds of $310.9 million. Cash generated from the exercise of stock-based awards was $1.9 million for the first half of 2009, compared with $5.3 million during the same period in 2008.</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first half of 2009 was an increase of $2.2 million, compared with an increase of $704,000 for the same period in 2008.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transactions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2009, we completed exchanges with certain holders of our convertible notes in which we issued, in the aggregate, approximately 2.3 million shares of common stock valued at $132.9 million, in exchange for, in the aggregate, $121.0 million principal amount of the convertible notes. See Note 6 of the condensed consolidated financial statements for a further discussion. In the second quarter of 2009, contingent consideration of $2.0 million became payable related to our 2006 acquisition of Flow Metrix, Inc. Payment is expected in the fourth quarter of 2009.</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2009 and December 31, 2008 that we believe are reasonably likely to have a current or future effect on our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Sources and Uses of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our credit facility, senior subordinated notes, and convertible senior subordinated notes, see Note 6 of the condensed consolidated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the current economic environment and volatile foreign exchange rates, we considered it prudent to strengthen our financial position. In the first quarter of 2009, we completed an exchange of a portion of our convertible debt for equity, resulting in a reduction in the principal of our convertible debt obligation by $121.0 million. In April 2009, we amended our credit facility to adjust our maximum leverage ratio and the minimum interest coverage ratio. We also obtained an uncommitted option to increase the $115 million multicurrency revolving line-of credit by an additional $75 million without further amendment to the credit facility. This option will provide further potential sources of liquidity to allow us to support the growth of our business. At June 30, 2009, there were no borrowings outstanding under the revolver and $51.3 million was utilized by outstanding standby letters of credit, resulting in $63.7 million being available for additional borrowings. In June 2009, we sold 3.2 million shares of the Company’s common stock with net proceeds of $160.4 million. On July 17, 2009, we further reduced our total borrowings by repaying the remaining $110 million of our senior subordinated notes.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Sources and Uses of Capital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 description of our letters of credit and performance bonds, see Note 11 of the condensed consolidated financial statements. For a description of our funded and unfunded non-U.S. defined benefit pension plans and our expected 2009 contributions, see Note 8 of the condensed consolidated financial statements.</w:t>
      </w:r>
    </w:p>
    <w:p>
      <w:pPr>
        <w:spacing w:after="0" w:line="2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deferred income tax assets consist primarily of accumulated net operating loss carryforwards, hedging activities, and tax credits that can be carried forward, some of which are limited by Internal Revenue Code Sections 382 and 383. The limited deferred income tax assets resulted primarily from acquisitions. Based on current projections, we expect to pay $700,000 in U.S. federal and state taxes and approximately $16.6 million in local and foreign taxes in 2009. See Note 10 of the condensed consolidated financial statements for a discussion of our tax provision (benefit) and unrecognized tax benefits.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Working capital, which represents current assets less current liabilities, was $312.9 million at June 30, 2009, compared with $293.3 million at December 31, 2008. The $19.6 million increase in working capital resulted primarily from proceeds from our sale of an aggregate of 3.2 million shares of the Company’s common stock.</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I of our Annual Report on Form 10-K for the fiscal year ended December 31, 2008, which was filed with the SEC on February 26, 2009, and Item 1A of Part II of our Quarterly Report on Form 10-Q for the three months ended March 31, 2009, which was filed with the SEC on May 5, 2009, as well as in our “Quantitative and Qualitative Disclosures About Market Risk” within Item 3 of Part 1, included in this Quarterly Report on Form 10-Q.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majority of our revenues are recognized when products are shipped to or received by a customer or when services are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arrangements involving multiple elements,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Fair values represent the estimated price charged when an item is sold separately. We review our fair values on an annual basis or more frequently if a significant trend is noted.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Unearned revenue is recorded when a customer pays for products or services where the criteria for revenue recognition have not been met as of the balance sheet date. Deferred cost is recorded for products or services for which ownership (typically defined as title and risk of loss) has transferred to the customer, but for which the criteria for revenue recognition have not been met as of the balance sheet date. Previously recorded unearned revenue and deferred costs are recognized when the applicable revenue recognition criteria are met. Shipping and handling costs and incidental expenses billed to customers are recorded as revenue, with the associated cost charged to cost of revenues.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Warranty: </w:t>
      </w:r>
      <w:r>
        <w:rPr>
          <w:rFonts w:ascii="Arial" w:cs="Arial" w:eastAsia="Arial" w:hAnsi="Arial"/>
          <w:sz w:val="17"/>
          <w:szCs w:val="17"/>
          <w:color w:val="auto"/>
        </w:rPr>
        <w:t>We offer standard warranties on our hardware products and large application software products. We accrue the estimated cost of warranty claims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Items are removed from inventory using the first-in, first-out method. Inventories include raw materials, sub-assemblies, and finished goods.</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result from our acquisitions. We use estimates, including estimates of useful lives of</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We test goodwill for impairment each year as of October 1, or more frequently if a significant impairment indicator occurs. Our Itron North America operating segment represents one reporting unit, while our Itron International operating segment has three reporting units. We forecast discounted future cash flows at the reporting unit level based on estimated future revenues and operating costs, which take into consideration factors such as existing backlog, expected future orders, supplier contracts, and general market conditions. We also identify similar publicly traded companies and develop a correlation, referred to as a multiple, to apply to the operating results of the reporting units. Therefore, changes in market demand, the volatility and decline in the worldwide equity markets, and the decline in our market capitalization could negatively impact our annual goodwill impairment test, which could have a significant effect on our current and future results of operations and financial condition. Goodwill may be tested more frequently if events or changes in circumstances indicate that the asset might be impaired. Intangible assets are tested for impairment when events or changes in circumstances indicate the carrying value may not be recoverable. At June 30, 2009, we believe impairment testing of our goodwill and intangible assets was not required.</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measure and recognize compensation expense for all stock-based awards made to employees and directors, including awards</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 options, stock issued pursuant to our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In valuing our stock-based awards, significant judgment is required in determining the expected volatility of our common stock and the expected life that individuals will hold their stock-based awards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stock-based awards,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restricted and unrestricted stock awards and units,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adjusted for estimated forfeitures, using the straight-line method over the vesting requirement. A substantial portion of our stock-based compensation cannot be expensed for tax purposes. When we have tax deductions in excess of the compensation cost, they are classified as financing cash inflows in the Consolidated Statements of Cash Flows.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Defined Benefit Pension Plans: </w:t>
      </w:r>
      <w:r>
        <w:rPr>
          <w:rFonts w:ascii="Arial" w:cs="Arial" w:eastAsia="Arial" w:hAnsi="Arial"/>
          <w:sz w:val="16"/>
          <w:szCs w:val="16"/>
          <w:color w:val="auto"/>
        </w:rPr>
        <w:t>We sponsor both funded and unfunded non-U.S. defined benefit pension plans. We recognize a liability for the projected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net of tax, the actuarial gains or losses and prior service costs or credits, if any, that arise during the period but are not recognized as components of net periodic benefit cost.</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use the average 15 year corporate bond yield curve from the central banks of each respective country in which we have an established benefit pension plan. The weighted average discount rate used to measure the projected benefit obligation as of December 31, 2008 was 6.52%. A change of 25 basis points in the discount rate would change our pension benefit obligation by approximately $2 million. The financial and actuarial assumptions used at December 31, 2008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other comprehensive income in the period in which they occur.</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See Note 8 of the condensed consolidated financial statements for our expected contributions for the year.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Convertible Debt: </w:t>
      </w:r>
      <w:r>
        <w:rPr>
          <w:rFonts w:ascii="Arial" w:cs="Arial" w:eastAsia="Arial" w:hAnsi="Arial"/>
          <w:sz w:val="18"/>
          <w:szCs w:val="18"/>
          <w:color w:val="auto"/>
        </w:rPr>
        <w:t>Financial Accounting Standards Board (FASB) Staff Position (FSP) APB 14-1, Accounting for Convertible Debt Instruments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upon Conversion (Including Partial Cash Settlement) (FSP 14-1) requires our convertible debt to be separated into its liability and equity components in a manner that reflects our non-convertible debt borrowing rate, which we determined to be 7.38% at the time of the issuance of the convertible notes issuance in August 2006. Upon derecognition of the convertible notes, we are required to remeasure the fair value of the liability and equity components using a borrowing rate for similar non-convertible debt that would be applicable to Itron at the date of the derecognition. Any increase or decrease in borrowing rates from the inception of the debt to the date of derecognition could result in a gain or loss, respectively, on extinguishment. Based on market conditions and our credit rating at the date of derecognition, the borrowing rate could be materially different from the rate determined at the inception of the convertible debt.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estimate income taxes in each of the taxing jurisdictions in which we operate. Changes in our effective tax rate are subject to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including fluctuations in the forecasted mix of earnings in domestic and international jurisdictions, new or revised tax legislation and accounting pronouncements, research credits, and state income taxes. Significant judgment is required in determining our annual tax rate and in evaluating our tax positions. We assess the likelihood that deferred tax assets, which include net operating loss carryforwards and temporary differences expected to be deductible in future years, will be recoverable.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 valuation allowances to reduce deferred income tax assets to the extent we believe it is more likely than not that a portion of such assets will not be realized. In making such determinations, we consider all available positive and negative evidence, including scheduled reversals of deferred income tax liabilities, projected future taxable income, tax planning strategies, and our ability to carry back losses to prior years. We are required to make assumptions and judgments about potential outcomes that lie outside management’s control.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can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effective tax rate may be materially affected in the period of final settlement with the tax authorities.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All derivative instruments, whether designated in hedging relationships or not, are recorded on the Consolidated Balance Sheets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as either assets or liabilities. The components and fair values of our derivative instruments, which are primarily interest rate swaps, are determined using the fair value measurements of significant other observable inputs (Level 2), as defined by GAAP.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 Derivatives are not used for trading or speculative purposes. We have one counterparty to our derivatives, which is a major international financial institution, with whom we have a master netting agreement; however, our derivative positions are not disclosed on a net basis. There are no credit-risk-related contingent features within our derivative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 of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9" w:name="page50"/>
    <w:bookmarkEnd w:id="4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June 30, 2009. As a result of our interest rate swaps at June 30, 2009, 83% of our borrowings are at fixed rates. Weighted average variable rates in the table are based on implied forward rates in the Bloomberg U.S. dollar yield curve as of June 30, 2009, our estimated leverage ratio, which determines our additional interest rate margin, and a static foreign exchange rate at June 30, 2009.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Beyond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2011</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Fixed Rate Debt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89"/>
              </w:rPr>
              <w:t>(in millions)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line="216" w:lineRule="exact"/>
              <w:rPr>
                <w:sz w:val="20"/>
                <w:szCs w:val="20"/>
                <w:color w:val="auto"/>
              </w:rPr>
            </w:pPr>
            <w:r>
              <w:rPr>
                <w:rFonts w:ascii="Arial" w:cs="Arial" w:eastAsia="Arial" w:hAnsi="Arial"/>
                <w:sz w:val="18"/>
                <w:szCs w:val="18"/>
                <w:color w:val="auto"/>
              </w:rPr>
              <w:t xml:space="preserve">Principal: Convertible notes </w:t>
            </w:r>
            <w:r>
              <w:rPr>
                <w:rFonts w:ascii="Arial" w:cs="Arial" w:eastAsia="Arial" w:hAnsi="Arial"/>
                <w:sz w:val="25"/>
                <w:szCs w:val="25"/>
                <w:color w:val="auto"/>
                <w:vertAlign w:val="superscript"/>
              </w:rPr>
              <w:t>(1) (2)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223.6</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Interest rate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line="216" w:lineRule="exact"/>
              <w:rPr>
                <w:sz w:val="20"/>
                <w:szCs w:val="20"/>
                <w:color w:val="auto"/>
              </w:rPr>
            </w:pPr>
            <w:r>
              <w:rPr>
                <w:rFonts w:ascii="Arial" w:cs="Arial" w:eastAsia="Arial" w:hAnsi="Arial"/>
                <w:sz w:val="18"/>
                <w:szCs w:val="18"/>
                <w:color w:val="auto"/>
              </w:rPr>
              <w:t xml:space="preserve">Principal: Subordinated notes </w:t>
            </w:r>
            <w:r>
              <w:rPr>
                <w:rFonts w:ascii="Arial" w:cs="Arial" w:eastAsia="Arial" w:hAnsi="Arial"/>
                <w:sz w:val="25"/>
                <w:szCs w:val="25"/>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109.6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i w:val="1"/>
                <w:iCs w:val="1"/>
                <w:color w:val="auto"/>
              </w:rPr>
              <w:t xml:space="preserve">Variable Rate Debt </w:t>
            </w:r>
            <w:r>
              <w:rPr>
                <w:rFonts w:ascii="Arial" w:cs="Arial" w:eastAsia="Arial" w:hAnsi="Arial"/>
                <w:sz w:val="25"/>
                <w:szCs w:val="25"/>
                <w:i w:val="1"/>
                <w:iCs w:val="1"/>
                <w:color w:val="auto"/>
                <w:vertAlign w:val="superscript"/>
              </w:rPr>
              <w:t>(4)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Principal: U.S. dollar term loan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300.3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Euro 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line="216" w:lineRule="exact"/>
              <w:rPr>
                <w:sz w:val="20"/>
                <w:szCs w:val="20"/>
                <w:color w:val="auto"/>
              </w:rPr>
            </w:pPr>
            <w:r>
              <w:rPr>
                <w:rFonts w:ascii="Arial" w:cs="Arial" w:eastAsia="Arial" w:hAnsi="Arial"/>
                <w:sz w:val="18"/>
                <w:szCs w:val="18"/>
                <w:color w:val="auto"/>
                <w:w w:val="96"/>
              </w:rPr>
              <w:t xml:space="preserve">Interest rate swaps on U.S. dollar term loan </w:t>
            </w:r>
            <w:r>
              <w:rPr>
                <w:rFonts w:ascii="Arial" w:cs="Arial" w:eastAsia="Arial" w:hAnsi="Arial"/>
                <w:sz w:val="25"/>
                <w:szCs w:val="25"/>
                <w:color w:val="auto"/>
                <w:w w:val="96"/>
                <w:vertAlign w:val="superscript"/>
              </w:rPr>
              <w:t>(5)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 (Pay)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Average interest rate (Receive)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Net/Spread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line="216" w:lineRule="exact"/>
              <w:rPr>
                <w:sz w:val="20"/>
                <w:szCs w:val="20"/>
                <w:color w:val="auto"/>
              </w:rPr>
            </w:pPr>
            <w:r>
              <w:rPr>
                <w:rFonts w:ascii="Arial" w:cs="Arial" w:eastAsia="Arial" w:hAnsi="Arial"/>
                <w:sz w:val="18"/>
                <w:szCs w:val="18"/>
                <w:color w:val="auto"/>
              </w:rPr>
              <w:t xml:space="preserve">Interest rate swap on euro term loan </w:t>
            </w:r>
            <w:r>
              <w:rPr>
                <w:rFonts w:ascii="Arial" w:cs="Arial" w:eastAsia="Arial" w:hAnsi="Arial"/>
                <w:sz w:val="25"/>
                <w:szCs w:val="25"/>
                <w:color w:val="auto"/>
                <w:vertAlign w:val="superscript"/>
              </w:rPr>
              <w:t>(6)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Average interest rate (Pay)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Net/Spread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45"/>
        <w:spacing w:after="0" w:line="227"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On January 1, 2009, we adopted FSP 14-1 that resulted in a change to the way we account for the convertible notes. See Note 6 of the condensed consolidated financial statements for the reconciliation between the face value and the carrying amount of the convertible notes.</w:t>
      </w:r>
    </w:p>
    <w:p>
      <w:pPr>
        <w:jc w:val="both"/>
        <w:ind w:left="340" w:hanging="245"/>
        <w:spacing w:after="0" w:line="221"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$203.4 million carrying amount of our convertible notes due August 2026 have fixed interest payments due every six months, in February and August. Due to the combination of put, call, and conversion options that are part of the terms of the convertible note agreement, the remaining $20.2 million discount on the liability component will be amortized over the next 24 months.</w:t>
      </w:r>
    </w:p>
    <w:p>
      <w:pPr>
        <w:spacing w:after="0" w:line="2" w:lineRule="exact"/>
        <w:rPr>
          <w:rFonts w:ascii="Arial" w:cs="Arial" w:eastAsia="Arial" w:hAnsi="Arial"/>
          <w:sz w:val="25"/>
          <w:szCs w:val="25"/>
          <w:color w:val="auto"/>
          <w:vertAlign w:val="superscript"/>
        </w:rPr>
      </w:pPr>
    </w:p>
    <w:p>
      <w:pPr>
        <w:jc w:val="both"/>
        <w:ind w:left="340" w:hanging="245"/>
        <w:spacing w:after="0" w:line="233"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$109.6 million aggregate principal amount of 7.75% subordinated notes, due in 2012, was originally discounted to $99.265 per $100 of principal to yield 7.875%. The balance of the subordinated notes, including unaccreted discount, was $109.2 million at June 30, 2009. We redeemed all outstanding subordinated notes on July 17, 2009 (see Note 6 and Note 16 of the condensed consolidated financial statements).</w:t>
      </w:r>
    </w:p>
    <w:p>
      <w:pPr>
        <w:ind w:left="340" w:hanging="245"/>
        <w:spacing w:after="0" w:line="209"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Our senior secured credit facility has a remaining balance of $661.4 million at June 30, 2009 (see Note 6 of the condensed consolidated financial statements).</w:t>
      </w:r>
    </w:p>
    <w:p>
      <w:pPr>
        <w:spacing w:after="0" w:line="1" w:lineRule="exact"/>
        <w:rPr>
          <w:rFonts w:ascii="Arial" w:cs="Arial" w:eastAsia="Arial" w:hAnsi="Arial"/>
          <w:sz w:val="25"/>
          <w:szCs w:val="25"/>
          <w:color w:val="auto"/>
          <w:vertAlign w:val="superscript"/>
        </w:rPr>
      </w:pPr>
    </w:p>
    <w:p>
      <w:pPr>
        <w:jc w:val="both"/>
        <w:ind w:left="340" w:hanging="245"/>
        <w:spacing w:after="0" w:line="22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interest rate swap is used to convert $200 million of our $327.7 million U.S. dollar denominated variable rate term loan under the senior secured credit facility from a floating one-month London Interbank Offered Rate (LIBOR) interest rate, plus an additional margin, to a fixed 2.68% interest rate for one year, through June 30, 2010, plus the additional margin. This variable-to-fixed interest rate swap is considered/expected to be a highly effective cash flow hedge (see Note 7 of the condensed consolidated financial statements).</w:t>
      </w:r>
    </w:p>
    <w:p>
      <w:pPr>
        <w:spacing w:after="0" w:line="1" w:lineRule="exact"/>
        <w:rPr>
          <w:rFonts w:ascii="Arial" w:cs="Arial" w:eastAsia="Arial" w:hAnsi="Arial"/>
          <w:sz w:val="25"/>
          <w:szCs w:val="25"/>
          <w:color w:val="auto"/>
          <w:vertAlign w:val="superscript"/>
        </w:rPr>
      </w:pPr>
    </w:p>
    <w:p>
      <w:pPr>
        <w:jc w:val="both"/>
        <w:ind w:left="340" w:hanging="245"/>
        <w:spacing w:after="0" w:line="232"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amortizing euro denominated interest rate swap is used to convert $291.5 million (€207.5 million) of our $333.7 million (€237.5 million) euro denominated variable rate term loan from a floating three-month Euro Interbank Offered Rate (EURIBOR), plus an additional margin, to a fixed rate of 6.59%, through December 31, 2012, plus an additional margin. As a result of the amortization schedule, the interest rate swap will terminate before the stated maturity of the term loan. This variable-to-fixed interest rate swap is considered a highly effective cash flow hedge (see Note 7 of the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0" w:name="page51"/>
    <w:bookmarkEnd w:id="5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a sensitivity analysis as of June 30, 2009, we estimate that if market interest rates average one percentage point higher in 2009 than in the table above, our earnings before income taxes in 2009 would not be materially impacted due to our interest rate swaps in place at June 30, 2009.</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a number of countries. As a result, the majority of our revenues and operating expenses are denominated in foreign currencies; therefore, we face exposure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International revenues were 68% for the three months and six months ended June 30, 2009, compared with 67% for the same periods in 2008.</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foreign exchange risk through our international subsidiaries. As a result of our acquisition of an international company,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OCI. We had no hedge ineffectiveness. (See Note 7 of the condensed consolidated financial statements.)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through our intercompany financing transactions. At each period end, foreign currency monetary assets and liabilities, including intercompany balances, are revalued with the change recorded to other income and expense. In the second quarter of 2008, we began entering into monthly foreign exchange forward contracts, not designated for hedge accounting, with the intent to reduce earnings volatility associated with certain foreign currency balances of intercompany financing transactions. During the six months ended June 30, 2009, the notional amount of our outstanding forward contracts ranged from $1 million to $36 million offsetting exposures from the euro, British pound, Czech koruna, and Hungarian forint.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500" w:hanging="492"/>
        <w:spacing w:after="0" w:line="270"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An evaluation was performed under the supervision and with the participation of our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2009,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7" w:lineRule="exact"/>
        <w:rPr>
          <w:rFonts w:ascii="Arial" w:cs="Arial" w:eastAsia="Arial" w:hAnsi="Arial"/>
          <w:sz w:val="17"/>
          <w:szCs w:val="17"/>
          <w:color w:val="auto"/>
        </w:rPr>
      </w:pPr>
    </w:p>
    <w:p>
      <w:pPr>
        <w:ind w:left="500" w:hanging="447"/>
        <w:spacing w:after="0" w:line="308" w:lineRule="auto"/>
        <w:tabs>
          <w:tab w:leader="none" w:pos="50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Changes in internal controls over financial reporting</w:t>
      </w:r>
      <w:r>
        <w:rPr>
          <w:rFonts w:ascii="Arial" w:cs="Arial" w:eastAsia="Arial" w:hAnsi="Arial"/>
          <w:sz w:val="17"/>
          <w:szCs w:val="17"/>
          <w:color w:val="auto"/>
        </w:rPr>
        <w:t>. There have been no changes in internal control over financial reporting during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2009 that have materially affected, or are reasonably likely to materially affect, our internal controls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1" w:name="page52"/>
    <w:bookmarkEnd w:id="5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three and six months ended June 30, 2009.</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material changes to risk factors during the second quarter of 2009 from those previously disclosed in Item 1A of Part I of our Annual Report on Form 10-K for the fiscal year ended December 31, 2008, which was filed with the SEC on February 26, 2009, and Item 1A of Part II of our Quarterly Report on Form 10-Q for the three months ended March 31, 2009, which was filed with the SEC on May 5, 2009.</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held its annual meeting of shareholders on May 5, 2009. Three directors, Michael B. Bracy, Kirby A. Dyess, and Graham M. Wilson were elected for a term of three years. Jon E. Eliassen, Charles H. Gaylord, Jr., Thomas S. Glanville, Sharon L. Nelson, LeRoy D. Nosbaum, Gary E. Pruitt, and Malcolm Unsworth continued their terms as directors. The following summarizes all matters voted on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Matter 1: The vote for the nominated directors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10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 FAVOR</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AGAINST</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ABSTAIN</w:t>
            </w:r>
          </w:p>
        </w:tc>
      </w:tr>
      <w:tr>
        <w:trPr>
          <w:trHeight w:val="202"/>
        </w:trPr>
        <w:tc>
          <w:tcPr>
            <w:tcW w:w="2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B. Bracy</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27,846,713</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1,344,860</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71,479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Kirby A. Dyess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28,703,587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484,393</w:t>
            </w:r>
          </w:p>
        </w:tc>
        <w:tc>
          <w:tcPr>
            <w:tcW w:w="1260" w:type="dxa"/>
            <w:vAlign w:val="bottom"/>
          </w:tcPr>
          <w:p>
            <w:pPr>
              <w:jc w:val="right"/>
              <w:spacing w:after="0"/>
              <w:rPr>
                <w:sz w:val="20"/>
                <w:szCs w:val="20"/>
                <w:color w:val="auto"/>
              </w:rPr>
            </w:pPr>
            <w:r>
              <w:rPr>
                <w:rFonts w:ascii="Arial" w:cs="Arial" w:eastAsia="Arial" w:hAnsi="Arial"/>
                <w:sz w:val="18"/>
                <w:szCs w:val="18"/>
                <w:color w:val="auto"/>
              </w:rPr>
              <w:t>75,072</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Graham M. Wilson</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27,850,065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1,337,916</w:t>
            </w:r>
          </w:p>
        </w:tc>
        <w:tc>
          <w:tcPr>
            <w:tcW w:w="1260" w:type="dxa"/>
            <w:vAlign w:val="bottom"/>
          </w:tcPr>
          <w:p>
            <w:pPr>
              <w:jc w:val="right"/>
              <w:spacing w:after="0"/>
              <w:rPr>
                <w:sz w:val="20"/>
                <w:szCs w:val="20"/>
                <w:color w:val="auto"/>
              </w:rPr>
            </w:pPr>
            <w:r>
              <w:rPr>
                <w:rFonts w:ascii="Arial" w:cs="Arial" w:eastAsia="Arial" w:hAnsi="Arial"/>
                <w:sz w:val="18"/>
                <w:szCs w:val="18"/>
                <w:color w:val="auto"/>
              </w:rPr>
              <w:t>75,071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Matter 2: Ratification of the appointment of Ernst &amp; Young LLP as the Company’s independent registered public accounting firm for the 2009 fiscal year.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80" w:type="dxa"/>
            <w:vAlign w:val="bottom"/>
            <w:gridSpan w:val="3"/>
          </w:tcPr>
          <w:p>
            <w:pPr>
              <w:ind w:left="540"/>
              <w:spacing w:after="0"/>
              <w:rPr>
                <w:sz w:val="20"/>
                <w:szCs w:val="20"/>
                <w:color w:val="auto"/>
              </w:rPr>
            </w:pPr>
            <w:r>
              <w:rPr>
                <w:rFonts w:ascii="Arial" w:cs="Arial" w:eastAsia="Arial" w:hAnsi="Arial"/>
                <w:sz w:val="18"/>
                <w:szCs w:val="18"/>
                <w:b w:val="1"/>
                <w:bCs w:val="1"/>
                <w:color w:val="auto"/>
              </w:rPr>
              <w:t>IN FAVOR</w:t>
            </w: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AGAINST</w:t>
            </w:r>
          </w:p>
        </w:tc>
        <w:tc>
          <w:tcPr>
            <w:tcW w:w="1980" w:type="dxa"/>
            <w:vAlign w:val="bottom"/>
            <w:gridSpan w:val="2"/>
          </w:tcPr>
          <w:p>
            <w:pPr>
              <w:ind w:left="600"/>
              <w:spacing w:after="0"/>
              <w:rPr>
                <w:sz w:val="20"/>
                <w:szCs w:val="20"/>
                <w:color w:val="auto"/>
              </w:rPr>
            </w:pPr>
            <w:r>
              <w:rPr>
                <w:rFonts w:ascii="Arial" w:cs="Arial" w:eastAsia="Arial" w:hAnsi="Arial"/>
                <w:sz w:val="18"/>
                <w:szCs w:val="18"/>
                <w:b w:val="1"/>
                <w:bCs w:val="1"/>
                <w:color w:val="auto"/>
              </w:rPr>
              <w:t>ABSTAIN</w:t>
            </w:r>
          </w:p>
        </w:tc>
      </w:tr>
      <w:tr>
        <w:trPr>
          <w:trHeight w:val="230"/>
        </w:trPr>
        <w:tc>
          <w:tcPr>
            <w:tcW w:w="2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29,134,336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121,273</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w:t>
            </w:r>
          </w:p>
        </w:tc>
        <w:tc>
          <w:tcPr>
            <w:tcW w:w="20" w:type="dxa"/>
            <w:vAlign w:val="bottom"/>
          </w:tcPr>
          <w:p>
            <w:pPr>
              <w:spacing w:after="0"/>
              <w:rPr>
                <w:sz w:val="20"/>
                <w:szCs w:val="20"/>
                <w:color w:val="auto"/>
              </w:rPr>
            </w:pPr>
          </w:p>
        </w:tc>
      </w:tr>
      <w:tr>
        <w:trPr>
          <w:trHeight w:val="445"/>
        </w:trPr>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Item 5:  Other Information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2009 that was not reported.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2" w:name="page53"/>
    <w:bookmarkEnd w:id="5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520" w:type="dxa"/>
            <w:vAlign w:val="bottom"/>
          </w:tcPr>
          <w:p>
            <w:pPr>
              <w:spacing w:after="0"/>
              <w:rPr>
                <w:sz w:val="20"/>
                <w:szCs w:val="20"/>
                <w:color w:val="auto"/>
              </w:rPr>
            </w:pPr>
          </w:p>
        </w:tc>
        <w:tc>
          <w:tcPr>
            <w:tcW w:w="9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24"/>
                <w:szCs w:val="24"/>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0000EE"/>
              </w:rPr>
              <w:t>Statement re Computation of Ratios</w:t>
            </w:r>
          </w:p>
        </w:tc>
      </w:tr>
      <w:tr>
        <w:trPr>
          <w:trHeight w:val="20"/>
        </w:trPr>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0000EE"/>
              </w:rPr>
              <w:t>Certification Pursuant to Section 906 of the Sarbanes-Oxley Act of 2002</w:t>
            </w:r>
          </w:p>
        </w:tc>
      </w:tr>
      <w:tr>
        <w:trPr>
          <w:trHeight w:val="20"/>
        </w:trPr>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3" w:name="page54"/>
    <w:bookmarkEnd w:id="5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7"/>
              </w:rPr>
              <w:t>ITRON, INC.</w:t>
            </w:r>
          </w:p>
        </w:tc>
        <w:tc>
          <w:tcPr>
            <w:tcW w:w="3440" w:type="dxa"/>
            <w:vAlign w:val="bottom"/>
          </w:tcPr>
          <w:p>
            <w:pPr>
              <w:spacing w:after="0"/>
              <w:rPr>
                <w:sz w:val="20"/>
                <w:szCs w:val="20"/>
                <w:color w:val="auto"/>
              </w:rPr>
            </w:pPr>
          </w:p>
        </w:tc>
      </w:tr>
      <w:tr>
        <w:trPr>
          <w:trHeight w:val="432"/>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August 3, 2009</w:t>
            </w:r>
          </w:p>
        </w:tc>
        <w:tc>
          <w:tcPr>
            <w:tcW w:w="1260" w:type="dxa"/>
            <w:vAlign w:val="bottom"/>
          </w:tcPr>
          <w:p>
            <w:pPr>
              <w:ind w:left="90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/s/ STEVEN M. HELMBRECHT</w:t>
            </w:r>
          </w:p>
        </w:tc>
        <w:tc>
          <w:tcPr>
            <w:tcW w:w="3440" w:type="dxa"/>
            <w:vAlign w:val="bottom"/>
          </w:tcPr>
          <w:p>
            <w:pPr>
              <w:spacing w:after="0"/>
              <w:rPr>
                <w:sz w:val="24"/>
                <w:szCs w:val="24"/>
                <w:color w:val="auto"/>
              </w:rPr>
            </w:pPr>
          </w:p>
        </w:tc>
      </w:tr>
      <w:tr>
        <w:trPr>
          <w:trHeight w:val="191"/>
        </w:trPr>
        <w:tc>
          <w:tcPr>
            <w:tcW w:w="2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16"/>
                <w:szCs w:val="16"/>
                <w:color w:val="auto"/>
              </w:rPr>
            </w:pPr>
          </w:p>
        </w:tc>
        <w:tc>
          <w:tcPr>
            <w:tcW w:w="4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Steven M. Helmbrecht</w:t>
            </w:r>
          </w:p>
        </w:tc>
        <w:tc>
          <w:tcPr>
            <w:tcW w:w="344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c>
          <w:tcPr>
            <w:tcW w:w="3440" w:type="dxa"/>
            <w:vAlign w:val="bottom"/>
          </w:tcPr>
          <w:p>
            <w:pPr>
              <w:spacing w:after="0"/>
              <w:rPr>
                <w:sz w:val="20"/>
                <w:szCs w:val="20"/>
                <w:color w:val="auto"/>
              </w:rPr>
            </w:pPr>
          </w:p>
        </w:tc>
      </w:tr>
      <w:tr>
        <w:trPr>
          <w:trHeight w:val="945"/>
        </w:trPr>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jc w:val="right"/>
              <w:ind w:right="2090"/>
              <w:spacing w:after="0"/>
              <w:rPr>
                <w:sz w:val="20"/>
                <w:szCs w:val="20"/>
                <w:color w:val="auto"/>
              </w:rPr>
            </w:pPr>
            <w:r>
              <w:rPr>
                <w:rFonts w:ascii="Arial" w:cs="Arial" w:eastAsia="Arial" w:hAnsi="Arial"/>
                <w:sz w:val="18"/>
                <w:szCs w:val="18"/>
                <w:color w:val="auto"/>
              </w:rPr>
              <w:t>52</w:t>
            </w:r>
          </w:p>
        </w:tc>
        <w:tc>
          <w:tcPr>
            <w:tcW w:w="3440" w:type="dxa"/>
            <w:vAlign w:val="bottom"/>
          </w:tcPr>
          <w:p>
            <w:pPr>
              <w:spacing w:after="0"/>
              <w:rPr>
                <w:sz w:val="24"/>
                <w:szCs w:val="24"/>
                <w:color w:val="auto"/>
              </w:rPr>
            </w:pPr>
          </w:p>
        </w:tc>
      </w:tr>
      <w:tr>
        <w:trPr>
          <w:trHeight w:val="118"/>
        </w:trPr>
        <w:tc>
          <w:tcPr>
            <w:tcW w:w="26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gridSpan w:val="10"/>
            <w:vMerge w:val="restart"/>
          </w:tcPr>
          <w:p>
            <w:pPr>
              <w:jc w:val="right"/>
              <w:ind w:right="180"/>
              <w:spacing w:after="0"/>
              <w:rPr>
                <w:sz w:val="20"/>
                <w:szCs w:val="20"/>
                <w:color w:val="auto"/>
              </w:rPr>
            </w:pPr>
            <w:r>
              <w:rPr>
                <w:rFonts w:ascii="Arial" w:cs="Arial" w:eastAsia="Arial" w:hAnsi="Arial"/>
                <w:sz w:val="18"/>
                <w:szCs w:val="18"/>
                <w:b w:val="1"/>
                <w:bCs w:val="1"/>
                <w:color w:val="auto"/>
              </w:rPr>
              <w:t>STATEMENT RE COMPUTATION OF RATIOS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Exhibit 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gridSpan w:val="10"/>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June 30, 2009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2005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gridSpan w:val="9"/>
          </w:tcPr>
          <w:p>
            <w:pPr>
              <w:ind w:left="700"/>
              <w:spacing w:after="0"/>
              <w:rPr>
                <w:sz w:val="20"/>
                <w:szCs w:val="20"/>
                <w:color w:val="auto"/>
              </w:rPr>
            </w:pPr>
            <w:r>
              <w:rPr>
                <w:rFonts w:ascii="Arial" w:cs="Arial" w:eastAsia="Arial" w:hAnsi="Arial"/>
                <w:sz w:val="18"/>
                <w:szCs w:val="18"/>
                <w:b w:val="1"/>
                <w:bCs w:val="1"/>
                <w:color w:val="auto"/>
              </w:rPr>
              <w:t>(in thousands, except ratios)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560"/>
              <w:spacing w:after="0" w:line="216" w:lineRule="exact"/>
              <w:rPr>
                <w:sz w:val="20"/>
                <w:szCs w:val="20"/>
                <w:color w:val="auto"/>
              </w:rPr>
            </w:pPr>
            <w:r>
              <w:rPr>
                <w:rFonts w:ascii="Arial" w:cs="Arial" w:eastAsia="Arial" w:hAnsi="Arial"/>
                <w:sz w:val="18"/>
                <w:szCs w:val="18"/>
                <w:color w:val="auto"/>
              </w:rPr>
              <w:t>Pre-tax income (loss)</w:t>
            </w:r>
            <w:r>
              <w:rPr>
                <w:rFonts w:ascii="Arial" w:cs="Arial" w:eastAsia="Arial" w:hAnsi="Arial"/>
                <w:sz w:val="25"/>
                <w:szCs w:val="25"/>
                <w:color w:val="auto"/>
                <w:vertAlign w:val="superscript"/>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Less: income from equity investees</w:t>
            </w:r>
          </w:p>
        </w:tc>
        <w:tc>
          <w:tcPr>
            <w:tcW w:w="10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(43,908)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47,561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Fixed charges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560"/>
              <w:spacing w:after="0" w:line="216"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5"/>
                <w:szCs w:val="25"/>
                <w:color w:val="auto"/>
                <w:vertAlign w:val="superscript"/>
              </w:rPr>
              <w:t>(2) (5)</w:t>
            </w:r>
          </w:p>
        </w:tc>
        <w:tc>
          <w:tcPr>
            <w:tcW w:w="10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33,244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100,935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22,426</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18,944</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portion of rent expense</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 Fixed charges</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21,456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5"/>
                <w:szCs w:val="25"/>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Ratios: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560"/>
              <w:spacing w:after="0" w:line="216" w:lineRule="exact"/>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5"/>
                <w:szCs w:val="25"/>
                <w:color w:val="auto"/>
                <w:vertAlign w:val="superscript"/>
              </w:rPr>
              <w:t>(b/a)</w:t>
            </w:r>
          </w:p>
        </w:tc>
        <w:tc>
          <w:tcPr>
            <w:tcW w:w="10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(26,901)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(43,908)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240"/>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 w:lineRule="exact"/>
        <w:rPr>
          <w:rFonts w:ascii="Arial" w:cs="Arial" w:eastAsia="Arial" w:hAnsi="Arial"/>
          <w:sz w:val="25"/>
          <w:szCs w:val="25"/>
          <w:color w:val="auto"/>
          <w:vertAlign w:val="superscript"/>
        </w:rPr>
      </w:pPr>
    </w:p>
    <w:p>
      <w:pPr>
        <w:ind w:left="660" w:hanging="240"/>
        <w:spacing w:after="0" w:line="180"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Interest expense, gross, includes amortization of prepaid debt fees and discount.</w:t>
      </w:r>
    </w:p>
    <w:p>
      <w:pPr>
        <w:spacing w:after="0" w:line="2" w:lineRule="exact"/>
        <w:rPr>
          <w:rFonts w:ascii="Arial" w:cs="Arial" w:eastAsia="Arial" w:hAnsi="Arial"/>
          <w:sz w:val="25"/>
          <w:szCs w:val="25"/>
          <w:color w:val="auto"/>
          <w:vertAlign w:val="superscript"/>
        </w:rPr>
      </w:pPr>
    </w:p>
    <w:p>
      <w:pPr>
        <w:ind w:left="660" w:hanging="240"/>
        <w:spacing w:after="0" w:line="203"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Earnings for ratio consist of income from continuing operations before income taxes, less income (loss) from equity investees, plus fixed charges.</w:t>
      </w:r>
    </w:p>
    <w:p>
      <w:pPr>
        <w:spacing w:after="0" w:line="2" w:lineRule="exact"/>
        <w:rPr>
          <w:rFonts w:ascii="Arial" w:cs="Arial" w:eastAsia="Arial" w:hAnsi="Arial"/>
          <w:sz w:val="22"/>
          <w:szCs w:val="22"/>
          <w:color w:val="auto"/>
          <w:vertAlign w:val="superscript"/>
        </w:rPr>
      </w:pPr>
    </w:p>
    <w:p>
      <w:pPr>
        <w:ind w:left="660" w:hanging="240"/>
        <w:spacing w:after="0" w:line="236"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Due to Itron's losses in the six months ended June 30, 2009, and the years ended December 31, 2007 and 2004, the ratio coverage was less than 1:1. Additional earnings of $26,901, $43,908, and $9,406 would have been needed to achieve a coverage of 1:1 in each of those respective periods.</w:t>
      </w:r>
    </w:p>
    <w:p>
      <w:pPr>
        <w:jc w:val="both"/>
        <w:ind w:left="660" w:hanging="240"/>
        <w:spacing w:after="0" w:line="22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On January 1, 2009, we adopted FSP 14-1 and applied it retrospectively to all periods for which our convertible debt was outstanding. Our convertible notes were issued in August 2006. Therefore, pre-tax income (loss) and interest expense, gross reflect this restatement beginning in the year ended December 31, 2006. Refer to Note 1 of the condensed consolidated financial statements for further disclosure of the adoption of FSP 14-1.</w:t>
      </w:r>
    </w:p>
    <w:p>
      <w:pPr>
        <w:sectPr>
          <w:pgSz w:w="11900" w:h="16838" w:orient="portrait"/>
          <w:cols w:equalWidth="0" w:num="1">
            <w:col w:w="11420"/>
          </w:cols>
          <w:pgMar w:left="240" w:top="60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225" w:lineRule="exact"/>
        <w:rPr>
          <w:sz w:val="20"/>
          <w:szCs w:val="20"/>
          <w:color w:val="auto"/>
        </w:rPr>
      </w:pPr>
    </w:p>
    <w:p>
      <w:pPr>
        <w:ind w:left="920" w:hanging="48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jc w:val="both"/>
        <w:ind w:left="1920" w:right="20" w:hanging="480"/>
        <w:spacing w:after="0" w:line="342"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60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2009</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25" w:lineRule="exact"/>
        <w:rPr>
          <w:sz w:val="20"/>
          <w:szCs w:val="20"/>
          <w:color w:val="auto"/>
        </w:rPr>
      </w:pPr>
    </w:p>
    <w:p>
      <w:pPr>
        <w:ind w:left="920" w:hanging="480"/>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jc w:val="both"/>
        <w:ind w:left="1920" w:right="20" w:hanging="480"/>
        <w:spacing w:after="0" w:line="342" w:lineRule="auto"/>
        <w:tabs>
          <w:tab w:leader="none" w:pos="1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60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2009</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2009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170" w:lineRule="exact"/>
        <w:rPr>
          <w:sz w:val="20"/>
          <w:szCs w:val="20"/>
          <w:color w:val="auto"/>
        </w:rPr>
      </w:pPr>
    </w:p>
    <w:p>
      <w:pPr>
        <w:ind w:left="920" w:hanging="480"/>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MALCOLM UNSWORTH</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August 3, 2009</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STEVEN M. HELMBRECHT</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August 3, 2009</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57"/>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1."/>
      <w:numFmt w:val="decimal"/>
      <w:start w:val="157"/>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lvl w:ilvl="1">
      <w:lvlJc w:val="left"/>
      <w:lvlText w:val="(%2)"/>
      <w:numFmt w:val="lowerLetter"/>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2019-12-10T06:22:45Z</dcterms:created>
  <dcterms:modified xsi:type="dcterms:W3CDTF">2019-12-10T06:22:45Z</dcterms:modified>
</cp:coreProperties>
</file>