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ind w:left="4200"/>
        <w:spacing w:after="0"/>
        <w:rPr>
          <w:sz w:val="20"/>
          <w:szCs w:val="20"/>
          <w:color w:val="auto"/>
        </w:rPr>
      </w:pPr>
      <w:r>
        <w:rPr>
          <w:rFonts w:ascii="Arial" w:cs="Arial" w:eastAsia="Arial" w:hAnsi="Arial"/>
          <w:sz w:val="22"/>
          <w:szCs w:val="22"/>
          <w:b w:val="1"/>
          <w:bCs w:val="1"/>
          <w:color w:val="auto"/>
        </w:rPr>
        <w:t>____________________________</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August 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17145</wp:posOffset>
            </wp:positionV>
            <wp:extent cx="361886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200" w:lineRule="exact"/>
        <w:rPr>
          <w:sz w:val="24"/>
          <w:szCs w:val="24"/>
          <w:color w:val="auto"/>
        </w:rPr>
      </w:pPr>
    </w:p>
    <w:p>
      <w:pPr>
        <w:spacing w:after="0" w:line="2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11430</wp:posOffset>
            </wp:positionV>
            <wp:extent cx="43478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347845" cy="17145"/>
                    </a:xfrm>
                    <a:prstGeom prst="rect">
                      <a:avLst/>
                    </a:prstGeom>
                    <a:noFill/>
                  </pic:spPr>
                </pic:pic>
              </a:graphicData>
            </a:graphic>
          </wp:anchor>
        </w:drawing>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91" w:lineRule="exact"/>
        <w:rPr>
          <w:sz w:val="24"/>
          <w:szCs w:val="24"/>
          <w:color w:val="auto"/>
        </w:rPr>
      </w:pPr>
    </w:p>
    <w:tbl>
      <w:tblPr>
        <w:tblLayout w:type="fixed"/>
        <w:tblInd w:w="880" w:type="dxa"/>
        <w:tblCellMar>
          <w:top w:w="0" w:type="dxa"/>
          <w:left w:w="0" w:type="dxa"/>
          <w:bottom w:w="0" w:type="dxa"/>
          <w:right w:w="0" w:type="dxa"/>
        </w:tblCellMar>
      </w:tblPr>
      <w:tr>
        <w:trPr>
          <w:trHeight w:val="241"/>
        </w:trPr>
        <w:tc>
          <w:tcPr>
            <w:tcW w:w="280" w:type="dxa"/>
            <w:vAlign w:val="bottom"/>
          </w:tcPr>
          <w:p>
            <w:pPr>
              <w:spacing w:after="0"/>
              <w:rPr>
                <w:sz w:val="20"/>
                <w:szCs w:val="20"/>
                <w:color w:val="auto"/>
              </w:rPr>
            </w:pPr>
          </w:p>
        </w:tc>
        <w:tc>
          <w:tcPr>
            <w:tcW w:w="2480" w:type="dxa"/>
            <w:vAlign w:val="bottom"/>
          </w:tcPr>
          <w:p>
            <w:pPr>
              <w:jc w:val="center"/>
              <w:ind w:left="230"/>
              <w:spacing w:after="0"/>
              <w:rPr>
                <w:sz w:val="20"/>
                <w:szCs w:val="20"/>
                <w:color w:val="auto"/>
              </w:rPr>
            </w:pPr>
            <w:r>
              <w:rPr>
                <w:rFonts w:ascii="Arial" w:cs="Arial" w:eastAsia="Arial" w:hAnsi="Arial"/>
                <w:sz w:val="18"/>
                <w:szCs w:val="18"/>
                <w:b w:val="1"/>
                <w:bCs w:val="1"/>
                <w:color w:val="auto"/>
                <w:w w:val="89"/>
              </w:rPr>
              <w:t>Washington</w:t>
            </w:r>
          </w:p>
        </w:tc>
        <w:tc>
          <w:tcPr>
            <w:tcW w:w="352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90"/>
              </w:rPr>
              <w:t>000-22418</w:t>
            </w: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20" w:type="dxa"/>
            <w:vAlign w:val="bottom"/>
          </w:tcPr>
          <w:p>
            <w:pPr>
              <w:jc w:val="center"/>
              <w:ind w:right="410"/>
              <w:spacing w:after="0"/>
              <w:rPr>
                <w:sz w:val="20"/>
                <w:szCs w:val="20"/>
                <w:color w:val="auto"/>
              </w:rPr>
            </w:pPr>
            <w:r>
              <w:rPr>
                <w:rFonts w:ascii="Arial" w:cs="Arial" w:eastAsia="Arial" w:hAnsi="Arial"/>
                <w:sz w:val="18"/>
                <w:szCs w:val="18"/>
                <w:b w:val="1"/>
                <w:bCs w:val="1"/>
                <w:color w:val="auto"/>
                <w:w w:val="89"/>
              </w:rPr>
              <w:t>91-1011792</w:t>
            </w:r>
          </w:p>
        </w:tc>
        <w:tc>
          <w:tcPr>
            <w:tcW w:w="280" w:type="dxa"/>
            <w:vAlign w:val="bottom"/>
          </w:tcPr>
          <w:p>
            <w:pPr>
              <w:spacing w:after="0"/>
              <w:rPr>
                <w:sz w:val="20"/>
                <w:szCs w:val="20"/>
                <w:color w:val="auto"/>
              </w:rPr>
            </w:pPr>
          </w:p>
        </w:tc>
      </w:tr>
      <w:tr>
        <w:trPr>
          <w:trHeight w:val="202"/>
        </w:trPr>
        <w:tc>
          <w:tcPr>
            <w:tcW w:w="280" w:type="dxa"/>
            <w:vAlign w:val="bottom"/>
          </w:tcPr>
          <w:p>
            <w:pPr>
              <w:spacing w:after="0"/>
              <w:rPr>
                <w:sz w:val="17"/>
                <w:szCs w:val="17"/>
                <w:color w:val="auto"/>
              </w:rPr>
            </w:pPr>
          </w:p>
        </w:tc>
        <w:tc>
          <w:tcPr>
            <w:tcW w:w="2480" w:type="dxa"/>
            <w:vAlign w:val="bottom"/>
            <w:tcBorders>
              <w:top w:val="single" w:sz="8" w:color="auto"/>
            </w:tcBorders>
          </w:tcPr>
          <w:p>
            <w:pPr>
              <w:jc w:val="center"/>
              <w:ind w:left="250"/>
              <w:spacing w:after="0" w:line="201" w:lineRule="exact"/>
              <w:rPr>
                <w:sz w:val="20"/>
                <w:szCs w:val="20"/>
                <w:color w:val="auto"/>
              </w:rPr>
            </w:pPr>
            <w:r>
              <w:rPr>
                <w:rFonts w:ascii="Arial" w:cs="Arial" w:eastAsia="Arial" w:hAnsi="Arial"/>
                <w:sz w:val="18"/>
                <w:szCs w:val="18"/>
                <w:color w:val="auto"/>
                <w:w w:val="90"/>
              </w:rPr>
              <w:t>(State or Other Jurisdiction</w:t>
            </w:r>
          </w:p>
        </w:tc>
        <w:tc>
          <w:tcPr>
            <w:tcW w:w="3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9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320" w:type="dxa"/>
            <w:vAlign w:val="bottom"/>
            <w:tcBorders>
              <w:top w:val="single" w:sz="8" w:color="auto"/>
            </w:tcBorders>
          </w:tcPr>
          <w:p>
            <w:pPr>
              <w:jc w:val="center"/>
              <w:ind w:right="410"/>
              <w:spacing w:after="0" w:line="201" w:lineRule="exact"/>
              <w:rPr>
                <w:sz w:val="20"/>
                <w:szCs w:val="20"/>
                <w:color w:val="auto"/>
              </w:rPr>
            </w:pPr>
            <w:r>
              <w:rPr>
                <w:rFonts w:ascii="Arial" w:cs="Arial" w:eastAsia="Arial" w:hAnsi="Arial"/>
                <w:sz w:val="18"/>
                <w:szCs w:val="18"/>
                <w:color w:val="auto"/>
                <w:w w:val="93"/>
              </w:rPr>
              <w:t>(IRS Employer</w:t>
            </w:r>
          </w:p>
        </w:tc>
        <w:tc>
          <w:tcPr>
            <w:tcW w:w="280" w:type="dxa"/>
            <w:vAlign w:val="bottom"/>
          </w:tcPr>
          <w:p>
            <w:pPr>
              <w:spacing w:after="0"/>
              <w:rPr>
                <w:sz w:val="17"/>
                <w:szCs w:val="17"/>
                <w:color w:val="auto"/>
              </w:rPr>
            </w:pPr>
          </w:p>
        </w:tc>
      </w:tr>
      <w:tr>
        <w:trPr>
          <w:trHeight w:val="230"/>
        </w:trPr>
        <w:tc>
          <w:tcPr>
            <w:tcW w:w="280" w:type="dxa"/>
            <w:vAlign w:val="bottom"/>
          </w:tcPr>
          <w:p>
            <w:pPr>
              <w:spacing w:after="0"/>
              <w:rPr>
                <w:sz w:val="20"/>
                <w:szCs w:val="20"/>
                <w:color w:val="auto"/>
              </w:rPr>
            </w:pPr>
          </w:p>
        </w:tc>
        <w:tc>
          <w:tcPr>
            <w:tcW w:w="2480" w:type="dxa"/>
            <w:vAlign w:val="bottom"/>
          </w:tcPr>
          <w:p>
            <w:pPr>
              <w:jc w:val="center"/>
              <w:ind w:left="250"/>
              <w:spacing w:after="0"/>
              <w:rPr>
                <w:sz w:val="20"/>
                <w:szCs w:val="20"/>
                <w:color w:val="auto"/>
              </w:rPr>
            </w:pPr>
            <w:r>
              <w:rPr>
                <w:rFonts w:ascii="Arial" w:cs="Arial" w:eastAsia="Arial" w:hAnsi="Arial"/>
                <w:sz w:val="18"/>
                <w:szCs w:val="18"/>
                <w:color w:val="auto"/>
                <w:w w:val="93"/>
              </w:rPr>
              <w:t>of Incorporation)</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20" w:type="dxa"/>
            <w:vAlign w:val="bottom"/>
            <w:gridSpan w:val="3"/>
          </w:tcPr>
          <w:p>
            <w:pPr>
              <w:jc w:val="center"/>
              <w:ind w:right="800"/>
              <w:spacing w:after="0"/>
              <w:rPr>
                <w:sz w:val="20"/>
                <w:szCs w:val="20"/>
                <w:color w:val="auto"/>
              </w:rPr>
            </w:pPr>
            <w:r>
              <w:rPr>
                <w:rFonts w:ascii="Arial" w:cs="Arial" w:eastAsia="Arial" w:hAnsi="Arial"/>
                <w:sz w:val="18"/>
                <w:szCs w:val="18"/>
                <w:color w:val="auto"/>
                <w:w w:val="94"/>
              </w:rPr>
              <w:t>(Commission File No.)</w:t>
            </w:r>
          </w:p>
        </w:tc>
        <w:tc>
          <w:tcPr>
            <w:tcW w:w="2320" w:type="dxa"/>
            <w:vAlign w:val="bottom"/>
          </w:tcPr>
          <w:p>
            <w:pPr>
              <w:jc w:val="center"/>
              <w:ind w:right="410"/>
              <w:spacing w:after="0"/>
              <w:rPr>
                <w:sz w:val="20"/>
                <w:szCs w:val="20"/>
                <w:color w:val="auto"/>
              </w:rPr>
            </w:pPr>
            <w:r>
              <w:rPr>
                <w:rFonts w:ascii="Arial" w:cs="Arial" w:eastAsia="Arial" w:hAnsi="Arial"/>
                <w:sz w:val="18"/>
                <w:szCs w:val="18"/>
                <w:color w:val="auto"/>
                <w:w w:val="95"/>
              </w:rPr>
              <w:t>Identification No.)</w:t>
            </w:r>
          </w:p>
        </w:tc>
        <w:tc>
          <w:tcPr>
            <w:tcW w:w="280" w:type="dxa"/>
            <w:vAlign w:val="bottom"/>
          </w:tcPr>
          <w:p>
            <w:pPr>
              <w:spacing w:after="0"/>
              <w:rPr>
                <w:sz w:val="20"/>
                <w:szCs w:val="20"/>
                <w:color w:val="auto"/>
              </w:rPr>
            </w:pPr>
          </w:p>
        </w:tc>
      </w:tr>
      <w:tr>
        <w:trPr>
          <w:trHeight w:val="709"/>
        </w:trPr>
        <w:tc>
          <w:tcPr>
            <w:tcW w:w="2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8"/>
                <w:szCs w:val="18"/>
                <w:b w:val="1"/>
                <w:bCs w:val="1"/>
                <w:color w:val="auto"/>
                <w:w w:val="93"/>
              </w:rPr>
              <w:t>2111 N. Molter Road, Liberty Lake, WA 99019</w:t>
            </w:r>
          </w:p>
        </w:tc>
        <w:tc>
          <w:tcPr>
            <w:tcW w:w="2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r>
        <w:trPr>
          <w:trHeight w:val="230"/>
        </w:trPr>
        <w:tc>
          <w:tcPr>
            <w:tcW w:w="2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320" w:type="dxa"/>
            <w:vAlign w:val="bottom"/>
            <w:gridSpan w:val="5"/>
          </w:tcPr>
          <w:p>
            <w:pPr>
              <w:jc w:val="center"/>
              <w:ind w:right="180"/>
              <w:spacing w:after="0"/>
              <w:rPr>
                <w:sz w:val="20"/>
                <w:szCs w:val="20"/>
                <w:color w:val="auto"/>
              </w:rPr>
            </w:pPr>
            <w:r>
              <w:rPr>
                <w:rFonts w:ascii="Arial" w:cs="Arial" w:eastAsia="Arial" w:hAnsi="Arial"/>
                <w:sz w:val="18"/>
                <w:szCs w:val="18"/>
                <w:color w:val="auto"/>
                <w:w w:val="92"/>
              </w:rPr>
              <w:t>(Address of Principal Executive Offices, Zip Code)</w:t>
            </w:r>
          </w:p>
        </w:tc>
        <w:tc>
          <w:tcPr>
            <w:tcW w:w="232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695"/>
        </w:trPr>
        <w:tc>
          <w:tcPr>
            <w:tcW w:w="2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90"/>
              </w:rPr>
              <w:t>(509) 924-9900</w:t>
            </w:r>
          </w:p>
        </w:tc>
        <w:tc>
          <w:tcPr>
            <w:tcW w:w="3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r>
        <w:trPr>
          <w:trHeight w:val="230"/>
        </w:trPr>
        <w:tc>
          <w:tcPr>
            <w:tcW w:w="2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320" w:type="dxa"/>
            <w:vAlign w:val="bottom"/>
            <w:gridSpan w:val="5"/>
          </w:tcPr>
          <w:p>
            <w:pPr>
              <w:jc w:val="center"/>
              <w:ind w:right="180"/>
              <w:spacing w:after="0"/>
              <w:rPr>
                <w:sz w:val="20"/>
                <w:szCs w:val="20"/>
                <w:color w:val="auto"/>
              </w:rPr>
            </w:pPr>
            <w:r>
              <w:rPr>
                <w:rFonts w:ascii="Arial" w:cs="Arial" w:eastAsia="Arial" w:hAnsi="Arial"/>
                <w:sz w:val="18"/>
                <w:szCs w:val="18"/>
                <w:color w:val="auto"/>
                <w:w w:val="90"/>
              </w:rPr>
              <w:t>(Registrant's Telephone Number, Including Area Code)</w:t>
            </w:r>
          </w:p>
        </w:tc>
        <w:tc>
          <w:tcPr>
            <w:tcW w:w="2320" w:type="dxa"/>
            <w:vAlign w:val="bottom"/>
          </w:tcPr>
          <w:p>
            <w:pPr>
              <w:spacing w:after="0"/>
              <w:rPr>
                <w:sz w:val="20"/>
                <w:szCs w:val="20"/>
                <w:color w:val="auto"/>
              </w:rPr>
            </w:pPr>
          </w:p>
        </w:tc>
        <w:tc>
          <w:tcPr>
            <w:tcW w:w="2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553720</wp:posOffset>
            </wp:positionH>
            <wp:positionV relativeFrom="paragraph">
              <wp:posOffset>436880</wp:posOffset>
            </wp:positionV>
            <wp:extent cx="615759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5759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14"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Written communications pursuant to Rule 425 under Securities Act (17 CFR 230.425)</w:t>
      </w:r>
    </w:p>
    <w:p>
      <w:pPr>
        <w:spacing w:after="0" w:line="21" w:lineRule="exact"/>
        <w:rPr>
          <w:rFonts w:ascii="MS PGothic" w:cs="MS PGothic" w:eastAsia="MS PGothic" w:hAnsi="MS PGothic"/>
          <w:sz w:val="22"/>
          <w:szCs w:val="22"/>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3" w:lineRule="exact"/>
        <w:rPr>
          <w:rFonts w:ascii="MS PGothic" w:cs="MS PGothic" w:eastAsia="MS PGothic" w:hAnsi="MS PGothic"/>
          <w:sz w:val="22"/>
          <w:szCs w:val="22"/>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Pre-commencement communications pursuant to Rule 14d-2(b) under the Exchange Act (17 CFR 240.14d-2(b))</w:t>
      </w:r>
    </w:p>
    <w:p>
      <w:pPr>
        <w:spacing w:after="0" w:line="3" w:lineRule="exact"/>
        <w:rPr>
          <w:rFonts w:ascii="MS PGothic" w:cs="MS PGothic" w:eastAsia="MS PGothic" w:hAnsi="MS PGothic"/>
          <w:sz w:val="22"/>
          <w:szCs w:val="22"/>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Pre-commencement communications pursuant to Rule 13e-4(c) under the Exchange Act (17 CFR 240.13e-4(c))</w:t>
      </w:r>
    </w:p>
    <w:p>
      <w:pPr>
        <w:spacing w:after="0" w:line="215" w:lineRule="exact"/>
        <w:rPr>
          <w:sz w:val="24"/>
          <w:szCs w:val="24"/>
          <w:color w:val="auto"/>
        </w:rPr>
      </w:pPr>
    </w:p>
    <w:p>
      <w:pPr>
        <w:ind w:right="60"/>
        <w:spacing w:after="0" w:line="274" w:lineRule="auto"/>
        <w:rPr>
          <w:sz w:val="20"/>
          <w:szCs w:val="20"/>
          <w:color w:val="auto"/>
        </w:rPr>
      </w:pPr>
      <w:r>
        <w:rPr>
          <w:rFonts w:ascii="Arial" w:cs="Arial" w:eastAsia="Arial" w:hAnsi="Arial"/>
          <w:sz w:val="21"/>
          <w:szCs w:val="21"/>
          <w:color w:val="auto"/>
        </w:rPr>
        <w:t>Indicate by check mark whether the registrant is an emerging growth company as defined in Rule 405 of the Securities Act of 1933 (17 CFR §230.405) or Rule 12b-2 of the Securities Exchange Act of 1934 (17 CFR §240.12b-2).</w:t>
      </w:r>
    </w:p>
    <w:p>
      <w:pPr>
        <w:spacing w:after="0" w:line="151"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Emerging growth company </w:t>
      </w:r>
      <w:r>
        <w:rPr>
          <w:rFonts w:ascii="MS PGothic" w:cs="MS PGothic" w:eastAsia="MS PGothic" w:hAnsi="MS PGothic"/>
          <w:sz w:val="22"/>
          <w:szCs w:val="22"/>
          <w:color w:val="auto"/>
        </w:rPr>
        <w:t>☐</w:t>
      </w:r>
    </w:p>
    <w:p>
      <w:pPr>
        <w:spacing w:after="0" w:line="273" w:lineRule="exact"/>
        <w:rPr>
          <w:sz w:val="24"/>
          <w:szCs w:val="24"/>
          <w:color w:val="auto"/>
        </w:rPr>
      </w:pPr>
    </w:p>
    <w:p>
      <w:pPr>
        <w:ind w:right="30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bookmarkStart w:id="1" w:name="page2"/>
    <w:bookmarkEnd w:id="1"/>
    <w:p>
      <w:pPr>
        <w:spacing w:after="0"/>
        <w:tabs>
          <w:tab w:leader="none" w:pos="9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49"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On August 5, 2019, Itron, Inc. (the “Company”) issued a press release announcing its financial results for the three and six months ended June 30, 2019. A copy of this press release and accompanying financial statements are attached as Exhibit 99.1.</w:t>
      </w:r>
    </w:p>
    <w:p>
      <w:pPr>
        <w:spacing w:after="0" w:line="3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920" w:hanging="558"/>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August 5, 2019.*</w:t>
      </w:r>
    </w:p>
    <w:p>
      <w:pPr>
        <w:spacing w:after="0" w:line="200" w:lineRule="exact"/>
        <w:rPr>
          <w:sz w:val="20"/>
          <w:szCs w:val="20"/>
          <w:color w:val="auto"/>
        </w:rPr>
      </w:pPr>
    </w:p>
    <w:p>
      <w:pPr>
        <w:spacing w:after="0" w:line="24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*This exhibit is intended to be furnished and shall not be deemed "filed" for purposes of the Exchange Act.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information presented in this Current Report on Form 8-K contains forward-looking statements within in the meaning of the Private Securities Litigation Reform Act of 1995. These statements relate to our expectations about revenues, operations, financial performance, earnings, earnings per share, cash flows and restructuring activities including headcount reductions and other cost savings initiatives.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Some of the factors that we believe could affect our results include our ability to execute on our restructuring plan, our ability to achieve estimated cost savings,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and other factors that are more fully described in our Annual Report on Form 10-K for the year ended December 31, 2018 and other reports on file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40" w:type="dxa"/>
            <w:vAlign w:val="bottom"/>
            <w:gridSpan w:val="2"/>
          </w:tcPr>
          <w:p>
            <w:pPr>
              <w:ind w:left="4580"/>
              <w:spacing w:after="0"/>
              <w:rPr>
                <w:sz w:val="20"/>
                <w:szCs w:val="20"/>
                <w:color w:val="auto"/>
              </w:rPr>
            </w:pPr>
            <w:r>
              <w:rPr>
                <w:rFonts w:ascii="Arial" w:cs="Arial" w:eastAsia="Arial" w:hAnsi="Arial"/>
                <w:sz w:val="18"/>
                <w:szCs w:val="18"/>
                <w:color w:val="auto"/>
              </w:rPr>
              <w:t>ITRON, INC.</w:t>
            </w:r>
          </w:p>
        </w:tc>
        <w:tc>
          <w:tcPr>
            <w:tcW w:w="5380" w:type="dxa"/>
            <w:vAlign w:val="bottom"/>
          </w:tcPr>
          <w:p>
            <w:pPr>
              <w:spacing w:after="0"/>
              <w:rPr>
                <w:sz w:val="20"/>
                <w:szCs w:val="20"/>
                <w:color w:val="auto"/>
              </w:rPr>
            </w:pPr>
          </w:p>
        </w:tc>
      </w:tr>
      <w:tr>
        <w:trPr>
          <w:trHeight w:val="439"/>
        </w:trPr>
        <w:tc>
          <w:tcPr>
            <w:tcW w:w="6040" w:type="dxa"/>
            <w:vAlign w:val="bottom"/>
            <w:gridSpan w:val="2"/>
          </w:tcPr>
          <w:p>
            <w:pPr>
              <w:ind w:left="4580"/>
              <w:spacing w:after="0"/>
              <w:rPr>
                <w:sz w:val="20"/>
                <w:szCs w:val="20"/>
                <w:color w:val="auto"/>
              </w:rPr>
            </w:pPr>
            <w:r>
              <w:rPr>
                <w:rFonts w:ascii="Arial" w:cs="Arial" w:eastAsia="Arial" w:hAnsi="Arial"/>
                <w:sz w:val="18"/>
                <w:szCs w:val="18"/>
                <w:color w:val="auto"/>
              </w:rPr>
              <w:t>By:</w:t>
            </w:r>
          </w:p>
        </w:tc>
        <w:tc>
          <w:tcPr>
            <w:tcW w:w="5380" w:type="dxa"/>
            <w:vAlign w:val="bottom"/>
          </w:tcPr>
          <w:p>
            <w:pPr>
              <w:jc w:val="center"/>
              <w:ind w:right="790"/>
              <w:spacing w:after="0"/>
              <w:rPr>
                <w:sz w:val="20"/>
                <w:szCs w:val="20"/>
                <w:color w:val="auto"/>
              </w:rPr>
            </w:pPr>
            <w:r>
              <w:rPr>
                <w:rFonts w:ascii="Arial" w:cs="Arial" w:eastAsia="Arial" w:hAnsi="Arial"/>
                <w:sz w:val="18"/>
                <w:szCs w:val="18"/>
                <w:color w:val="auto"/>
                <w:w w:val="91"/>
              </w:rPr>
              <w:t>/s/ JOAN S. HOOPER</w:t>
            </w:r>
          </w:p>
        </w:tc>
      </w:tr>
      <w:tr>
        <w:trPr>
          <w:trHeight w:val="202"/>
        </w:trPr>
        <w:tc>
          <w:tcPr>
            <w:tcW w:w="5160" w:type="dxa"/>
            <w:vAlign w:val="bottom"/>
          </w:tcPr>
          <w:p>
            <w:pPr>
              <w:spacing w:after="0" w:line="201" w:lineRule="exact"/>
              <w:rPr>
                <w:sz w:val="20"/>
                <w:szCs w:val="20"/>
                <w:color w:val="auto"/>
              </w:rPr>
            </w:pPr>
            <w:r>
              <w:rPr>
                <w:rFonts w:ascii="Arial" w:cs="Arial" w:eastAsia="Arial" w:hAnsi="Arial"/>
                <w:sz w:val="18"/>
                <w:szCs w:val="18"/>
                <w:color w:val="auto"/>
              </w:rPr>
              <w:t>Dated: August 5, 2019</w:t>
            </w:r>
          </w:p>
        </w:tc>
        <w:tc>
          <w:tcPr>
            <w:tcW w:w="880" w:type="dxa"/>
            <w:vAlign w:val="bottom"/>
            <w:tcBorders>
              <w:top w:val="single" w:sz="8" w:color="auto"/>
            </w:tcBorders>
          </w:tcPr>
          <w:p>
            <w:pPr>
              <w:spacing w:after="0"/>
              <w:rPr>
                <w:sz w:val="17"/>
                <w:szCs w:val="17"/>
                <w:color w:val="auto"/>
              </w:rPr>
            </w:pPr>
          </w:p>
        </w:tc>
        <w:tc>
          <w:tcPr>
            <w:tcW w:w="5380" w:type="dxa"/>
            <w:vAlign w:val="bottom"/>
            <w:tcBorders>
              <w:top w:val="single" w:sz="8" w:color="auto"/>
            </w:tcBorders>
          </w:tcPr>
          <w:p>
            <w:pPr>
              <w:jc w:val="center"/>
              <w:ind w:right="790"/>
              <w:spacing w:after="0" w:line="201" w:lineRule="exact"/>
              <w:rPr>
                <w:sz w:val="20"/>
                <w:szCs w:val="20"/>
                <w:color w:val="auto"/>
              </w:rPr>
            </w:pPr>
            <w:r>
              <w:rPr>
                <w:rFonts w:ascii="Arial" w:cs="Arial" w:eastAsia="Arial" w:hAnsi="Arial"/>
                <w:sz w:val="18"/>
                <w:szCs w:val="18"/>
                <w:color w:val="auto"/>
                <w:w w:val="87"/>
              </w:rPr>
              <w:t>Joan S. Hooper</w:t>
            </w:r>
          </w:p>
        </w:tc>
      </w:tr>
      <w:tr>
        <w:trPr>
          <w:trHeight w:val="230"/>
        </w:trPr>
        <w:tc>
          <w:tcPr>
            <w:tcW w:w="5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380" w:type="dxa"/>
            <w:vAlign w:val="bottom"/>
          </w:tcPr>
          <w:p>
            <w:pPr>
              <w:jc w:val="center"/>
              <w:ind w:right="790"/>
              <w:spacing w:after="0"/>
              <w:rPr>
                <w:sz w:val="20"/>
                <w:szCs w:val="20"/>
                <w:color w:val="auto"/>
              </w:rPr>
            </w:pPr>
            <w:r>
              <w:rPr>
                <w:rFonts w:ascii="Arial" w:cs="Arial" w:eastAsia="Arial" w:hAnsi="Arial"/>
                <w:sz w:val="18"/>
                <w:szCs w:val="18"/>
                <w:color w:val="auto"/>
                <w:w w:val="91"/>
              </w:rPr>
              <w:t>Senior Vice President and Chief Financial Officer</w:t>
            </w:r>
          </w:p>
        </w:tc>
      </w:tr>
      <w:tr>
        <w:trPr>
          <w:trHeight w:val="669"/>
        </w:trPr>
        <w:tc>
          <w:tcPr>
            <w:tcW w:w="5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55" w:right="239" w:bottom="1440" w:gutter="0" w:footer="0" w:header="0"/>
        </w:sectPr>
      </w:pPr>
    </w:p>
    <w:bookmarkStart w:id="3" w:name="page4"/>
    <w:bookmarkEnd w:id="3"/>
    <w:p>
      <w:pPr>
        <w:ind w:left="4880"/>
        <w:spacing w:after="0"/>
        <w:rPr>
          <w:sz w:val="20"/>
          <w:szCs w:val="20"/>
          <w:color w:val="auto"/>
        </w:rPr>
      </w:pPr>
      <w:r>
        <w:rPr>
          <w:rFonts w:ascii="Arial" w:cs="Arial" w:eastAsia="Arial" w:hAnsi="Arial"/>
          <w:sz w:val="22"/>
          <w:szCs w:val="22"/>
          <w:b w:val="1"/>
          <w:bCs w:val="1"/>
          <w:color w:val="auto"/>
        </w:rPr>
        <w:t>EXHIBIT INDEX</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8"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6"/>
            <w:szCs w:val="16"/>
            <w:u w:val="single" w:color="auto"/>
            <w:color w:val="0000EE"/>
          </w:rPr>
          <w:t>Press Release Dated August 5, 2019.*</w:t>
        </w:r>
      </w:hyperlink>
    </w:p>
    <w:p>
      <w:pPr>
        <w:spacing w:after="0" w:line="200" w:lineRule="exact"/>
        <w:rPr>
          <w:sz w:val="20"/>
          <w:szCs w:val="20"/>
          <w:color w:val="auto"/>
        </w:rPr>
      </w:pPr>
    </w:p>
    <w:p>
      <w:pPr>
        <w:spacing w:after="0" w:line="241" w:lineRule="exact"/>
        <w:rPr>
          <w:sz w:val="20"/>
          <w:szCs w:val="20"/>
          <w:color w:val="auto"/>
        </w:rPr>
      </w:pPr>
    </w:p>
    <w:p>
      <w:pPr>
        <w:jc w:val="right"/>
        <w:ind w:right="1619"/>
        <w:spacing w:after="0"/>
        <w:rPr>
          <w:sz w:val="20"/>
          <w:szCs w:val="20"/>
          <w:color w:val="auto"/>
        </w:rPr>
      </w:pPr>
      <w:r>
        <w:rPr>
          <w:rFonts w:ascii="Arial" w:cs="Arial" w:eastAsia="Arial" w:hAnsi="Arial"/>
          <w:sz w:val="18"/>
          <w:szCs w:val="18"/>
          <w:color w:val="auto"/>
        </w:rPr>
        <w:t>*This exhibit is intended to be furnished and shall not be deemed "filed" for purposes of the Exchange Act.</w:t>
      </w:r>
    </w:p>
    <w:p>
      <w:pPr>
        <w:sectPr>
          <w:pgSz w:w="11900" w:h="16838" w:orient="portrait"/>
          <w:cols w:equalWidth="0" w:num="1">
            <w:col w:w="10219"/>
          </w:cols>
          <w:pgMar w:left="240" w:top="355"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Itron Announces Second Quarter 2019 Financial Results and Increases Full-Year 2019 Guidance</w:t>
      </w:r>
    </w:p>
    <w:p>
      <w:pPr>
        <w:spacing w:after="0" w:line="227" w:lineRule="exact"/>
        <w:rPr>
          <w:sz w:val="20"/>
          <w:szCs w:val="20"/>
          <w:color w:val="auto"/>
        </w:rPr>
      </w:pPr>
    </w:p>
    <w:p>
      <w:pPr>
        <w:ind w:right="20"/>
        <w:spacing w:after="0" w:line="328" w:lineRule="auto"/>
        <w:rPr>
          <w:sz w:val="20"/>
          <w:szCs w:val="20"/>
          <w:color w:val="auto"/>
        </w:rPr>
      </w:pPr>
      <w:r>
        <w:rPr>
          <w:rFonts w:ascii="Arial" w:cs="Arial" w:eastAsia="Arial" w:hAnsi="Arial"/>
          <w:sz w:val="19"/>
          <w:szCs w:val="19"/>
          <w:color w:val="auto"/>
        </w:rPr>
        <w:t>LIBERTY LAKE, Wash.--(BUSINESS WIRE)--August 5, 2019--Itron, Inc. (NASDAQ:ITRI) announced today financial results for its second quarter ended June 30, 2019. Key results for the quarter include (compared with the second quarter of 2018):</w:t>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Revenue of $635 million, compared with $586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8" w:lineRule="auto"/>
        <w:rPr>
          <w:sz w:val="20"/>
          <w:szCs w:val="20"/>
          <w:color w:val="auto"/>
        </w:rPr>
      </w:pPr>
      <w:r>
        <w:rPr>
          <w:rFonts w:ascii="Arial" w:cs="Arial" w:eastAsia="Arial" w:hAnsi="Arial"/>
          <w:sz w:val="22"/>
          <w:szCs w:val="22"/>
          <w:color w:val="auto"/>
        </w:rPr>
        <w:t>Gross margin was flat at 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Arial" w:cs="Arial" w:eastAsia="Arial" w:hAnsi="Arial"/>
          <w:sz w:val="22"/>
          <w:szCs w:val="22"/>
          <w:color w:val="auto"/>
        </w:rPr>
        <w:t>GAAP net income of $19 million, compared with $3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1" w:lineRule="auto"/>
        <w:rPr>
          <w:sz w:val="20"/>
          <w:szCs w:val="20"/>
          <w:color w:val="auto"/>
        </w:rPr>
      </w:pPr>
      <w:r>
        <w:rPr>
          <w:rFonts w:ascii="Arial" w:cs="Arial" w:eastAsia="Arial" w:hAnsi="Arial"/>
          <w:sz w:val="22"/>
          <w:szCs w:val="22"/>
          <w:color w:val="auto"/>
        </w:rPr>
        <w:t>GAAP earnings per share of $0.49, compared with $0.07;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1" w:lineRule="auto"/>
        <w:rPr>
          <w:sz w:val="20"/>
          <w:szCs w:val="20"/>
          <w:color w:val="auto"/>
        </w:rPr>
      </w:pPr>
      <w:r>
        <w:rPr>
          <w:rFonts w:ascii="Arial" w:cs="Arial" w:eastAsia="Arial" w:hAnsi="Arial"/>
          <w:sz w:val="22"/>
          <w:szCs w:val="22"/>
          <w:color w:val="auto"/>
        </w:rPr>
        <w:t>Non-GAAP diluted EPS of $0.87, compared with $0.51;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Arial" w:cs="Arial" w:eastAsia="Arial" w:hAnsi="Arial"/>
          <w:sz w:val="22"/>
          <w:szCs w:val="22"/>
          <w:color w:val="auto"/>
        </w:rPr>
        <w:t>Adjusted EBITDA of $73 million, compared with $57 million;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Total backlog was flat at $3.1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8"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"Our second quarter financial performance contributed to a very strong first half of the year," said Philip Mezey, Itron's president and chief executive officer.</w:t>
      </w:r>
    </w:p>
    <w:p>
      <w:pPr>
        <w:spacing w:after="0" w:line="173" w:lineRule="exact"/>
        <w:rPr>
          <w:sz w:val="20"/>
          <w:szCs w:val="20"/>
          <w:color w:val="auto"/>
        </w:rPr>
      </w:pPr>
    </w:p>
    <w:p>
      <w:pPr>
        <w:jc w:val="both"/>
        <w:ind w:right="480"/>
        <w:spacing w:after="0"/>
        <w:rPr>
          <w:sz w:val="20"/>
          <w:szCs w:val="20"/>
          <w:color w:val="auto"/>
        </w:rPr>
      </w:pPr>
      <w:r>
        <w:rPr>
          <w:rFonts w:ascii="Arial" w:cs="Arial" w:eastAsia="Arial" w:hAnsi="Arial"/>
          <w:sz w:val="22"/>
          <w:szCs w:val="22"/>
          <w:color w:val="auto"/>
        </w:rPr>
        <w:t>"Second quarter results were driven by strong customer demand, particularly in our Networked Solutions segment," continued Mezey. "We are very pleased with our performance in the first half of the year, which enabled us to raise our revenue and non-GAAP EPS guidance for full year 2019."</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of Second Quarter Consolidated Financial Results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(All comparisons made are against the prior year period unless otherwise noted)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Revenue</w:t>
      </w:r>
    </w:p>
    <w:p>
      <w:pPr>
        <w:spacing w:after="0" w:line="206"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Total second quarter revenue increased 8% to $635 million, or 11%, excluding the impact of changes in foreign currency exchange rates.</w:t>
      </w:r>
    </w:p>
    <w:p>
      <w:pPr>
        <w:spacing w:after="0" w:line="173" w:lineRule="exact"/>
        <w:rPr>
          <w:sz w:val="20"/>
          <w:szCs w:val="20"/>
          <w:color w:val="auto"/>
        </w:rPr>
      </w:pPr>
    </w:p>
    <w:p>
      <w:pPr>
        <w:jc w:val="both"/>
        <w:ind w:right="120"/>
        <w:spacing w:after="0"/>
        <w:rPr>
          <w:sz w:val="20"/>
          <w:szCs w:val="20"/>
          <w:color w:val="auto"/>
        </w:rPr>
      </w:pPr>
      <w:r>
        <w:rPr>
          <w:rFonts w:ascii="Arial" w:cs="Arial" w:eastAsia="Arial" w:hAnsi="Arial"/>
          <w:sz w:val="22"/>
          <w:szCs w:val="22"/>
          <w:color w:val="auto"/>
        </w:rPr>
        <w:t>Networked Solutions revenue increased 20%, and Outcomes revenue increased 15% driven by strong customer deliveries in North America. Device Solutions revenue decreased 8% due to lower revenue from Europe, Middle East and Africa (EMEA) region and the impact of changes in foreign currency exchange rates.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Gross Margin</w:t>
      </w:r>
    </w:p>
    <w:p>
      <w:pPr>
        <w:spacing w:after="0" w:line="206"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Consolidated company gross margin of 30.1% was flat compared with the prior year as improved product mix was offset by higher component costs and other one-time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u w:val="single" w:color="auto"/>
          <w:color w:val="auto"/>
        </w:rPr>
        <w:t>Operating Expenses and Operating Income</w:t>
      </w:r>
    </w:p>
    <w:p>
      <w:pPr>
        <w:spacing w:after="0" w:line="206" w:lineRule="exact"/>
        <w:rPr>
          <w:sz w:val="20"/>
          <w:szCs w:val="20"/>
          <w:color w:val="auto"/>
        </w:rPr>
      </w:pPr>
    </w:p>
    <w:p>
      <w:pPr>
        <w:ind w:right="300"/>
        <w:spacing w:after="0"/>
        <w:rPr>
          <w:sz w:val="20"/>
          <w:szCs w:val="20"/>
          <w:color w:val="auto"/>
        </w:rPr>
      </w:pPr>
      <w:r>
        <w:rPr>
          <w:rFonts w:ascii="Arial" w:cs="Arial" w:eastAsia="Arial" w:hAnsi="Arial"/>
          <w:sz w:val="22"/>
          <w:szCs w:val="22"/>
          <w:color w:val="auto"/>
        </w:rPr>
        <w:t>GAAP operating expenses of $148 million decreased $8 million from the prior year and non-GAAP operating expenses of $128 million decreased $4 million from the prior year. The decreases were primarily driven by benefits from restructuring and integration initiatives and the timing of product development spending.</w:t>
      </w:r>
    </w:p>
    <w:p>
      <w:pPr>
        <w:spacing w:after="0" w:line="18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GAAP operating income of $44 million and non-GAAP operating income of $63 million increased compared with the prior year due to higher gross profit and lower operating expenses.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Net Income (loss) and Earnings per Share</w:t>
      </w:r>
    </w:p>
    <w:p>
      <w:pPr>
        <w:spacing w:after="0" w:line="206" w:lineRule="exact"/>
        <w:rPr>
          <w:sz w:val="20"/>
          <w:szCs w:val="20"/>
          <w:color w:val="auto"/>
        </w:rPr>
      </w:pPr>
    </w:p>
    <w:p>
      <w:pPr>
        <w:ind w:right="100"/>
        <w:spacing w:after="0" w:line="274" w:lineRule="auto"/>
        <w:rPr>
          <w:sz w:val="20"/>
          <w:szCs w:val="20"/>
          <w:color w:val="auto"/>
        </w:rPr>
      </w:pPr>
      <w:r>
        <w:rPr>
          <w:rFonts w:ascii="Arial" w:cs="Arial" w:eastAsia="Arial" w:hAnsi="Arial"/>
          <w:sz w:val="21"/>
          <w:szCs w:val="21"/>
          <w:color w:val="auto"/>
        </w:rPr>
        <w:t>The net income attributable to Itron for the quarter was $19 million, or $0.49 per share, an increase from net income of $3 million, or $0.07 per share, in 2018. The increase was driven by higher operating income and a lower effective tax rate.</w:t>
      </w:r>
    </w:p>
    <w:p>
      <w:pPr>
        <w:spacing w:after="0" w:line="151" w:lineRule="exact"/>
        <w:rPr>
          <w:sz w:val="20"/>
          <w:szCs w:val="20"/>
          <w:color w:val="auto"/>
        </w:rPr>
      </w:pPr>
    </w:p>
    <w:p>
      <w:pPr>
        <w:ind w:right="200"/>
        <w:spacing w:after="0" w:line="287" w:lineRule="auto"/>
        <w:rPr>
          <w:sz w:val="20"/>
          <w:szCs w:val="20"/>
          <w:color w:val="auto"/>
        </w:rPr>
      </w:pPr>
      <w:r>
        <w:rPr>
          <w:rFonts w:ascii="Arial" w:cs="Arial" w:eastAsia="Arial" w:hAnsi="Arial"/>
          <w:sz w:val="19"/>
          <w:szCs w:val="19"/>
          <w:color w:val="auto"/>
        </w:rPr>
        <w:t>Non-GAAP net income, which excludes certain charges including restructuring, acquisition and integration related expenses, corporate transition cost, amortization of intangible assets, amortization of debt placement fees and the income tax effect of those adjustments, was $35 million, or $0.87 per diluted share, compared with $20 million, or $0.51 per diluted share, in 2018. The increase in non-GAAP EPS was due to higher non-GAAP operating income and a lower effective tax rate.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Cash Flow</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Net cash provided by operating activities was $53 million in the second quarter compared with $41 million in the same quarter of 2018. Free cash flow was $38 million in the second quarter compared with $29 million in the prior year. Improved profitability was a major contributor to higher year over year cash flow.</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Measures</w:t>
      </w:r>
    </w:p>
    <w:p>
      <w:pPr>
        <w:spacing w:after="0" w:line="212"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color w:val="auto"/>
        </w:rPr>
        <w:t>Total backlog was $3.1 billion and 12-month backlog was $1.4 billion, which are both consistent with the prior year. Bookings in the quarter totaled $702 million.</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Guidance Update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Itron's guidance for the full year 2019 is as follows:</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Revenue between $2.45 - $2.50 billion vs. previous guidance of $2.35 to $2.45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Non-GAAP diluted EPS between $2.80 - $3.00 vs. previous guidance of $2.35 - $2.75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8" w:lineRule="exact"/>
        <w:rPr>
          <w:sz w:val="20"/>
          <w:szCs w:val="20"/>
          <w:color w:val="auto"/>
        </w:rPr>
      </w:pPr>
    </w:p>
    <w:p>
      <w:pPr>
        <w:ind w:right="100"/>
        <w:spacing w:after="0" w:line="247" w:lineRule="auto"/>
        <w:rPr>
          <w:sz w:val="20"/>
          <w:szCs w:val="20"/>
          <w:color w:val="auto"/>
        </w:rPr>
      </w:pPr>
      <w:r>
        <w:rPr>
          <w:rFonts w:ascii="Arial" w:cs="Arial" w:eastAsia="Arial" w:hAnsi="Arial"/>
          <w:sz w:val="21"/>
          <w:szCs w:val="21"/>
          <w:color w:val="auto"/>
        </w:rPr>
        <w:t>The guidance assumes a Euro to U.S. dollar foreign currency exchange rate of 1.12 on average in the second half of 2019, average fully diluted shares outstanding of approximately 40.2 million for the full year, non-GAAP effective tax rate for the full year of approximately 31% and total non-GAAP interest expense of approximately $50 million for the full year. A reconciliation of forward-looking non-GAAP diluted EPS to the GAAP diluted EPS has not been provided because we are unable to predict with reasonable certainty the potential amount or timing of restructuring and acquisition and integration-related expenses and their related tax effects without unreasonable effort. These items are uncertain, depend on various factors and could have a material impact on GAAP results for the guidance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Earnings Conference Call</w:t>
      </w:r>
    </w:p>
    <w:p>
      <w:pPr>
        <w:spacing w:after="0" w:line="212"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 xml:space="preserve">Itron will host a conference call to discuss the financial results and guidance contained in this release at 5 p.m. EDT on Aug. 5, 2019. The call will be webcast in a listen-only mode. Webcast information and conference call materials will be made available 10 minutes before the start of the call and will be accessible on Itron’s website at http://investors.itron.com/events.cfm. A replay of the audio webcast will be made available at http://investors.itron.com/events.cfm. A telephone replay of the conference call will be available through Aug. 10, 2019. To access the telephone replay, dial 888-203-1112 or 719-457-0820 and enter passcode </w:t>
      </w:r>
      <w:r>
        <w:rPr>
          <w:rFonts w:ascii="Arial" w:cs="Arial" w:eastAsia="Arial" w:hAnsi="Arial"/>
          <w:sz w:val="19"/>
          <w:szCs w:val="19"/>
          <w:b w:val="1"/>
          <w:bCs w:val="1"/>
          <w:color w:val="auto"/>
        </w:rPr>
        <w:t>7922157</w:t>
      </w:r>
      <w:r>
        <w:rPr>
          <w:rFonts w:ascii="Arial" w:cs="Arial" w:eastAsia="Arial" w:hAnsi="Arial"/>
          <w:sz w:val="19"/>
          <w:szCs w:val="19"/>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Itron</w:t>
      </w:r>
    </w:p>
    <w:p>
      <w:pPr>
        <w:spacing w:after="0" w:line="212" w:lineRule="exact"/>
        <w:rPr>
          <w:sz w:val="20"/>
          <w:szCs w:val="20"/>
          <w:color w:val="auto"/>
        </w:rPr>
      </w:pPr>
    </w:p>
    <w:p>
      <w:pPr>
        <w:ind w:right="120"/>
        <w:spacing w:after="0" w:line="249" w:lineRule="auto"/>
        <w:rPr>
          <w:sz w:val="20"/>
          <w:szCs w:val="20"/>
          <w:color w:val="auto"/>
        </w:rPr>
      </w:pPr>
      <w:r>
        <w:rPr>
          <w:rFonts w:ascii="Arial" w:cs="Arial" w:eastAsia="Arial" w:hAnsi="Arial"/>
          <w:sz w:val="21"/>
          <w:szCs w:val="21"/>
          <w:color w:val="auto"/>
        </w:rPr>
        <w:t>Itron enables utilities and cities to safely, securely and reliably deliver critical infrastructure services to communities in more than 100 countries. Our portfolio of smart networks, software, services, meters and sensors helps our customers better manage electricity, gas and water resources for the people they serve. By working with our customers to ensure their success, we help improve the quality of life, ensure the safety and promote the well-being of millions of people around the globe. Itron is dedicated to creating a more resourceful world. Join us: www.itron.com.</w:t>
      </w:r>
    </w:p>
    <w:p>
      <w:pPr>
        <w:spacing w:after="0" w:line="179" w:lineRule="exact"/>
        <w:rPr>
          <w:sz w:val="20"/>
          <w:szCs w:val="20"/>
          <w:color w:val="auto"/>
        </w:rPr>
      </w:pPr>
    </w:p>
    <w:p>
      <w:pPr>
        <w:ind w:right="500"/>
        <w:spacing w:after="0" w:line="328" w:lineRule="auto"/>
        <w:rPr>
          <w:sz w:val="20"/>
          <w:szCs w:val="20"/>
          <w:color w:val="auto"/>
        </w:rPr>
      </w:pPr>
      <w:r>
        <w:rPr>
          <w:rFonts w:ascii="Arial" w:cs="Arial" w:eastAsia="Arial" w:hAnsi="Arial"/>
          <w:sz w:val="19"/>
          <w:szCs w:val="19"/>
          <w:color w:val="auto"/>
        </w:rPr>
        <w:t>Itron® is registered trademarks of Itron, Inc. All third-party trademarks are property of their respective owners and any usage herein does not suggest or imply any relationship between Itron and the third party unless expressly stated.</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Note Regarding Forward Looking Statements</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This release contains "forward-looking statements" within in the meaning of the safe harbor provisions of the U.S. Private Securities Litigation Reform Act of 1995. Forward-looking statements are neither historical factors nor assurances of future performance. These statements relate to our expectations about, among others, revenues, operations, financial performance, earnings, earnings per share and cash flows.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Therefore, you should not rely on any of these forward-looking statements. Some of the factors that we believe could affect our results include our ability to achieve estimated cost savings,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and other factors that are more fully described in our Annual Report on Form 10-K for the year ended Dec. 31, 2018 and other reports on file with the Securities and Exchange Commission. Itron undertakes no obligation to update or revise any information in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328" w:right="29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Non-GAAP Financial Information</w:t>
      </w:r>
    </w:p>
    <w:p>
      <w:pPr>
        <w:spacing w:after="0" w:line="212"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To supplement our consolidated financial statements presented in accordance with GAAP, we use certain non-GAAP financial measures, including non-GAAP operating expense, non-GAAP operating income, non-GAAP net income, non-GAAP diluted EPS, adjusted EBITDA, adjusted EBITDA margin, constant currency and free cash flow. We provide these non-GAAP financial measures because we believe they provide greater transparency and represent supplemental information used by management in its financial and operational decision making. We exclude certain costs in our non-GAAP financial measures as we believe the net result is a measure of our core business. The company believes these measures facilitate operating performance comparisons from period to period by eliminating potential differences caused by the existence and timing of certain expense items that would not otherwise be apparent on a GAAP basis. Non-GAAP performance measures should be considered in addition to, and not as a substitute for, results prepared in accordance with GAAP. Our non-GAAP financial measures may be different from those reported by other companies. A more detailed discussion of why we use non-GAAP financial measures, the limitations of using such measures, and reconciliations between non-GAAP and the nearest GAAP financial measures are included in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28" w:right="279" w:bottom="1440" w:gutter="0" w:footer="0" w:header="0"/>
        </w:sectPr>
      </w:pPr>
    </w:p>
    <w:bookmarkStart w:id="8" w:name="page9"/>
    <w:bookmarkEnd w:id="8"/>
    <w:p>
      <w:pPr>
        <w:jc w:val="center"/>
        <w:ind w:right="2840"/>
        <w:spacing w:after="0"/>
        <w:rPr>
          <w:sz w:val="20"/>
          <w:szCs w:val="20"/>
          <w:color w:val="auto"/>
        </w:rPr>
      </w:pPr>
      <w:r>
        <w:rPr>
          <w:rFonts w:ascii="Arial" w:cs="Arial" w:eastAsia="Arial" w:hAnsi="Arial"/>
          <w:sz w:val="18"/>
          <w:szCs w:val="18"/>
          <w:b w:val="1"/>
          <w:bCs w:val="1"/>
          <w:color w:val="auto"/>
        </w:rPr>
        <w:t>ITRON, INC.</w:t>
      </w:r>
    </w:p>
    <w:p>
      <w:pPr>
        <w:spacing w:after="0" w:line="36" w:lineRule="exact"/>
        <w:rPr>
          <w:sz w:val="20"/>
          <w:szCs w:val="20"/>
          <w:color w:val="auto"/>
        </w:rPr>
      </w:pPr>
    </w:p>
    <w:p>
      <w:pPr>
        <w:jc w:val="center"/>
        <w:ind w:right="2840"/>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(Unaudited, in thousands, except per share data)</w:t>
      </w:r>
    </w:p>
    <w:p>
      <w:pPr>
        <w:sectPr>
          <w:pgSz w:w="11900" w:h="16838" w:orient="portrait"/>
          <w:cols w:equalWidth="0" w:num="1">
            <w:col w:w="11420"/>
          </w:cols>
          <w:pgMar w:left="240" w:top="135" w:right="239" w:bottom="1440" w:gutter="0" w:footer="0" w:header="0"/>
        </w:sectPr>
      </w:pPr>
    </w:p>
    <w:p>
      <w:pPr>
        <w:spacing w:after="0" w:line="32" w:lineRule="exact"/>
        <w:rPr>
          <w:sz w:val="20"/>
          <w:szCs w:val="20"/>
          <w:color w:val="auto"/>
        </w:rPr>
      </w:pPr>
    </w:p>
    <w:p>
      <w:pPr>
        <w:jc w:val="center"/>
        <w:ind w:left="4060"/>
        <w:spacing w:after="0"/>
        <w:rPr>
          <w:sz w:val="20"/>
          <w:szCs w:val="20"/>
          <w:color w:val="auto"/>
        </w:rPr>
      </w:pPr>
      <w:r>
        <w:rPr>
          <w:rFonts w:ascii="Arial" w:cs="Arial" w:eastAsia="Arial" w:hAnsi="Arial"/>
          <w:sz w:val="16"/>
          <w:szCs w:val="16"/>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40640</wp:posOffset>
            </wp:positionV>
            <wp:extent cx="14833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53" w:lineRule="exact"/>
        <w:rPr>
          <w:sz w:val="20"/>
          <w:szCs w:val="20"/>
          <w:color w:val="auto"/>
        </w:rPr>
      </w:pPr>
    </w:p>
    <w:p>
      <w:pPr>
        <w:ind w:left="4460"/>
        <w:spacing w:after="0"/>
        <w:tabs>
          <w:tab w:leader="none" w:pos="560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jc w:val="center"/>
        <w:ind w:right="286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40640</wp:posOffset>
            </wp:positionV>
            <wp:extent cx="13462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53" w:lineRule="exact"/>
        <w:rPr>
          <w:sz w:val="20"/>
          <w:szCs w:val="20"/>
          <w:color w:val="auto"/>
        </w:rPr>
      </w:pPr>
    </w:p>
    <w:p>
      <w:pPr>
        <w:ind w:left="340"/>
        <w:spacing w:after="0"/>
        <w:tabs>
          <w:tab w:leader="none" w:pos="138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7" w:lineRule="exact"/>
        <w:rPr>
          <w:sz w:val="20"/>
          <w:szCs w:val="20"/>
          <w:color w:val="auto"/>
        </w:rPr>
      </w:pPr>
    </w:p>
    <w:p>
      <w:pPr>
        <w:sectPr>
          <w:pgSz w:w="11900" w:h="16838" w:orient="portrait"/>
          <w:cols w:equalWidth="0" w:num="2">
            <w:col w:w="6380" w:space="80"/>
            <w:col w:w="4960"/>
          </w:cols>
          <w:pgMar w:left="240" w:top="135" w:right="239" w:bottom="1440" w:gutter="0" w:footer="0" w:header="0"/>
          <w:type w:val="continuous"/>
        </w:sectPr>
      </w:pPr>
    </w:p>
    <w:tbl>
      <w:tblPr>
        <w:tblLayout w:type="fixed"/>
        <w:tblInd w:w="0" w:type="dxa"/>
        <w:tblCellMar>
          <w:top w:w="0" w:type="dxa"/>
          <w:left w:w="0" w:type="dxa"/>
          <w:bottom w:w="0" w:type="dxa"/>
          <w:right w:w="0" w:type="dxa"/>
        </w:tblCellMar>
      </w:tblPr>
      <w:tr>
        <w:trPr>
          <w:trHeight w:val="249"/>
        </w:trPr>
        <w:tc>
          <w:tcPr>
            <w:tcW w:w="4060" w:type="dxa"/>
            <w:vAlign w:val="bottom"/>
          </w:tcPr>
          <w:p>
            <w:pPr>
              <w:spacing w:after="0"/>
              <w:rPr>
                <w:sz w:val="20"/>
                <w:szCs w:val="20"/>
                <w:color w:val="auto"/>
              </w:rPr>
            </w:pPr>
            <w:r>
              <w:rPr>
                <w:rFonts w:ascii="Arial" w:cs="Arial" w:eastAsia="Arial" w:hAnsi="Arial"/>
                <w:sz w:val="18"/>
                <w:szCs w:val="18"/>
                <w:color w:val="auto"/>
              </w:rPr>
              <w:t>Revenues</w:t>
            </w:r>
          </w:p>
        </w:tc>
        <w:tc>
          <w:tcPr>
            <w:tcW w:w="3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840" w:type="dxa"/>
            <w:vAlign w:val="bottom"/>
          </w:tcPr>
          <w:p>
            <w:pPr>
              <w:spacing w:after="0"/>
              <w:rPr>
                <w:sz w:val="21"/>
                <w:szCs w:val="21"/>
                <w:color w:val="auto"/>
              </w:rPr>
            </w:pPr>
          </w:p>
        </w:tc>
      </w:tr>
      <w:tr>
        <w:trPr>
          <w:trHeight w:val="230"/>
        </w:trPr>
        <w:tc>
          <w:tcPr>
            <w:tcW w:w="4060" w:type="dxa"/>
            <w:vAlign w:val="bottom"/>
          </w:tcPr>
          <w:p>
            <w:pPr>
              <w:ind w:left="220"/>
              <w:spacing w:after="0"/>
              <w:rPr>
                <w:sz w:val="20"/>
                <w:szCs w:val="20"/>
                <w:color w:val="auto"/>
              </w:rPr>
            </w:pPr>
            <w:r>
              <w:rPr>
                <w:rFonts w:ascii="Arial" w:cs="Arial" w:eastAsia="Arial" w:hAnsi="Arial"/>
                <w:sz w:val="18"/>
                <w:szCs w:val="18"/>
                <w:color w:val="auto"/>
              </w:rPr>
              <w:t>Product revenues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566,047</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515,914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4"/>
              </w:rPr>
              <w:t>1,110,897</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w w:val="94"/>
              </w:rPr>
              <w:t>1,053,024</w:t>
            </w:r>
          </w:p>
        </w:tc>
        <w:tc>
          <w:tcPr>
            <w:tcW w:w="2840" w:type="dxa"/>
            <w:vAlign w:val="bottom"/>
          </w:tcPr>
          <w:p>
            <w:pPr>
              <w:spacing w:after="0"/>
              <w:rPr>
                <w:sz w:val="20"/>
                <w:szCs w:val="20"/>
                <w:color w:val="auto"/>
              </w:rPr>
            </w:pPr>
          </w:p>
        </w:tc>
      </w:tr>
      <w:tr>
        <w:trPr>
          <w:trHeight w:val="257"/>
        </w:trPr>
        <w:tc>
          <w:tcPr>
            <w:tcW w:w="4060" w:type="dxa"/>
            <w:vAlign w:val="bottom"/>
          </w:tcPr>
          <w:p>
            <w:pPr>
              <w:ind w:left="220"/>
              <w:spacing w:after="0"/>
              <w:rPr>
                <w:sz w:val="20"/>
                <w:szCs w:val="20"/>
                <w:color w:val="auto"/>
              </w:rPr>
            </w:pPr>
            <w:r>
              <w:rPr>
                <w:rFonts w:ascii="Arial" w:cs="Arial" w:eastAsia="Arial" w:hAnsi="Arial"/>
                <w:sz w:val="18"/>
                <w:szCs w:val="18"/>
                <w:color w:val="auto"/>
              </w:rPr>
              <w:t>Service revenues</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68,990</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69,976</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138,716</w:t>
            </w: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140,087</w:t>
            </w:r>
          </w:p>
        </w:tc>
        <w:tc>
          <w:tcPr>
            <w:tcW w:w="2840" w:type="dxa"/>
            <w:vAlign w:val="bottom"/>
          </w:tcPr>
          <w:p>
            <w:pPr>
              <w:spacing w:after="0"/>
              <w:rPr>
                <w:sz w:val="22"/>
                <w:szCs w:val="22"/>
                <w:color w:val="auto"/>
              </w:rPr>
            </w:pPr>
          </w:p>
        </w:tc>
      </w:tr>
      <w:tr>
        <w:trPr>
          <w:trHeight w:val="224"/>
        </w:trPr>
        <w:tc>
          <w:tcPr>
            <w:tcW w:w="4060" w:type="dxa"/>
            <w:vAlign w:val="bottom"/>
          </w:tcPr>
          <w:p>
            <w:pPr>
              <w:ind w:left="420"/>
              <w:spacing w:after="0"/>
              <w:rPr>
                <w:sz w:val="20"/>
                <w:szCs w:val="20"/>
                <w:color w:val="auto"/>
              </w:rPr>
            </w:pPr>
            <w:r>
              <w:rPr>
                <w:rFonts w:ascii="Arial" w:cs="Arial" w:eastAsia="Arial" w:hAnsi="Arial"/>
                <w:sz w:val="18"/>
                <w:szCs w:val="18"/>
                <w:color w:val="auto"/>
              </w:rPr>
              <w:t>Total revenues</w:t>
            </w:r>
          </w:p>
        </w:tc>
        <w:tc>
          <w:tcPr>
            <w:tcW w:w="30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635,037</w:t>
            </w:r>
          </w:p>
        </w:tc>
        <w:tc>
          <w:tcPr>
            <w:tcW w:w="3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585,890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4"/>
              </w:rPr>
              <w:t>1,249,613</w:t>
            </w:r>
          </w:p>
        </w:tc>
        <w:tc>
          <w:tcPr>
            <w:tcW w:w="18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w w:val="94"/>
              </w:rPr>
              <w:t>1,193,111</w:t>
            </w:r>
          </w:p>
        </w:tc>
        <w:tc>
          <w:tcPr>
            <w:tcW w:w="2840" w:type="dxa"/>
            <w:vAlign w:val="bottom"/>
          </w:tcPr>
          <w:p>
            <w:pPr>
              <w:spacing w:after="0"/>
              <w:rPr>
                <w:sz w:val="19"/>
                <w:szCs w:val="19"/>
                <w:color w:val="auto"/>
              </w:rPr>
            </w:pPr>
          </w:p>
        </w:tc>
      </w:tr>
      <w:tr>
        <w:trPr>
          <w:trHeight w:val="242"/>
        </w:trPr>
        <w:tc>
          <w:tcPr>
            <w:tcW w:w="4060" w:type="dxa"/>
            <w:vAlign w:val="bottom"/>
          </w:tcPr>
          <w:p>
            <w:pPr>
              <w:spacing w:after="0"/>
              <w:rPr>
                <w:sz w:val="20"/>
                <w:szCs w:val="20"/>
                <w:color w:val="auto"/>
              </w:rPr>
            </w:pPr>
            <w:r>
              <w:rPr>
                <w:rFonts w:ascii="Arial" w:cs="Arial" w:eastAsia="Arial" w:hAnsi="Arial"/>
                <w:sz w:val="18"/>
                <w:szCs w:val="18"/>
                <w:color w:val="auto"/>
              </w:rPr>
              <w:t>Cost of revenues</w:t>
            </w: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40" w:type="dxa"/>
            <w:vAlign w:val="bottom"/>
          </w:tcPr>
          <w:p>
            <w:pPr>
              <w:spacing w:after="0"/>
              <w:rPr>
                <w:sz w:val="21"/>
                <w:szCs w:val="21"/>
                <w:color w:val="auto"/>
              </w:rPr>
            </w:pPr>
          </w:p>
        </w:tc>
      </w:tr>
      <w:tr>
        <w:trPr>
          <w:trHeight w:val="243"/>
        </w:trPr>
        <w:tc>
          <w:tcPr>
            <w:tcW w:w="4060" w:type="dxa"/>
            <w:vAlign w:val="bottom"/>
          </w:tcPr>
          <w:p>
            <w:pPr>
              <w:ind w:left="220"/>
              <w:spacing w:after="0"/>
              <w:rPr>
                <w:sz w:val="20"/>
                <w:szCs w:val="20"/>
                <w:color w:val="auto"/>
              </w:rPr>
            </w:pPr>
            <w:r>
              <w:rPr>
                <w:rFonts w:ascii="Arial" w:cs="Arial" w:eastAsia="Arial" w:hAnsi="Arial"/>
                <w:sz w:val="18"/>
                <w:szCs w:val="18"/>
                <w:color w:val="auto"/>
              </w:rPr>
              <w:t>Product cost of revenues</w:t>
            </w:r>
          </w:p>
        </w:tc>
        <w:tc>
          <w:tcPr>
            <w:tcW w:w="3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401,033</w:t>
            </w:r>
          </w:p>
        </w:tc>
        <w:tc>
          <w:tcPr>
            <w:tcW w:w="30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366,542</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787,135</w:t>
            </w:r>
          </w:p>
        </w:tc>
        <w:tc>
          <w:tcPr>
            <w:tcW w:w="18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749,392</w:t>
            </w:r>
          </w:p>
        </w:tc>
        <w:tc>
          <w:tcPr>
            <w:tcW w:w="2840" w:type="dxa"/>
            <w:vAlign w:val="bottom"/>
          </w:tcPr>
          <w:p>
            <w:pPr>
              <w:spacing w:after="0"/>
              <w:rPr>
                <w:sz w:val="21"/>
                <w:szCs w:val="21"/>
                <w:color w:val="auto"/>
              </w:rPr>
            </w:pPr>
          </w:p>
        </w:tc>
      </w:tr>
      <w:tr>
        <w:trPr>
          <w:trHeight w:val="257"/>
        </w:trPr>
        <w:tc>
          <w:tcPr>
            <w:tcW w:w="4060" w:type="dxa"/>
            <w:vAlign w:val="bottom"/>
          </w:tcPr>
          <w:p>
            <w:pPr>
              <w:ind w:left="220"/>
              <w:spacing w:after="0"/>
              <w:rPr>
                <w:sz w:val="20"/>
                <w:szCs w:val="20"/>
                <w:color w:val="auto"/>
              </w:rPr>
            </w:pPr>
            <w:r>
              <w:rPr>
                <w:rFonts w:ascii="Arial" w:cs="Arial" w:eastAsia="Arial" w:hAnsi="Arial"/>
                <w:sz w:val="18"/>
                <w:szCs w:val="18"/>
                <w:color w:val="auto"/>
              </w:rPr>
              <w:t>Service cost of revenues</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42,790</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42,771</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84,001</w:t>
            </w: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87,287</w:t>
            </w:r>
          </w:p>
        </w:tc>
        <w:tc>
          <w:tcPr>
            <w:tcW w:w="2840" w:type="dxa"/>
            <w:vAlign w:val="bottom"/>
          </w:tcPr>
          <w:p>
            <w:pPr>
              <w:spacing w:after="0"/>
              <w:rPr>
                <w:sz w:val="22"/>
                <w:szCs w:val="22"/>
                <w:color w:val="auto"/>
              </w:rPr>
            </w:pPr>
          </w:p>
        </w:tc>
      </w:tr>
      <w:tr>
        <w:trPr>
          <w:trHeight w:val="237"/>
        </w:trPr>
        <w:tc>
          <w:tcPr>
            <w:tcW w:w="4060" w:type="dxa"/>
            <w:vAlign w:val="bottom"/>
          </w:tcPr>
          <w:p>
            <w:pPr>
              <w:ind w:left="420"/>
              <w:spacing w:after="0"/>
              <w:rPr>
                <w:sz w:val="20"/>
                <w:szCs w:val="20"/>
                <w:color w:val="auto"/>
              </w:rPr>
            </w:pPr>
            <w:r>
              <w:rPr>
                <w:rFonts w:ascii="Arial" w:cs="Arial" w:eastAsia="Arial" w:hAnsi="Arial"/>
                <w:sz w:val="18"/>
                <w:szCs w:val="18"/>
                <w:color w:val="auto"/>
              </w:rPr>
              <w:t>Total cost of revenues</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443,823</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409,313</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871,136</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836,679</w:t>
            </w:r>
          </w:p>
        </w:tc>
        <w:tc>
          <w:tcPr>
            <w:tcW w:w="2840" w:type="dxa"/>
            <w:vAlign w:val="bottom"/>
          </w:tcPr>
          <w:p>
            <w:pPr>
              <w:spacing w:after="0"/>
              <w:rPr>
                <w:sz w:val="20"/>
                <w:szCs w:val="20"/>
                <w:color w:val="auto"/>
              </w:rPr>
            </w:pPr>
          </w:p>
        </w:tc>
      </w:tr>
      <w:tr>
        <w:trPr>
          <w:trHeight w:val="224"/>
        </w:trPr>
        <w:tc>
          <w:tcPr>
            <w:tcW w:w="4060" w:type="dxa"/>
            <w:vAlign w:val="bottom"/>
          </w:tcPr>
          <w:p>
            <w:pPr>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191,214</w:t>
            </w:r>
          </w:p>
        </w:tc>
        <w:tc>
          <w:tcPr>
            <w:tcW w:w="3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176,577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378,477</w:t>
            </w:r>
          </w:p>
        </w:tc>
        <w:tc>
          <w:tcPr>
            <w:tcW w:w="18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356,432</w:t>
            </w:r>
          </w:p>
        </w:tc>
        <w:tc>
          <w:tcPr>
            <w:tcW w:w="2840" w:type="dxa"/>
            <w:vAlign w:val="bottom"/>
          </w:tcPr>
          <w:p>
            <w:pPr>
              <w:spacing w:after="0"/>
              <w:rPr>
                <w:sz w:val="19"/>
                <w:szCs w:val="19"/>
                <w:color w:val="auto"/>
              </w:rPr>
            </w:pPr>
          </w:p>
        </w:tc>
      </w:tr>
      <w:tr>
        <w:trPr>
          <w:trHeight w:val="485"/>
        </w:trPr>
        <w:tc>
          <w:tcPr>
            <w:tcW w:w="4060" w:type="dxa"/>
            <w:vAlign w:val="bottom"/>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43"/>
        </w:trPr>
        <w:tc>
          <w:tcPr>
            <w:tcW w:w="4060" w:type="dxa"/>
            <w:vAlign w:val="bottom"/>
          </w:tcPr>
          <w:p>
            <w:pPr>
              <w:ind w:left="220"/>
              <w:spacing w:after="0"/>
              <w:rPr>
                <w:sz w:val="20"/>
                <w:szCs w:val="20"/>
                <w:color w:val="auto"/>
              </w:rPr>
            </w:pPr>
            <w:r>
              <w:rPr>
                <w:rFonts w:ascii="Arial" w:cs="Arial" w:eastAsia="Arial" w:hAnsi="Arial"/>
                <w:sz w:val="18"/>
                <w:szCs w:val="18"/>
                <w:color w:val="auto"/>
              </w:rPr>
              <w:t>Sales, general and administrative</w:t>
            </w:r>
          </w:p>
        </w:tc>
        <w:tc>
          <w:tcPr>
            <w:tcW w:w="3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88,259</w:t>
            </w:r>
          </w:p>
        </w:tc>
        <w:tc>
          <w:tcPr>
            <w:tcW w:w="30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88,863</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180,974</w:t>
            </w:r>
          </w:p>
        </w:tc>
        <w:tc>
          <w:tcPr>
            <w:tcW w:w="18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243,277</w:t>
            </w:r>
          </w:p>
        </w:tc>
        <w:tc>
          <w:tcPr>
            <w:tcW w:w="2840" w:type="dxa"/>
            <w:vAlign w:val="bottom"/>
          </w:tcPr>
          <w:p>
            <w:pPr>
              <w:spacing w:after="0"/>
              <w:rPr>
                <w:sz w:val="21"/>
                <w:szCs w:val="21"/>
                <w:color w:val="auto"/>
              </w:rPr>
            </w:pPr>
          </w:p>
        </w:tc>
      </w:tr>
      <w:tr>
        <w:trPr>
          <w:trHeight w:val="243"/>
        </w:trPr>
        <w:tc>
          <w:tcPr>
            <w:tcW w:w="406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49,449</w:t>
            </w:r>
          </w:p>
        </w:tc>
        <w:tc>
          <w:tcPr>
            <w:tcW w:w="30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54,775</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99,939</w:t>
            </w:r>
          </w:p>
        </w:tc>
        <w:tc>
          <w:tcPr>
            <w:tcW w:w="18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115,059</w:t>
            </w:r>
          </w:p>
        </w:tc>
        <w:tc>
          <w:tcPr>
            <w:tcW w:w="2840" w:type="dxa"/>
            <w:vAlign w:val="bottom"/>
          </w:tcPr>
          <w:p>
            <w:pPr>
              <w:spacing w:after="0"/>
              <w:rPr>
                <w:sz w:val="21"/>
                <w:szCs w:val="21"/>
                <w:color w:val="auto"/>
              </w:rPr>
            </w:pPr>
          </w:p>
        </w:tc>
      </w:tr>
      <w:tr>
        <w:trPr>
          <w:trHeight w:val="243"/>
        </w:trPr>
        <w:tc>
          <w:tcPr>
            <w:tcW w:w="4060" w:type="dxa"/>
            <w:vAlign w:val="bottom"/>
          </w:tcPr>
          <w:p>
            <w:pPr>
              <w:ind w:left="22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16,117</w:t>
            </w:r>
          </w:p>
        </w:tc>
        <w:tc>
          <w:tcPr>
            <w:tcW w:w="30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17,999</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32,090</w:t>
            </w:r>
          </w:p>
        </w:tc>
        <w:tc>
          <w:tcPr>
            <w:tcW w:w="18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35,739</w:t>
            </w:r>
          </w:p>
        </w:tc>
        <w:tc>
          <w:tcPr>
            <w:tcW w:w="2840" w:type="dxa"/>
            <w:vAlign w:val="bottom"/>
          </w:tcPr>
          <w:p>
            <w:pPr>
              <w:spacing w:after="0"/>
              <w:rPr>
                <w:sz w:val="21"/>
                <w:szCs w:val="21"/>
                <w:color w:val="auto"/>
              </w:rPr>
            </w:pPr>
          </w:p>
        </w:tc>
      </w:tr>
      <w:tr>
        <w:trPr>
          <w:trHeight w:val="257"/>
        </w:trPr>
        <w:tc>
          <w:tcPr>
            <w:tcW w:w="4060" w:type="dxa"/>
            <w:vAlign w:val="bottom"/>
          </w:tcPr>
          <w:p>
            <w:pPr>
              <w:ind w:left="220"/>
              <w:spacing w:after="0"/>
              <w:rPr>
                <w:sz w:val="20"/>
                <w:szCs w:val="20"/>
                <w:color w:val="auto"/>
              </w:rPr>
            </w:pPr>
            <w:r>
              <w:rPr>
                <w:rFonts w:ascii="Arial" w:cs="Arial" w:eastAsia="Arial" w:hAnsi="Arial"/>
                <w:sz w:val="18"/>
                <w:szCs w:val="18"/>
                <w:color w:val="auto"/>
              </w:rPr>
              <w:t>Restructuring</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(6,169)</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(5,623)</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w:t>
            </w: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82,242</w:t>
            </w:r>
          </w:p>
        </w:tc>
        <w:tc>
          <w:tcPr>
            <w:tcW w:w="2840" w:type="dxa"/>
            <w:vAlign w:val="bottom"/>
          </w:tcPr>
          <w:p>
            <w:pPr>
              <w:spacing w:after="0"/>
              <w:rPr>
                <w:sz w:val="22"/>
                <w:szCs w:val="22"/>
                <w:color w:val="auto"/>
              </w:rPr>
            </w:pPr>
          </w:p>
        </w:tc>
      </w:tr>
      <w:tr>
        <w:trPr>
          <w:trHeight w:val="237"/>
        </w:trPr>
        <w:tc>
          <w:tcPr>
            <w:tcW w:w="4060" w:type="dxa"/>
            <w:vAlign w:val="bottom"/>
          </w:tcPr>
          <w:p>
            <w:pPr>
              <w:ind w:left="4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147,656</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156,014</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314,096</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476,317</w:t>
            </w:r>
          </w:p>
        </w:tc>
        <w:tc>
          <w:tcPr>
            <w:tcW w:w="2840" w:type="dxa"/>
            <w:vAlign w:val="bottom"/>
          </w:tcPr>
          <w:p>
            <w:pPr>
              <w:spacing w:after="0"/>
              <w:rPr>
                <w:sz w:val="20"/>
                <w:szCs w:val="20"/>
                <w:color w:val="auto"/>
              </w:rPr>
            </w:pPr>
          </w:p>
        </w:tc>
      </w:tr>
      <w:tr>
        <w:trPr>
          <w:trHeight w:val="466"/>
        </w:trPr>
        <w:tc>
          <w:tcPr>
            <w:tcW w:w="4060" w:type="dxa"/>
            <w:vAlign w:val="bottom"/>
          </w:tcPr>
          <w:p>
            <w:pPr>
              <w:spacing w:after="0"/>
              <w:rPr>
                <w:sz w:val="20"/>
                <w:szCs w:val="20"/>
                <w:color w:val="auto"/>
              </w:rPr>
            </w:pPr>
            <w:r>
              <w:rPr>
                <w:rFonts w:ascii="Arial" w:cs="Arial" w:eastAsia="Arial" w:hAnsi="Arial"/>
                <w:sz w:val="18"/>
                <w:szCs w:val="18"/>
                <w:color w:val="auto"/>
              </w:rPr>
              <w:t>Operating income (loss)</w:t>
            </w:r>
          </w:p>
        </w:tc>
        <w:tc>
          <w:tcPr>
            <w:tcW w:w="30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43,558</w:t>
            </w:r>
          </w:p>
        </w:tc>
        <w:tc>
          <w:tcPr>
            <w:tcW w:w="300" w:type="dxa"/>
            <w:vAlign w:val="bottom"/>
          </w:tcPr>
          <w:p>
            <w:pPr>
              <w:spacing w:after="0"/>
              <w:rPr>
                <w:sz w:val="24"/>
                <w:szCs w:val="24"/>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20,563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64,381</w:t>
            </w: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(119,885)</w:t>
            </w:r>
          </w:p>
        </w:tc>
        <w:tc>
          <w:tcPr>
            <w:tcW w:w="2840" w:type="dxa"/>
            <w:vAlign w:val="bottom"/>
          </w:tcPr>
          <w:p>
            <w:pPr>
              <w:spacing w:after="0"/>
              <w:rPr>
                <w:sz w:val="24"/>
                <w:szCs w:val="24"/>
                <w:color w:val="auto"/>
              </w:rPr>
            </w:pPr>
          </w:p>
        </w:tc>
      </w:tr>
      <w:tr>
        <w:trPr>
          <w:trHeight w:val="243"/>
        </w:trPr>
        <w:tc>
          <w:tcPr>
            <w:tcW w:w="4060" w:type="dxa"/>
            <w:vAlign w:val="bottom"/>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40" w:type="dxa"/>
            <w:vAlign w:val="bottom"/>
          </w:tcPr>
          <w:p>
            <w:pPr>
              <w:spacing w:after="0"/>
              <w:rPr>
                <w:sz w:val="21"/>
                <w:szCs w:val="21"/>
                <w:color w:val="auto"/>
              </w:rPr>
            </w:pPr>
          </w:p>
        </w:tc>
      </w:tr>
      <w:tr>
        <w:trPr>
          <w:trHeight w:val="243"/>
        </w:trPr>
        <w:tc>
          <w:tcPr>
            <w:tcW w:w="406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534</w:t>
            </w:r>
          </w:p>
        </w:tc>
        <w:tc>
          <w:tcPr>
            <w:tcW w:w="30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633</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862</w:t>
            </w:r>
          </w:p>
        </w:tc>
        <w:tc>
          <w:tcPr>
            <w:tcW w:w="18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1,294</w:t>
            </w:r>
          </w:p>
        </w:tc>
        <w:tc>
          <w:tcPr>
            <w:tcW w:w="2840" w:type="dxa"/>
            <w:vAlign w:val="bottom"/>
          </w:tcPr>
          <w:p>
            <w:pPr>
              <w:spacing w:after="0"/>
              <w:rPr>
                <w:sz w:val="21"/>
                <w:szCs w:val="21"/>
                <w:color w:val="auto"/>
              </w:rPr>
            </w:pPr>
          </w:p>
        </w:tc>
      </w:tr>
      <w:tr>
        <w:trPr>
          <w:trHeight w:val="243"/>
        </w:trPr>
        <w:tc>
          <w:tcPr>
            <w:tcW w:w="406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(13,496)</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(14,645)</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(27,031)</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(30,149)</w:t>
            </w:r>
          </w:p>
        </w:tc>
        <w:tc>
          <w:tcPr>
            <w:tcW w:w="2840" w:type="dxa"/>
            <w:vAlign w:val="bottom"/>
          </w:tcPr>
          <w:p>
            <w:pPr>
              <w:spacing w:after="0"/>
              <w:rPr>
                <w:sz w:val="21"/>
                <w:szCs w:val="21"/>
                <w:color w:val="auto"/>
              </w:rPr>
            </w:pPr>
          </w:p>
        </w:tc>
      </w:tr>
      <w:tr>
        <w:trPr>
          <w:trHeight w:val="257"/>
        </w:trPr>
        <w:tc>
          <w:tcPr>
            <w:tcW w:w="4060" w:type="dxa"/>
            <w:vAlign w:val="bottom"/>
          </w:tcPr>
          <w:p>
            <w:pPr>
              <w:ind w:left="22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(2,060)</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1,003</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(3,704)</w:t>
            </w: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2840" w:type="dxa"/>
            <w:vAlign w:val="bottom"/>
          </w:tcPr>
          <w:p>
            <w:pPr>
              <w:spacing w:after="0"/>
              <w:rPr>
                <w:sz w:val="22"/>
                <w:szCs w:val="22"/>
                <w:color w:val="auto"/>
              </w:rPr>
            </w:pPr>
          </w:p>
        </w:tc>
      </w:tr>
      <w:tr>
        <w:trPr>
          <w:trHeight w:val="237"/>
        </w:trPr>
        <w:tc>
          <w:tcPr>
            <w:tcW w:w="4060" w:type="dxa"/>
            <w:vAlign w:val="bottom"/>
          </w:tcPr>
          <w:p>
            <w:pPr>
              <w:ind w:left="420"/>
              <w:spacing w:after="0"/>
              <w:rPr>
                <w:sz w:val="20"/>
                <w:szCs w:val="20"/>
                <w:color w:val="auto"/>
              </w:rPr>
            </w:pPr>
            <w:r>
              <w:rPr>
                <w:rFonts w:ascii="Arial" w:cs="Arial" w:eastAsia="Arial" w:hAnsi="Arial"/>
                <w:sz w:val="18"/>
                <w:szCs w:val="18"/>
                <w:color w:val="auto"/>
              </w:rPr>
              <w:t>Total other income (expense)</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(15,022)</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(13,009)</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(29,873)</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(29,019)</w:t>
            </w:r>
          </w:p>
        </w:tc>
        <w:tc>
          <w:tcPr>
            <w:tcW w:w="2840" w:type="dxa"/>
            <w:vAlign w:val="bottom"/>
          </w:tcPr>
          <w:p>
            <w:pPr>
              <w:spacing w:after="0"/>
              <w:rPr>
                <w:sz w:val="20"/>
                <w:szCs w:val="20"/>
                <w:color w:val="auto"/>
              </w:rPr>
            </w:pPr>
          </w:p>
        </w:tc>
      </w:tr>
      <w:tr>
        <w:trPr>
          <w:trHeight w:val="466"/>
        </w:trPr>
        <w:tc>
          <w:tcPr>
            <w:tcW w:w="406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28,536</w:t>
            </w:r>
          </w:p>
        </w:tc>
        <w:tc>
          <w:tcPr>
            <w:tcW w:w="300" w:type="dxa"/>
            <w:vAlign w:val="bottom"/>
          </w:tcPr>
          <w:p>
            <w:pPr>
              <w:spacing w:after="0"/>
              <w:rPr>
                <w:sz w:val="24"/>
                <w:szCs w:val="24"/>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7,554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34,508</w:t>
            </w: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(148,904)</w:t>
            </w:r>
          </w:p>
        </w:tc>
        <w:tc>
          <w:tcPr>
            <w:tcW w:w="2840" w:type="dxa"/>
            <w:vAlign w:val="bottom"/>
          </w:tcPr>
          <w:p>
            <w:pPr>
              <w:spacing w:after="0"/>
              <w:rPr>
                <w:sz w:val="24"/>
                <w:szCs w:val="24"/>
                <w:color w:val="auto"/>
              </w:rPr>
            </w:pPr>
          </w:p>
        </w:tc>
      </w:tr>
      <w:tr>
        <w:trPr>
          <w:trHeight w:val="257"/>
        </w:trPr>
        <w:tc>
          <w:tcPr>
            <w:tcW w:w="406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(8,419)</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(3,781)</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(14,540)</w:t>
            </w: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7,407</w:t>
            </w:r>
          </w:p>
        </w:tc>
        <w:tc>
          <w:tcPr>
            <w:tcW w:w="2840" w:type="dxa"/>
            <w:vAlign w:val="bottom"/>
          </w:tcPr>
          <w:p>
            <w:pPr>
              <w:spacing w:after="0"/>
              <w:rPr>
                <w:sz w:val="22"/>
                <w:szCs w:val="22"/>
                <w:color w:val="auto"/>
              </w:rPr>
            </w:pPr>
          </w:p>
        </w:tc>
      </w:tr>
      <w:tr>
        <w:trPr>
          <w:trHeight w:val="224"/>
        </w:trPr>
        <w:tc>
          <w:tcPr>
            <w:tcW w:w="4060" w:type="dxa"/>
            <w:vAlign w:val="bottom"/>
          </w:tcPr>
          <w:p>
            <w:pPr>
              <w:spacing w:after="0"/>
              <w:rPr>
                <w:sz w:val="20"/>
                <w:szCs w:val="20"/>
                <w:color w:val="auto"/>
              </w:rPr>
            </w:pPr>
            <w:r>
              <w:rPr>
                <w:rFonts w:ascii="Arial" w:cs="Arial" w:eastAsia="Arial" w:hAnsi="Arial"/>
                <w:sz w:val="18"/>
                <w:szCs w:val="18"/>
                <w:color w:val="auto"/>
              </w:rPr>
              <w:t>Net Income (loss)</w:t>
            </w:r>
          </w:p>
        </w:tc>
        <w:tc>
          <w:tcPr>
            <w:tcW w:w="30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20,117</w:t>
            </w:r>
          </w:p>
        </w:tc>
        <w:tc>
          <w:tcPr>
            <w:tcW w:w="3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3,773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19,968</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(141,497)</w:t>
            </w:r>
          </w:p>
        </w:tc>
        <w:tc>
          <w:tcPr>
            <w:tcW w:w="2840" w:type="dxa"/>
            <w:vAlign w:val="bottom"/>
          </w:tcPr>
          <w:p>
            <w:pPr>
              <w:spacing w:after="0"/>
              <w:rPr>
                <w:sz w:val="19"/>
                <w:szCs w:val="19"/>
                <w:color w:val="auto"/>
              </w:rPr>
            </w:pPr>
          </w:p>
        </w:tc>
      </w:tr>
      <w:tr>
        <w:trPr>
          <w:trHeight w:val="256"/>
        </w:trPr>
        <w:tc>
          <w:tcPr>
            <w:tcW w:w="4060" w:type="dxa"/>
            <w:vAlign w:val="bottom"/>
          </w:tcPr>
          <w:p>
            <w:pPr>
              <w:ind w:left="220"/>
              <w:spacing w:after="0"/>
              <w:rPr>
                <w:sz w:val="20"/>
                <w:szCs w:val="20"/>
                <w:color w:val="auto"/>
              </w:rPr>
            </w:pPr>
            <w:r>
              <w:rPr>
                <w:rFonts w:ascii="Arial" w:cs="Arial" w:eastAsia="Arial" w:hAnsi="Arial"/>
                <w:sz w:val="18"/>
                <w:szCs w:val="18"/>
                <w:color w:val="auto"/>
                <w:w w:val="96"/>
              </w:rPr>
              <w:t>Net income attributable to noncontrolling interests</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671</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1,116</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2,429</w:t>
            </w: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1,512</w:t>
            </w:r>
          </w:p>
        </w:tc>
        <w:tc>
          <w:tcPr>
            <w:tcW w:w="2840" w:type="dxa"/>
            <w:vAlign w:val="bottom"/>
          </w:tcPr>
          <w:p>
            <w:pPr>
              <w:spacing w:after="0"/>
              <w:rPr>
                <w:sz w:val="22"/>
                <w:szCs w:val="22"/>
                <w:color w:val="auto"/>
              </w:rPr>
            </w:pPr>
          </w:p>
        </w:tc>
      </w:tr>
      <w:tr>
        <w:trPr>
          <w:trHeight w:val="237"/>
        </w:trPr>
        <w:tc>
          <w:tcPr>
            <w:tcW w:w="4060" w:type="dxa"/>
            <w:vAlign w:val="bottom"/>
          </w:tcPr>
          <w:p>
            <w:pPr>
              <w:spacing w:after="0"/>
              <w:rPr>
                <w:sz w:val="20"/>
                <w:szCs w:val="20"/>
                <w:color w:val="auto"/>
              </w:rPr>
            </w:pPr>
            <w:r>
              <w:rPr>
                <w:rFonts w:ascii="Arial" w:cs="Arial" w:eastAsia="Arial" w:hAnsi="Arial"/>
                <w:sz w:val="18"/>
                <w:szCs w:val="18"/>
                <w:color w:val="auto"/>
              </w:rPr>
              <w:t>Net income (loss) attributable to Itron, Inc.</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19,446</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2,657</w:t>
            </w:r>
          </w:p>
        </w:tc>
        <w:tc>
          <w:tcPr>
            <w:tcW w:w="6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(143,009)</w:t>
            </w:r>
          </w:p>
        </w:tc>
        <w:tc>
          <w:tcPr>
            <w:tcW w:w="2840" w:type="dxa"/>
            <w:vAlign w:val="bottom"/>
          </w:tcPr>
          <w:p>
            <w:pPr>
              <w:spacing w:after="0"/>
              <w:rPr>
                <w:sz w:val="20"/>
                <w:szCs w:val="20"/>
                <w:color w:val="auto"/>
              </w:rPr>
            </w:pPr>
          </w:p>
        </w:tc>
      </w:tr>
      <w:tr>
        <w:trPr>
          <w:trHeight w:val="20"/>
        </w:trPr>
        <w:tc>
          <w:tcPr>
            <w:tcW w:w="4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467"/>
        </w:trPr>
        <w:tc>
          <w:tcPr>
            <w:tcW w:w="4060" w:type="dxa"/>
            <w:vAlign w:val="bottom"/>
          </w:tcPr>
          <w:p>
            <w:pPr>
              <w:spacing w:after="0"/>
              <w:rPr>
                <w:sz w:val="20"/>
                <w:szCs w:val="20"/>
                <w:color w:val="auto"/>
              </w:rPr>
            </w:pPr>
            <w:r>
              <w:rPr>
                <w:rFonts w:ascii="Arial" w:cs="Arial" w:eastAsia="Arial" w:hAnsi="Arial"/>
                <w:sz w:val="18"/>
                <w:szCs w:val="18"/>
                <w:color w:val="auto"/>
              </w:rPr>
              <w:t>Net income (loss) per common share - Basic</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0.49</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0.07</w:t>
            </w:r>
          </w:p>
        </w:tc>
        <w:tc>
          <w:tcPr>
            <w:tcW w:w="6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2840" w:type="dxa"/>
            <w:vAlign w:val="bottom"/>
          </w:tcPr>
          <w:p>
            <w:pPr>
              <w:spacing w:after="0"/>
              <w:rPr>
                <w:sz w:val="24"/>
                <w:szCs w:val="24"/>
                <w:color w:val="auto"/>
              </w:rPr>
            </w:pPr>
          </w:p>
        </w:tc>
      </w:tr>
      <w:tr>
        <w:trPr>
          <w:trHeight w:val="20"/>
        </w:trPr>
        <w:tc>
          <w:tcPr>
            <w:tcW w:w="4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224"/>
        </w:trPr>
        <w:tc>
          <w:tcPr>
            <w:tcW w:w="4060" w:type="dxa"/>
            <w:vAlign w:val="bottom"/>
          </w:tcPr>
          <w:p>
            <w:pPr>
              <w:spacing w:after="0"/>
              <w:rPr>
                <w:sz w:val="20"/>
                <w:szCs w:val="20"/>
                <w:color w:val="auto"/>
              </w:rPr>
            </w:pPr>
            <w:r>
              <w:rPr>
                <w:rFonts w:ascii="Arial" w:cs="Arial" w:eastAsia="Arial" w:hAnsi="Arial"/>
                <w:sz w:val="18"/>
                <w:szCs w:val="18"/>
                <w:color w:val="auto"/>
              </w:rPr>
              <w:t>Net income (loss) per common share - Diluted</w:t>
            </w: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0.49</w:t>
            </w: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0.07</w:t>
            </w: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2840" w:type="dxa"/>
            <w:vAlign w:val="bottom"/>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453"/>
        </w:trPr>
        <w:tc>
          <w:tcPr>
            <w:tcW w:w="4060" w:type="dxa"/>
            <w:vAlign w:val="bottom"/>
          </w:tcPr>
          <w:p>
            <w:pPr>
              <w:spacing w:after="0"/>
              <w:rPr>
                <w:sz w:val="20"/>
                <w:szCs w:val="20"/>
                <w:color w:val="auto"/>
              </w:rPr>
            </w:pPr>
            <w:r>
              <w:rPr>
                <w:rFonts w:ascii="Arial" w:cs="Arial" w:eastAsia="Arial" w:hAnsi="Arial"/>
                <w:sz w:val="18"/>
                <w:szCs w:val="18"/>
                <w:color w:val="auto"/>
                <w:w w:val="92"/>
              </w:rPr>
              <w:t>Weighted average common shares outstanding - Basic</w:t>
            </w:r>
          </w:p>
        </w:tc>
        <w:tc>
          <w:tcPr>
            <w:tcW w:w="30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39,389</w:t>
            </w:r>
          </w:p>
        </w:tc>
        <w:tc>
          <w:tcPr>
            <w:tcW w:w="300" w:type="dxa"/>
            <w:vAlign w:val="bottom"/>
          </w:tcPr>
          <w:p>
            <w:pPr>
              <w:spacing w:after="0"/>
              <w:rPr>
                <w:sz w:val="24"/>
                <w:szCs w:val="24"/>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39,243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39,523</w:t>
            </w:r>
          </w:p>
        </w:tc>
        <w:tc>
          <w:tcPr>
            <w:tcW w:w="180" w:type="dxa"/>
            <w:vAlign w:val="bottom"/>
          </w:tcPr>
          <w:p>
            <w:pPr>
              <w:spacing w:after="0"/>
              <w:rPr>
                <w:sz w:val="24"/>
                <w:szCs w:val="24"/>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39,095</w:t>
            </w:r>
          </w:p>
        </w:tc>
        <w:tc>
          <w:tcPr>
            <w:tcW w:w="2840" w:type="dxa"/>
            <w:vAlign w:val="bottom"/>
          </w:tcPr>
          <w:p>
            <w:pPr>
              <w:spacing w:after="0"/>
              <w:rPr>
                <w:sz w:val="24"/>
                <w:szCs w:val="24"/>
                <w:color w:val="auto"/>
              </w:rPr>
            </w:pPr>
          </w:p>
        </w:tc>
      </w:tr>
      <w:tr>
        <w:trPr>
          <w:trHeight w:val="243"/>
        </w:trPr>
        <w:tc>
          <w:tcPr>
            <w:tcW w:w="4060" w:type="dxa"/>
            <w:vAlign w:val="bottom"/>
          </w:tcPr>
          <w:p>
            <w:pPr>
              <w:spacing w:after="0"/>
              <w:rPr>
                <w:sz w:val="20"/>
                <w:szCs w:val="20"/>
                <w:color w:val="auto"/>
              </w:rPr>
            </w:pPr>
            <w:r>
              <w:rPr>
                <w:rFonts w:ascii="Arial" w:cs="Arial" w:eastAsia="Arial" w:hAnsi="Arial"/>
                <w:sz w:val="18"/>
                <w:szCs w:val="18"/>
                <w:color w:val="auto"/>
                <w:w w:val="89"/>
              </w:rPr>
              <w:t>Weighted average common shares outstanding - Diluted</w:t>
            </w:r>
          </w:p>
        </w:tc>
        <w:tc>
          <w:tcPr>
            <w:tcW w:w="3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39,686</w:t>
            </w:r>
          </w:p>
        </w:tc>
        <w:tc>
          <w:tcPr>
            <w:tcW w:w="30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39,789</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39,875</w:t>
            </w:r>
          </w:p>
        </w:tc>
        <w:tc>
          <w:tcPr>
            <w:tcW w:w="18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39,095</w:t>
            </w:r>
          </w:p>
        </w:tc>
        <w:tc>
          <w:tcPr>
            <w:tcW w:w="2840" w:type="dxa"/>
            <w:vAlign w:val="bottom"/>
          </w:tcPr>
          <w:p>
            <w:pPr>
              <w:spacing w:after="0"/>
              <w:rPr>
                <w:sz w:val="21"/>
                <w:szCs w:val="21"/>
                <w:color w:val="auto"/>
              </w:rPr>
            </w:pPr>
          </w:p>
        </w:tc>
      </w:tr>
      <w:tr>
        <w:trPr>
          <w:trHeight w:val="196"/>
        </w:trPr>
        <w:tc>
          <w:tcPr>
            <w:tcW w:w="40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tcPr>
          <w:p>
            <w:pPr>
              <w:spacing w:after="0"/>
              <w:rPr>
                <w:sz w:val="17"/>
                <w:szCs w:val="17"/>
                <w:color w:val="auto"/>
              </w:rPr>
            </w:pPr>
          </w:p>
        </w:tc>
      </w:tr>
    </w:tbl>
    <w:p>
      <w:pPr>
        <w:sectPr>
          <w:pgSz w:w="11900" w:h="16838" w:orient="portrait"/>
          <w:cols w:equalWidth="0" w:num="1">
            <w:col w:w="11420"/>
          </w:cols>
          <w:pgMar w:left="240" w:top="135" w:right="239" w:bottom="1440" w:gutter="0" w:footer="0" w:header="0"/>
          <w:type w:val="continuous"/>
        </w:sectPr>
      </w:pPr>
    </w:p>
    <w:bookmarkStart w:id="9" w:name="page10"/>
    <w:bookmarkEnd w:id="9"/>
    <w:p>
      <w:pPr>
        <w:jc w:val="center"/>
        <w:ind w:right="5000"/>
        <w:spacing w:after="0"/>
        <w:rPr>
          <w:sz w:val="20"/>
          <w:szCs w:val="20"/>
          <w:color w:val="auto"/>
        </w:rPr>
      </w:pPr>
      <w:r>
        <w:rPr>
          <w:rFonts w:ascii="Arial" w:cs="Arial" w:eastAsia="Arial" w:hAnsi="Arial"/>
          <w:sz w:val="18"/>
          <w:szCs w:val="18"/>
          <w:b w:val="1"/>
          <w:bCs w:val="1"/>
          <w:color w:val="auto"/>
        </w:rPr>
        <w:t>ITRON, INC.</w:t>
      </w:r>
    </w:p>
    <w:p>
      <w:pPr>
        <w:spacing w:after="0" w:line="36" w:lineRule="exact"/>
        <w:rPr>
          <w:sz w:val="20"/>
          <w:szCs w:val="20"/>
          <w:color w:val="auto"/>
        </w:rPr>
      </w:pPr>
    </w:p>
    <w:p>
      <w:pPr>
        <w:jc w:val="center"/>
        <w:ind w:right="5000"/>
        <w:spacing w:after="0"/>
        <w:rPr>
          <w:sz w:val="20"/>
          <w:szCs w:val="20"/>
          <w:color w:val="auto"/>
        </w:rPr>
      </w:pPr>
      <w:r>
        <w:rPr>
          <w:rFonts w:ascii="Arial" w:cs="Arial" w:eastAsia="Arial" w:hAnsi="Arial"/>
          <w:sz w:val="18"/>
          <w:szCs w:val="18"/>
          <w:b w:val="1"/>
          <w:bCs w:val="1"/>
          <w:color w:val="auto"/>
        </w:rPr>
        <w:t>SEGMENT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(Unaudited, in thousands)</w:t>
      </w:r>
    </w:p>
    <w:p>
      <w:pPr>
        <w:sectPr>
          <w:pgSz w:w="11900" w:h="16838" w:orient="portrait"/>
          <w:cols w:equalWidth="0" w:num="1">
            <w:col w:w="11420"/>
          </w:cols>
          <w:pgMar w:left="240" w:top="135" w:right="239" w:bottom="1440" w:gutter="0" w:footer="0" w:header="0"/>
        </w:sectPr>
      </w:pPr>
    </w:p>
    <w:p>
      <w:pPr>
        <w:spacing w:after="0" w:line="32" w:lineRule="exact"/>
        <w:rPr>
          <w:sz w:val="20"/>
          <w:szCs w:val="20"/>
          <w:color w:val="auto"/>
        </w:rPr>
      </w:pPr>
    </w:p>
    <w:p>
      <w:pPr>
        <w:jc w:val="center"/>
        <w:ind w:left="1900"/>
        <w:spacing w:after="0"/>
        <w:rPr>
          <w:sz w:val="20"/>
          <w:szCs w:val="20"/>
          <w:color w:val="auto"/>
        </w:rPr>
      </w:pPr>
      <w:r>
        <w:rPr>
          <w:rFonts w:ascii="Arial" w:cs="Arial" w:eastAsia="Arial" w:hAnsi="Arial"/>
          <w:sz w:val="16"/>
          <w:szCs w:val="16"/>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40640</wp:posOffset>
            </wp:positionV>
            <wp:extent cx="14833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53" w:lineRule="exact"/>
        <w:rPr>
          <w:sz w:val="20"/>
          <w:szCs w:val="20"/>
          <w:color w:val="auto"/>
        </w:rPr>
      </w:pPr>
    </w:p>
    <w:p>
      <w:pPr>
        <w:ind w:left="2300"/>
        <w:spacing w:after="0"/>
        <w:tabs>
          <w:tab w:leader="none" w:pos="344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jc w:val="center"/>
        <w:ind w:right="502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13462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53" w:lineRule="exact"/>
        <w:rPr>
          <w:sz w:val="20"/>
          <w:szCs w:val="20"/>
          <w:color w:val="auto"/>
        </w:rPr>
      </w:pPr>
    </w:p>
    <w:p>
      <w:pPr>
        <w:ind w:left="340"/>
        <w:spacing w:after="0"/>
        <w:tabs>
          <w:tab w:leader="none" w:pos="138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7" w:lineRule="exact"/>
        <w:rPr>
          <w:sz w:val="20"/>
          <w:szCs w:val="20"/>
          <w:color w:val="auto"/>
        </w:rPr>
      </w:pPr>
    </w:p>
    <w:p>
      <w:pPr>
        <w:sectPr>
          <w:pgSz w:w="11900" w:h="16838" w:orient="portrait"/>
          <w:cols w:equalWidth="0" w:num="2">
            <w:col w:w="4220" w:space="80"/>
            <w:col w:w="7120"/>
          </w:cols>
          <w:pgMar w:left="240" w:top="135" w:right="239" w:bottom="1440" w:gutter="0" w:footer="0" w:header="0"/>
          <w:type w:val="continuous"/>
        </w:sectPr>
      </w:pPr>
    </w:p>
    <w:tbl>
      <w:tblPr>
        <w:tblLayout w:type="fixed"/>
        <w:tblInd w:w="0" w:type="dxa"/>
        <w:tblCellMar>
          <w:top w:w="0" w:type="dxa"/>
          <w:left w:w="0" w:type="dxa"/>
          <w:bottom w:w="0" w:type="dxa"/>
          <w:right w:w="0" w:type="dxa"/>
        </w:tblCellMar>
      </w:tblPr>
      <w:tr>
        <w:trPr>
          <w:trHeight w:val="249"/>
        </w:trPr>
        <w:tc>
          <w:tcPr>
            <w:tcW w:w="1900" w:type="dxa"/>
            <w:vAlign w:val="bottom"/>
          </w:tcPr>
          <w:p>
            <w:pPr>
              <w:spacing w:after="0"/>
              <w:rPr>
                <w:sz w:val="20"/>
                <w:szCs w:val="20"/>
                <w:color w:val="auto"/>
              </w:rPr>
            </w:pPr>
            <w:r>
              <w:rPr>
                <w:rFonts w:ascii="Arial" w:cs="Arial" w:eastAsia="Arial" w:hAnsi="Arial"/>
                <w:sz w:val="18"/>
                <w:szCs w:val="18"/>
                <w:b w:val="1"/>
                <w:bCs w:val="1"/>
                <w:color w:val="auto"/>
              </w:rPr>
              <w:t>Product revenues</w:t>
            </w:r>
          </w:p>
        </w:tc>
        <w:tc>
          <w:tcPr>
            <w:tcW w:w="3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5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900" w:type="dxa"/>
            <w:vAlign w:val="bottom"/>
          </w:tcPr>
          <w:p>
            <w:pPr>
              <w:ind w:left="220"/>
              <w:spacing w:after="0"/>
              <w:rPr>
                <w:sz w:val="20"/>
                <w:szCs w:val="20"/>
                <w:color w:val="auto"/>
              </w:rPr>
            </w:pPr>
            <w:r>
              <w:rPr>
                <w:rFonts w:ascii="Arial" w:cs="Arial" w:eastAsia="Arial" w:hAnsi="Arial"/>
                <w:sz w:val="18"/>
                <w:szCs w:val="18"/>
                <w:color w:val="auto"/>
              </w:rPr>
              <w:t>Device Solutions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214,589</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231,750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433,158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477,173</w:t>
            </w:r>
          </w:p>
        </w:tc>
        <w:tc>
          <w:tcPr>
            <w:tcW w:w="5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900" w:type="dxa"/>
            <w:vAlign w:val="bottom"/>
          </w:tcPr>
          <w:p>
            <w:pPr>
              <w:ind w:left="220"/>
              <w:spacing w:after="0"/>
              <w:rPr>
                <w:sz w:val="20"/>
                <w:szCs w:val="20"/>
                <w:color w:val="auto"/>
              </w:rPr>
            </w:pPr>
            <w:r>
              <w:rPr>
                <w:rFonts w:ascii="Arial" w:cs="Arial" w:eastAsia="Arial" w:hAnsi="Arial"/>
                <w:sz w:val="18"/>
                <w:szCs w:val="18"/>
                <w:color w:val="auto"/>
              </w:rPr>
              <w:t>Networked Solutions</w:t>
            </w:r>
          </w:p>
        </w:tc>
        <w:tc>
          <w:tcPr>
            <w:tcW w:w="3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333,422</w:t>
            </w:r>
          </w:p>
        </w:tc>
        <w:tc>
          <w:tcPr>
            <w:tcW w:w="26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275,298</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647,772</w:t>
            </w:r>
          </w:p>
        </w:tc>
        <w:tc>
          <w:tcPr>
            <w:tcW w:w="1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555,093</w:t>
            </w:r>
          </w:p>
        </w:tc>
        <w:tc>
          <w:tcPr>
            <w:tcW w:w="5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900" w:type="dxa"/>
            <w:vAlign w:val="bottom"/>
          </w:tcPr>
          <w:p>
            <w:pPr>
              <w:ind w:left="220"/>
              <w:spacing w:after="0"/>
              <w:rPr>
                <w:sz w:val="20"/>
                <w:szCs w:val="20"/>
                <w:color w:val="auto"/>
              </w:rPr>
            </w:pPr>
            <w:r>
              <w:rPr>
                <w:rFonts w:ascii="Arial" w:cs="Arial" w:eastAsia="Arial" w:hAnsi="Arial"/>
                <w:sz w:val="18"/>
                <w:szCs w:val="18"/>
                <w:color w:val="auto"/>
              </w:rPr>
              <w:t>Outcomes</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18,036</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8,866</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29,967</w:t>
            </w: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20,758</w:t>
            </w:r>
          </w:p>
        </w:tc>
        <w:tc>
          <w:tcPr>
            <w:tcW w:w="5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900" w:type="dxa"/>
            <w:vAlign w:val="bottom"/>
          </w:tcPr>
          <w:p>
            <w:pPr>
              <w:ind w:left="420"/>
              <w:spacing w:after="0"/>
              <w:rPr>
                <w:sz w:val="20"/>
                <w:szCs w:val="20"/>
                <w:color w:val="auto"/>
              </w:rPr>
            </w:pPr>
            <w:r>
              <w:rPr>
                <w:rFonts w:ascii="Arial" w:cs="Arial" w:eastAsia="Arial" w:hAnsi="Arial"/>
                <w:sz w:val="18"/>
                <w:szCs w:val="18"/>
                <w:color w:val="auto"/>
              </w:rPr>
              <w:t>Total Company</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566,047</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515,914</w:t>
            </w:r>
          </w:p>
        </w:tc>
        <w:tc>
          <w:tcPr>
            <w:tcW w:w="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1,110,897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1,053,024</w:t>
            </w:r>
          </w:p>
        </w:tc>
        <w:tc>
          <w:tcPr>
            <w:tcW w:w="5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Service revenues</w:t>
            </w: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9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900" w:type="dxa"/>
            <w:vAlign w:val="bottom"/>
          </w:tcPr>
          <w:p>
            <w:pPr>
              <w:ind w:left="220"/>
              <w:spacing w:after="0"/>
              <w:rPr>
                <w:sz w:val="20"/>
                <w:szCs w:val="20"/>
                <w:color w:val="auto"/>
              </w:rPr>
            </w:pPr>
            <w:r>
              <w:rPr>
                <w:rFonts w:ascii="Arial" w:cs="Arial" w:eastAsia="Arial" w:hAnsi="Arial"/>
                <w:sz w:val="18"/>
                <w:szCs w:val="18"/>
                <w:color w:val="auto"/>
              </w:rPr>
              <w:t>Device Solutions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3,134</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4,396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6,320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8,340</w:t>
            </w:r>
          </w:p>
        </w:tc>
        <w:tc>
          <w:tcPr>
            <w:tcW w:w="5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00" w:type="dxa"/>
            <w:vAlign w:val="bottom"/>
          </w:tcPr>
          <w:p>
            <w:pPr>
              <w:ind w:left="220"/>
              <w:spacing w:after="0"/>
              <w:rPr>
                <w:sz w:val="20"/>
                <w:szCs w:val="20"/>
                <w:color w:val="auto"/>
              </w:rPr>
            </w:pPr>
            <w:r>
              <w:rPr>
                <w:rFonts w:ascii="Arial" w:cs="Arial" w:eastAsia="Arial" w:hAnsi="Arial"/>
                <w:sz w:val="18"/>
                <w:szCs w:val="18"/>
                <w:color w:val="auto"/>
              </w:rPr>
              <w:t>Networked Solutions</w:t>
            </w:r>
          </w:p>
        </w:tc>
        <w:tc>
          <w:tcPr>
            <w:tcW w:w="3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22,494</w:t>
            </w:r>
          </w:p>
        </w:tc>
        <w:tc>
          <w:tcPr>
            <w:tcW w:w="26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20,868</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44,571</w:t>
            </w:r>
          </w:p>
        </w:tc>
        <w:tc>
          <w:tcPr>
            <w:tcW w:w="1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43,411</w:t>
            </w:r>
          </w:p>
        </w:tc>
        <w:tc>
          <w:tcPr>
            <w:tcW w:w="5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900" w:type="dxa"/>
            <w:vAlign w:val="bottom"/>
          </w:tcPr>
          <w:p>
            <w:pPr>
              <w:ind w:left="220"/>
              <w:spacing w:after="0"/>
              <w:rPr>
                <w:sz w:val="20"/>
                <w:szCs w:val="20"/>
                <w:color w:val="auto"/>
              </w:rPr>
            </w:pPr>
            <w:r>
              <w:rPr>
                <w:rFonts w:ascii="Arial" w:cs="Arial" w:eastAsia="Arial" w:hAnsi="Arial"/>
                <w:sz w:val="18"/>
                <w:szCs w:val="18"/>
                <w:color w:val="auto"/>
              </w:rPr>
              <w:t>Outcomes</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43,362</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44,712</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87,825</w:t>
            </w: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88,336</w:t>
            </w:r>
          </w:p>
        </w:tc>
        <w:tc>
          <w:tcPr>
            <w:tcW w:w="5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900" w:type="dxa"/>
            <w:vAlign w:val="bottom"/>
          </w:tcPr>
          <w:p>
            <w:pPr>
              <w:ind w:left="420"/>
              <w:spacing w:after="0"/>
              <w:rPr>
                <w:sz w:val="20"/>
                <w:szCs w:val="20"/>
                <w:color w:val="auto"/>
              </w:rPr>
            </w:pPr>
            <w:r>
              <w:rPr>
                <w:rFonts w:ascii="Arial" w:cs="Arial" w:eastAsia="Arial" w:hAnsi="Arial"/>
                <w:sz w:val="18"/>
                <w:szCs w:val="18"/>
                <w:color w:val="auto"/>
              </w:rPr>
              <w:t>Total Company</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68,990</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69,976</w:t>
            </w:r>
          </w:p>
        </w:tc>
        <w:tc>
          <w:tcPr>
            <w:tcW w:w="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138,716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140,087</w:t>
            </w:r>
          </w:p>
        </w:tc>
        <w:tc>
          <w:tcPr>
            <w:tcW w:w="5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Total revenues</w:t>
            </w: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9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900" w:type="dxa"/>
            <w:vAlign w:val="bottom"/>
          </w:tcPr>
          <w:p>
            <w:pPr>
              <w:ind w:left="220"/>
              <w:spacing w:after="0"/>
              <w:rPr>
                <w:sz w:val="20"/>
                <w:szCs w:val="20"/>
                <w:color w:val="auto"/>
              </w:rPr>
            </w:pPr>
            <w:r>
              <w:rPr>
                <w:rFonts w:ascii="Arial" w:cs="Arial" w:eastAsia="Arial" w:hAnsi="Arial"/>
                <w:sz w:val="18"/>
                <w:szCs w:val="18"/>
                <w:color w:val="auto"/>
              </w:rPr>
              <w:t>Device Solutions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217,723</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236,146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439,478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485,513</w:t>
            </w:r>
          </w:p>
        </w:tc>
        <w:tc>
          <w:tcPr>
            <w:tcW w:w="5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00" w:type="dxa"/>
            <w:vAlign w:val="bottom"/>
          </w:tcPr>
          <w:p>
            <w:pPr>
              <w:ind w:left="220"/>
              <w:spacing w:after="0"/>
              <w:rPr>
                <w:sz w:val="20"/>
                <w:szCs w:val="20"/>
                <w:color w:val="auto"/>
              </w:rPr>
            </w:pPr>
            <w:r>
              <w:rPr>
                <w:rFonts w:ascii="Arial" w:cs="Arial" w:eastAsia="Arial" w:hAnsi="Arial"/>
                <w:sz w:val="18"/>
                <w:szCs w:val="18"/>
                <w:color w:val="auto"/>
              </w:rPr>
              <w:t>Networked Solutions</w:t>
            </w:r>
          </w:p>
        </w:tc>
        <w:tc>
          <w:tcPr>
            <w:tcW w:w="3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355,916</w:t>
            </w:r>
          </w:p>
        </w:tc>
        <w:tc>
          <w:tcPr>
            <w:tcW w:w="26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296,166</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692,343</w:t>
            </w:r>
          </w:p>
        </w:tc>
        <w:tc>
          <w:tcPr>
            <w:tcW w:w="1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598,504</w:t>
            </w:r>
          </w:p>
        </w:tc>
        <w:tc>
          <w:tcPr>
            <w:tcW w:w="5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900" w:type="dxa"/>
            <w:vAlign w:val="bottom"/>
          </w:tcPr>
          <w:p>
            <w:pPr>
              <w:ind w:left="220"/>
              <w:spacing w:after="0"/>
              <w:rPr>
                <w:sz w:val="20"/>
                <w:szCs w:val="20"/>
                <w:color w:val="auto"/>
              </w:rPr>
            </w:pPr>
            <w:r>
              <w:rPr>
                <w:rFonts w:ascii="Arial" w:cs="Arial" w:eastAsia="Arial" w:hAnsi="Arial"/>
                <w:sz w:val="18"/>
                <w:szCs w:val="18"/>
                <w:color w:val="auto"/>
              </w:rPr>
              <w:t>Outcomes</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61,398</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53,578</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117,792</w:t>
            </w: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109,094</w:t>
            </w:r>
          </w:p>
        </w:tc>
        <w:tc>
          <w:tcPr>
            <w:tcW w:w="5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900" w:type="dxa"/>
            <w:vAlign w:val="bottom"/>
          </w:tcPr>
          <w:p>
            <w:pPr>
              <w:ind w:left="420"/>
              <w:spacing w:after="0"/>
              <w:rPr>
                <w:sz w:val="20"/>
                <w:szCs w:val="20"/>
                <w:color w:val="auto"/>
              </w:rPr>
            </w:pPr>
            <w:r>
              <w:rPr>
                <w:rFonts w:ascii="Arial" w:cs="Arial" w:eastAsia="Arial" w:hAnsi="Arial"/>
                <w:sz w:val="18"/>
                <w:szCs w:val="18"/>
                <w:color w:val="auto"/>
              </w:rPr>
              <w:t>Total Company</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635,037</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585,890</w:t>
            </w:r>
          </w:p>
        </w:tc>
        <w:tc>
          <w:tcPr>
            <w:tcW w:w="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1,249,613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1,193,111</w:t>
            </w:r>
          </w:p>
        </w:tc>
        <w:tc>
          <w:tcPr>
            <w:tcW w:w="5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9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900" w:type="dxa"/>
            <w:vAlign w:val="bottom"/>
          </w:tcPr>
          <w:p>
            <w:pPr>
              <w:ind w:left="220"/>
              <w:spacing w:after="0"/>
              <w:rPr>
                <w:sz w:val="20"/>
                <w:szCs w:val="20"/>
                <w:color w:val="auto"/>
              </w:rPr>
            </w:pPr>
            <w:r>
              <w:rPr>
                <w:rFonts w:ascii="Arial" w:cs="Arial" w:eastAsia="Arial" w:hAnsi="Arial"/>
                <w:sz w:val="18"/>
                <w:szCs w:val="18"/>
                <w:color w:val="auto"/>
              </w:rPr>
              <w:t>Device Solutions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41,590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48,743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81,506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102,347</w:t>
            </w:r>
          </w:p>
        </w:tc>
        <w:tc>
          <w:tcPr>
            <w:tcW w:w="5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00" w:type="dxa"/>
            <w:vAlign w:val="bottom"/>
          </w:tcPr>
          <w:p>
            <w:pPr>
              <w:ind w:left="220"/>
              <w:spacing w:after="0"/>
              <w:rPr>
                <w:sz w:val="20"/>
                <w:szCs w:val="20"/>
                <w:color w:val="auto"/>
              </w:rPr>
            </w:pPr>
            <w:r>
              <w:rPr>
                <w:rFonts w:ascii="Arial" w:cs="Arial" w:eastAsia="Arial" w:hAnsi="Arial"/>
                <w:sz w:val="18"/>
                <w:szCs w:val="18"/>
                <w:color w:val="auto"/>
              </w:rPr>
              <w:t>Networked Solutions</w:t>
            </w:r>
          </w:p>
        </w:tc>
        <w:tc>
          <w:tcPr>
            <w:tcW w:w="3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126,243</w:t>
            </w:r>
          </w:p>
        </w:tc>
        <w:tc>
          <w:tcPr>
            <w:tcW w:w="26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112,290</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253,311</w:t>
            </w:r>
          </w:p>
        </w:tc>
        <w:tc>
          <w:tcPr>
            <w:tcW w:w="1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226,531</w:t>
            </w:r>
          </w:p>
        </w:tc>
        <w:tc>
          <w:tcPr>
            <w:tcW w:w="5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900" w:type="dxa"/>
            <w:vAlign w:val="bottom"/>
          </w:tcPr>
          <w:p>
            <w:pPr>
              <w:ind w:left="220"/>
              <w:spacing w:after="0"/>
              <w:rPr>
                <w:sz w:val="20"/>
                <w:szCs w:val="20"/>
                <w:color w:val="auto"/>
              </w:rPr>
            </w:pPr>
            <w:r>
              <w:rPr>
                <w:rFonts w:ascii="Arial" w:cs="Arial" w:eastAsia="Arial" w:hAnsi="Arial"/>
                <w:sz w:val="18"/>
                <w:szCs w:val="18"/>
                <w:color w:val="auto"/>
              </w:rPr>
              <w:t>Outcomes</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23,381</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15,544</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43,660</w:t>
            </w: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27,554</w:t>
            </w:r>
          </w:p>
        </w:tc>
        <w:tc>
          <w:tcPr>
            <w:tcW w:w="5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900" w:type="dxa"/>
            <w:vAlign w:val="bottom"/>
          </w:tcPr>
          <w:p>
            <w:pPr>
              <w:ind w:left="420"/>
              <w:spacing w:after="0"/>
              <w:rPr>
                <w:sz w:val="20"/>
                <w:szCs w:val="20"/>
                <w:color w:val="auto"/>
              </w:rPr>
            </w:pPr>
            <w:r>
              <w:rPr>
                <w:rFonts w:ascii="Arial" w:cs="Arial" w:eastAsia="Arial" w:hAnsi="Arial"/>
                <w:sz w:val="18"/>
                <w:szCs w:val="18"/>
                <w:color w:val="auto"/>
              </w:rPr>
              <w:t>Total Company</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191,214</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176,577</w:t>
            </w:r>
          </w:p>
        </w:tc>
        <w:tc>
          <w:tcPr>
            <w:tcW w:w="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378,477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356,432</w:t>
            </w:r>
          </w:p>
        </w:tc>
        <w:tc>
          <w:tcPr>
            <w:tcW w:w="5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w w:val="91"/>
              </w:rPr>
              <w:t>Operating income (loss)</w:t>
            </w: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9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900" w:type="dxa"/>
            <w:vAlign w:val="bottom"/>
          </w:tcPr>
          <w:p>
            <w:pPr>
              <w:ind w:left="220"/>
              <w:spacing w:after="0"/>
              <w:rPr>
                <w:sz w:val="20"/>
                <w:szCs w:val="20"/>
                <w:color w:val="auto"/>
              </w:rPr>
            </w:pPr>
            <w:r>
              <w:rPr>
                <w:rFonts w:ascii="Arial" w:cs="Arial" w:eastAsia="Arial" w:hAnsi="Arial"/>
                <w:sz w:val="18"/>
                <w:szCs w:val="18"/>
                <w:color w:val="auto"/>
              </w:rPr>
              <w:t>Device Solutions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28,355</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34,510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53,812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72,702</w:t>
            </w:r>
          </w:p>
        </w:tc>
        <w:tc>
          <w:tcPr>
            <w:tcW w:w="5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00" w:type="dxa"/>
            <w:vAlign w:val="bottom"/>
          </w:tcPr>
          <w:p>
            <w:pPr>
              <w:ind w:left="220"/>
              <w:spacing w:after="0"/>
              <w:rPr>
                <w:sz w:val="20"/>
                <w:szCs w:val="20"/>
                <w:color w:val="auto"/>
              </w:rPr>
            </w:pPr>
            <w:r>
              <w:rPr>
                <w:rFonts w:ascii="Arial" w:cs="Arial" w:eastAsia="Arial" w:hAnsi="Arial"/>
                <w:sz w:val="18"/>
                <w:szCs w:val="18"/>
                <w:color w:val="auto"/>
              </w:rPr>
              <w:t>Networked Solutions</w:t>
            </w:r>
          </w:p>
        </w:tc>
        <w:tc>
          <w:tcPr>
            <w:tcW w:w="3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98,035</w:t>
            </w:r>
          </w:p>
        </w:tc>
        <w:tc>
          <w:tcPr>
            <w:tcW w:w="26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81,941</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193,357</w:t>
            </w:r>
          </w:p>
        </w:tc>
        <w:tc>
          <w:tcPr>
            <w:tcW w:w="1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161,884</w:t>
            </w:r>
          </w:p>
        </w:tc>
        <w:tc>
          <w:tcPr>
            <w:tcW w:w="5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00" w:type="dxa"/>
            <w:vAlign w:val="bottom"/>
          </w:tcPr>
          <w:p>
            <w:pPr>
              <w:ind w:left="220"/>
              <w:spacing w:after="0"/>
              <w:rPr>
                <w:sz w:val="20"/>
                <w:szCs w:val="20"/>
                <w:color w:val="auto"/>
              </w:rPr>
            </w:pPr>
            <w:r>
              <w:rPr>
                <w:rFonts w:ascii="Arial" w:cs="Arial" w:eastAsia="Arial" w:hAnsi="Arial"/>
                <w:sz w:val="18"/>
                <w:szCs w:val="18"/>
                <w:color w:val="auto"/>
              </w:rPr>
              <w:t>Outcomes</w:t>
            </w:r>
          </w:p>
        </w:tc>
        <w:tc>
          <w:tcPr>
            <w:tcW w:w="3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14,367</w:t>
            </w:r>
          </w:p>
        </w:tc>
        <w:tc>
          <w:tcPr>
            <w:tcW w:w="26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4,249</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24,777</w:t>
            </w:r>
          </w:p>
        </w:tc>
        <w:tc>
          <w:tcPr>
            <w:tcW w:w="1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3,594</w:t>
            </w:r>
          </w:p>
        </w:tc>
        <w:tc>
          <w:tcPr>
            <w:tcW w:w="5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900" w:type="dxa"/>
            <w:vAlign w:val="bottom"/>
          </w:tcPr>
          <w:p>
            <w:pPr>
              <w:ind w:left="220"/>
              <w:spacing w:after="0"/>
              <w:rPr>
                <w:sz w:val="20"/>
                <w:szCs w:val="20"/>
                <w:color w:val="auto"/>
              </w:rPr>
            </w:pPr>
            <w:r>
              <w:rPr>
                <w:rFonts w:ascii="Arial" w:cs="Arial" w:eastAsia="Arial" w:hAnsi="Arial"/>
                <w:sz w:val="18"/>
                <w:szCs w:val="18"/>
                <w:color w:val="auto"/>
                <w:w w:val="93"/>
              </w:rPr>
              <w:t>Corporate unallocated</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(97,199)</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(100,137)</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(207,565)</w:t>
            </w: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(358,065)</w:t>
            </w:r>
          </w:p>
        </w:tc>
        <w:tc>
          <w:tcPr>
            <w:tcW w:w="5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900" w:type="dxa"/>
            <w:vAlign w:val="bottom"/>
          </w:tcPr>
          <w:p>
            <w:pPr>
              <w:ind w:left="420"/>
              <w:spacing w:after="0"/>
              <w:rPr>
                <w:sz w:val="20"/>
                <w:szCs w:val="20"/>
                <w:color w:val="auto"/>
              </w:rPr>
            </w:pPr>
            <w:r>
              <w:rPr>
                <w:rFonts w:ascii="Arial" w:cs="Arial" w:eastAsia="Arial" w:hAnsi="Arial"/>
                <w:sz w:val="18"/>
                <w:szCs w:val="18"/>
                <w:color w:val="auto"/>
              </w:rPr>
              <w:t>Total Company</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43,558</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20,563</w:t>
            </w:r>
          </w:p>
        </w:tc>
        <w:tc>
          <w:tcPr>
            <w:tcW w:w="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64,381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(119,885)</w:t>
            </w:r>
          </w:p>
        </w:tc>
        <w:tc>
          <w:tcPr>
            <w:tcW w:w="5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9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5" w:right="239" w:bottom="1440" w:gutter="0" w:footer="0" w:header="0"/>
          <w:type w:val="continuous"/>
        </w:sectPr>
      </w:pPr>
    </w:p>
    <w:bookmarkStart w:id="10" w:name="page11"/>
    <w:bookmarkEnd w:id="10"/>
    <w:p>
      <w:pPr>
        <w:jc w:val="right"/>
        <w:ind w:right="6480"/>
        <w:spacing w:after="0"/>
        <w:rPr>
          <w:sz w:val="20"/>
          <w:szCs w:val="20"/>
          <w:color w:val="auto"/>
        </w:rPr>
      </w:pPr>
      <w:r>
        <w:rPr>
          <w:rFonts w:ascii="Arial" w:cs="Arial" w:eastAsia="Arial" w:hAnsi="Arial"/>
          <w:sz w:val="18"/>
          <w:szCs w:val="18"/>
          <w:b w:val="1"/>
          <w:bCs w:val="1"/>
          <w:color w:val="auto"/>
        </w:rPr>
        <w:t>METER AND MODULE SUMMARY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(Unaudited, Units in thousands)</w:t>
      </w:r>
    </w:p>
    <w:p>
      <w:pPr>
        <w:sectPr>
          <w:pgSz w:w="11900" w:h="16838" w:orient="portrait"/>
          <w:cols w:equalWidth="0" w:num="1">
            <w:col w:w="11380"/>
          </w:cols>
          <w:pgMar w:left="240" w:top="135" w:right="279" w:bottom="1440" w:gutter="0" w:footer="0" w:header="0"/>
        </w:sectPr>
      </w:pPr>
    </w:p>
    <w:p>
      <w:pPr>
        <w:spacing w:after="0" w:line="32" w:lineRule="exact"/>
        <w:rPr>
          <w:sz w:val="20"/>
          <w:szCs w:val="20"/>
          <w:color w:val="auto"/>
        </w:rPr>
      </w:pPr>
    </w:p>
    <w:p>
      <w:pPr>
        <w:jc w:val="center"/>
        <w:ind w:left="2340"/>
        <w:spacing w:after="0"/>
        <w:rPr>
          <w:sz w:val="20"/>
          <w:szCs w:val="20"/>
          <w:color w:val="auto"/>
        </w:rPr>
      </w:pPr>
      <w:r>
        <w:rPr>
          <w:rFonts w:ascii="Arial" w:cs="Arial" w:eastAsia="Arial" w:hAnsi="Arial"/>
          <w:sz w:val="16"/>
          <w:szCs w:val="16"/>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40640</wp:posOffset>
            </wp:positionV>
            <wp:extent cx="14833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53" w:lineRule="exact"/>
        <w:rPr>
          <w:sz w:val="20"/>
          <w:szCs w:val="20"/>
          <w:color w:val="auto"/>
        </w:rPr>
      </w:pPr>
    </w:p>
    <w:p>
      <w:pPr>
        <w:ind w:left="2740"/>
        <w:spacing w:after="0"/>
        <w:tabs>
          <w:tab w:leader="none" w:pos="388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jc w:val="center"/>
        <w:ind w:right="454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40640</wp:posOffset>
            </wp:positionV>
            <wp:extent cx="13462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53" w:lineRule="exact"/>
        <w:rPr>
          <w:sz w:val="20"/>
          <w:szCs w:val="20"/>
          <w:color w:val="auto"/>
        </w:rPr>
      </w:pPr>
    </w:p>
    <w:p>
      <w:pPr>
        <w:ind w:left="340"/>
        <w:spacing w:after="0"/>
        <w:tabs>
          <w:tab w:leader="none" w:pos="138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7" w:lineRule="exact"/>
        <w:rPr>
          <w:sz w:val="20"/>
          <w:szCs w:val="20"/>
          <w:color w:val="auto"/>
        </w:rPr>
      </w:pPr>
    </w:p>
    <w:p>
      <w:pPr>
        <w:sectPr>
          <w:pgSz w:w="11900" w:h="16838" w:orient="portrait"/>
          <w:cols w:equalWidth="0" w:num="2">
            <w:col w:w="4660" w:space="80"/>
            <w:col w:w="6640"/>
          </w:cols>
          <w:pgMar w:left="240" w:top="135" w:right="279" w:bottom="1440" w:gutter="0" w:footer="0" w:header="0"/>
          <w:type w:val="continuous"/>
        </w:sectPr>
      </w:pPr>
    </w:p>
    <w:tbl>
      <w:tblPr>
        <w:tblLayout w:type="fixed"/>
        <w:tblInd w:w="0" w:type="dxa"/>
        <w:tblCellMar>
          <w:top w:w="0" w:type="dxa"/>
          <w:left w:w="0" w:type="dxa"/>
          <w:bottom w:w="0" w:type="dxa"/>
          <w:right w:w="0" w:type="dxa"/>
        </w:tblCellMar>
      </w:tblPr>
      <w:tr>
        <w:trPr>
          <w:trHeight w:val="239"/>
        </w:trPr>
        <w:tc>
          <w:tcPr>
            <w:tcW w:w="2340" w:type="dxa"/>
            <w:vAlign w:val="bottom"/>
          </w:tcPr>
          <w:p>
            <w:pPr>
              <w:spacing w:after="0"/>
              <w:rPr>
                <w:sz w:val="20"/>
                <w:szCs w:val="20"/>
                <w:color w:val="auto"/>
              </w:rPr>
            </w:pPr>
            <w:r>
              <w:rPr>
                <w:rFonts w:ascii="Arial" w:cs="Arial" w:eastAsia="Arial" w:hAnsi="Arial"/>
                <w:sz w:val="18"/>
                <w:szCs w:val="18"/>
                <w:b w:val="1"/>
                <w:bCs w:val="1"/>
                <w:color w:val="auto"/>
              </w:rPr>
              <w:t>Itron Endpoints</w:t>
            </w:r>
          </w:p>
        </w:tc>
        <w:tc>
          <w:tcPr>
            <w:tcW w:w="15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53"/>
        </w:trPr>
        <w:tc>
          <w:tcPr>
            <w:tcW w:w="2340" w:type="dxa"/>
            <w:vAlign w:val="bottom"/>
          </w:tcPr>
          <w:p>
            <w:pPr>
              <w:ind w:left="220"/>
              <w:spacing w:after="0" w:line="253" w:lineRule="exact"/>
              <w:rPr>
                <w:sz w:val="20"/>
                <w:szCs w:val="20"/>
                <w:color w:val="auto"/>
              </w:rPr>
            </w:pPr>
            <w:r>
              <w:rPr>
                <w:rFonts w:ascii="Arial" w:cs="Arial" w:eastAsia="Arial" w:hAnsi="Arial"/>
                <w:sz w:val="18"/>
                <w:szCs w:val="18"/>
                <w:color w:val="auto"/>
              </w:rPr>
              <w:t xml:space="preserve">Standard endpoints </w:t>
            </w:r>
            <w:r>
              <w:rPr>
                <w:rFonts w:ascii="Arial" w:cs="Arial" w:eastAsia="Arial" w:hAnsi="Arial"/>
                <w:sz w:val="29"/>
                <w:szCs w:val="29"/>
                <w:color w:val="auto"/>
                <w:vertAlign w:val="superscript"/>
              </w:rPr>
              <w:t>(1)</w:t>
            </w:r>
          </w:p>
        </w:tc>
        <w:tc>
          <w:tcPr>
            <w:tcW w:w="1540" w:type="dxa"/>
            <w:vAlign w:val="bottom"/>
          </w:tcPr>
          <w:p>
            <w:pPr>
              <w:jc w:val="right"/>
              <w:ind w:right="290"/>
              <w:spacing w:after="0"/>
              <w:rPr>
                <w:sz w:val="20"/>
                <w:szCs w:val="20"/>
                <w:color w:val="auto"/>
              </w:rPr>
            </w:pPr>
            <w:r>
              <w:rPr>
                <w:rFonts w:ascii="Arial" w:cs="Arial" w:eastAsia="Arial" w:hAnsi="Arial"/>
                <w:sz w:val="18"/>
                <w:szCs w:val="18"/>
                <w:color w:val="auto"/>
              </w:rPr>
              <w:t>5,570</w:t>
            </w:r>
          </w:p>
        </w:tc>
        <w:tc>
          <w:tcPr>
            <w:tcW w:w="780" w:type="dxa"/>
            <w:vAlign w:val="bottom"/>
          </w:tcPr>
          <w:p>
            <w:pPr>
              <w:jc w:val="right"/>
              <w:spacing w:after="0"/>
              <w:rPr>
                <w:sz w:val="20"/>
                <w:szCs w:val="20"/>
                <w:color w:val="auto"/>
              </w:rPr>
            </w:pPr>
            <w:r>
              <w:rPr>
                <w:rFonts w:ascii="Arial" w:cs="Arial" w:eastAsia="Arial" w:hAnsi="Arial"/>
                <w:sz w:val="18"/>
                <w:szCs w:val="18"/>
                <w:color w:val="auto"/>
              </w:rPr>
              <w:t>5,860</w:t>
            </w:r>
          </w:p>
        </w:tc>
        <w:tc>
          <w:tcPr>
            <w:tcW w:w="80" w:type="dxa"/>
            <w:vAlign w:val="bottom"/>
          </w:tcPr>
          <w:p>
            <w:pPr>
              <w:spacing w:after="0"/>
              <w:rPr>
                <w:sz w:val="21"/>
                <w:szCs w:val="21"/>
                <w:color w:val="auto"/>
              </w:rPr>
            </w:pP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11,040</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11,640</w:t>
            </w:r>
          </w:p>
        </w:tc>
      </w:tr>
      <w:tr>
        <w:trPr>
          <w:trHeight w:val="244"/>
        </w:trPr>
        <w:tc>
          <w:tcPr>
            <w:tcW w:w="2340" w:type="dxa"/>
            <w:vAlign w:val="bottom"/>
          </w:tcPr>
          <w:p>
            <w:pPr>
              <w:ind w:left="220"/>
              <w:spacing w:after="0" w:line="243" w:lineRule="exact"/>
              <w:rPr>
                <w:sz w:val="20"/>
                <w:szCs w:val="20"/>
                <w:color w:val="auto"/>
              </w:rPr>
            </w:pPr>
            <w:r>
              <w:rPr>
                <w:rFonts w:ascii="Arial" w:cs="Arial" w:eastAsia="Arial" w:hAnsi="Arial"/>
                <w:sz w:val="17"/>
                <w:szCs w:val="17"/>
                <w:color w:val="auto"/>
              </w:rPr>
              <w:t xml:space="preserve">Networked endpoints </w:t>
            </w:r>
            <w:r>
              <w:rPr>
                <w:rFonts w:ascii="Arial" w:cs="Arial" w:eastAsia="Arial" w:hAnsi="Arial"/>
                <w:sz w:val="28"/>
                <w:szCs w:val="28"/>
                <w:color w:val="auto"/>
                <w:vertAlign w:val="superscript"/>
              </w:rPr>
              <w:t>(1)</w:t>
            </w:r>
          </w:p>
        </w:tc>
        <w:tc>
          <w:tcPr>
            <w:tcW w:w="1540" w:type="dxa"/>
            <w:vAlign w:val="bottom"/>
          </w:tcPr>
          <w:p>
            <w:pPr>
              <w:jc w:val="right"/>
              <w:ind w:right="290"/>
              <w:spacing w:after="0"/>
              <w:rPr>
                <w:sz w:val="20"/>
                <w:szCs w:val="20"/>
                <w:color w:val="auto"/>
              </w:rPr>
            </w:pPr>
            <w:r>
              <w:rPr>
                <w:rFonts w:ascii="Arial" w:cs="Arial" w:eastAsia="Arial" w:hAnsi="Arial"/>
                <w:sz w:val="18"/>
                <w:szCs w:val="18"/>
                <w:color w:val="auto"/>
              </w:rPr>
              <w:t>4,260</w:t>
            </w:r>
          </w:p>
        </w:tc>
        <w:tc>
          <w:tcPr>
            <w:tcW w:w="780" w:type="dxa"/>
            <w:vAlign w:val="bottom"/>
          </w:tcPr>
          <w:p>
            <w:pPr>
              <w:jc w:val="right"/>
              <w:spacing w:after="0"/>
              <w:rPr>
                <w:sz w:val="20"/>
                <w:szCs w:val="20"/>
                <w:color w:val="auto"/>
              </w:rPr>
            </w:pPr>
            <w:r>
              <w:rPr>
                <w:rFonts w:ascii="Arial" w:cs="Arial" w:eastAsia="Arial" w:hAnsi="Arial"/>
                <w:sz w:val="18"/>
                <w:szCs w:val="18"/>
                <w:color w:val="auto"/>
              </w:rPr>
              <w:t>3,570</w:t>
            </w:r>
          </w:p>
        </w:tc>
        <w:tc>
          <w:tcPr>
            <w:tcW w:w="80" w:type="dxa"/>
            <w:vAlign w:val="bottom"/>
          </w:tcPr>
          <w:p>
            <w:pPr>
              <w:spacing w:after="0"/>
              <w:rPr>
                <w:sz w:val="21"/>
                <w:szCs w:val="21"/>
                <w:color w:val="auto"/>
              </w:rPr>
            </w:pP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8,240</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7,470</w:t>
            </w:r>
          </w:p>
        </w:tc>
      </w:tr>
      <w:tr>
        <w:trPr>
          <w:trHeight w:val="237"/>
        </w:trPr>
        <w:tc>
          <w:tcPr>
            <w:tcW w:w="2340" w:type="dxa"/>
            <w:vAlign w:val="bottom"/>
          </w:tcPr>
          <w:p>
            <w:pPr>
              <w:ind w:left="420"/>
              <w:spacing w:after="0"/>
              <w:rPr>
                <w:sz w:val="20"/>
                <w:szCs w:val="20"/>
                <w:color w:val="auto"/>
              </w:rPr>
            </w:pPr>
            <w:r>
              <w:rPr>
                <w:rFonts w:ascii="Arial" w:cs="Arial" w:eastAsia="Arial" w:hAnsi="Arial"/>
                <w:sz w:val="18"/>
                <w:szCs w:val="18"/>
                <w:color w:val="auto"/>
              </w:rPr>
              <w:t>Total endpoints</w:t>
            </w:r>
          </w:p>
        </w:tc>
        <w:tc>
          <w:tcPr>
            <w:tcW w:w="15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9,830</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9,430</w:t>
            </w:r>
          </w:p>
        </w:tc>
        <w:tc>
          <w:tcPr>
            <w:tcW w:w="80" w:type="dxa"/>
            <w:vAlign w:val="bottom"/>
          </w:tcPr>
          <w:p>
            <w:pPr>
              <w:spacing w:after="0"/>
              <w:rPr>
                <w:sz w:val="20"/>
                <w:szCs w:val="20"/>
                <w:color w:val="auto"/>
              </w:rPr>
            </w:pPr>
          </w:p>
        </w:tc>
        <w:tc>
          <w:tcPr>
            <w:tcW w:w="13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19,280</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19,110</w:t>
            </w:r>
          </w:p>
        </w:tc>
        <w:tc>
          <w:tcPr>
            <w:tcW w:w="20" w:type="dxa"/>
            <w:vAlign w:val="bottom"/>
          </w:tcPr>
          <w:p>
            <w:pPr>
              <w:spacing w:after="0"/>
              <w:rPr>
                <w:sz w:val="20"/>
                <w:szCs w:val="20"/>
                <w:color w:val="auto"/>
              </w:rPr>
            </w:pPr>
          </w:p>
        </w:tc>
      </w:tr>
      <w:tr>
        <w:trPr>
          <w:trHeight w:val="20"/>
        </w:trPr>
        <w:tc>
          <w:tcPr>
            <w:tcW w:w="23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24" w:lineRule="exact"/>
        <w:rPr>
          <w:sz w:val="20"/>
          <w:szCs w:val="20"/>
          <w:color w:val="auto"/>
        </w:rPr>
      </w:pPr>
    </w:p>
    <w:p>
      <w:pPr>
        <w:ind w:left="180" w:hanging="174"/>
        <w:spacing w:after="0" w:line="234" w:lineRule="auto"/>
        <w:rPr>
          <w:sz w:val="20"/>
          <w:szCs w:val="20"/>
          <w:color w:val="auto"/>
        </w:rPr>
      </w:pPr>
      <w:r>
        <w:rPr>
          <w:rFonts w:ascii="Arial" w:cs="Arial" w:eastAsia="Arial" w:hAnsi="Arial"/>
          <w:sz w:val="28"/>
          <w:szCs w:val="28"/>
          <w:color w:val="auto"/>
          <w:vertAlign w:val="superscript"/>
        </w:rPr>
        <w:t>(1)</w:t>
      </w:r>
      <w:r>
        <w:rPr>
          <w:rFonts w:ascii="Arial" w:cs="Arial" w:eastAsia="Arial" w:hAnsi="Arial"/>
          <w:sz w:val="17"/>
          <w:szCs w:val="17"/>
          <w:color w:val="auto"/>
        </w:rPr>
        <w:t>As of the second quarter of 2019, we have refined the definition of a standard endpoint to more closely align to the segment performance of Device Solution and Networked Solutions as reported in the Operating Segment Results section below. The quantities presented for the three and six months ended June 30, 2018 and for the three months ended March 31, 2019, as included in the six-month period for 2019, have been recast to align with the refined definitions of standard and networked endpoints. The total endpoints shipped for each period is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35" w:right="279" w:bottom="1440" w:gutter="0" w:footer="0" w:header="0"/>
          <w:type w:val="continuous"/>
        </w:sectPr>
      </w:pPr>
    </w:p>
    <w:bookmarkStart w:id="11" w:name="page12"/>
    <w:bookmarkEnd w:id="11"/>
    <w:p>
      <w:pPr>
        <w:jc w:val="center"/>
        <w:ind w:right="5440"/>
        <w:spacing w:after="0"/>
        <w:rPr>
          <w:sz w:val="20"/>
          <w:szCs w:val="20"/>
          <w:color w:val="auto"/>
        </w:rPr>
      </w:pPr>
      <w:r>
        <w:rPr>
          <w:rFonts w:ascii="Arial" w:cs="Arial" w:eastAsia="Arial" w:hAnsi="Arial"/>
          <w:sz w:val="18"/>
          <w:szCs w:val="18"/>
          <w:b w:val="1"/>
          <w:bCs w:val="1"/>
          <w:color w:val="auto"/>
        </w:rPr>
        <w:t>ITRON, INC.</w:t>
      </w:r>
    </w:p>
    <w:p>
      <w:pPr>
        <w:spacing w:after="0" w:line="36" w:lineRule="exact"/>
        <w:rPr>
          <w:sz w:val="20"/>
          <w:szCs w:val="20"/>
          <w:color w:val="auto"/>
        </w:rPr>
      </w:pPr>
    </w:p>
    <w:p>
      <w:pPr>
        <w:jc w:val="center"/>
        <w:ind w:right="5440"/>
        <w:spacing w:after="0"/>
        <w:rPr>
          <w:sz w:val="20"/>
          <w:szCs w:val="20"/>
          <w:color w:val="auto"/>
        </w:rPr>
      </w:pPr>
      <w:r>
        <w:rPr>
          <w:rFonts w:ascii="Arial" w:cs="Arial" w:eastAsia="Arial" w:hAnsi="Arial"/>
          <w:sz w:val="18"/>
          <w:szCs w:val="18"/>
          <w:b w:val="1"/>
          <w:bCs w:val="1"/>
          <w:color w:val="auto"/>
        </w:rPr>
        <w:t>CONSOLIDATED BALANCE SHEETS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(Unaudited, in thousands)</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380" w:type="dxa"/>
            <w:vAlign w:val="bottom"/>
          </w:tcPr>
          <w:p>
            <w:pPr>
              <w:spacing w:after="0"/>
              <w:rPr>
                <w:sz w:val="21"/>
                <w:szCs w:val="21"/>
                <w:color w:val="auto"/>
              </w:rPr>
            </w:pPr>
          </w:p>
        </w:tc>
        <w:tc>
          <w:tcPr>
            <w:tcW w:w="2600" w:type="dxa"/>
            <w:vAlign w:val="bottom"/>
            <w:gridSpan w:val="5"/>
          </w:tcPr>
          <w:p>
            <w:pPr>
              <w:spacing w:after="0"/>
              <w:rPr>
                <w:sz w:val="20"/>
                <w:szCs w:val="20"/>
                <w:color w:val="auto"/>
              </w:rPr>
            </w:pPr>
            <w:r>
              <w:rPr>
                <w:rFonts w:ascii="Arial" w:cs="Arial" w:eastAsia="Arial" w:hAnsi="Arial"/>
                <w:sz w:val="18"/>
                <w:szCs w:val="18"/>
                <w:b w:val="1"/>
                <w:bCs w:val="1"/>
                <w:color w:val="auto"/>
                <w:w w:val="90"/>
              </w:rPr>
              <w:t>June 30, 2019 December 31, 2018</w:t>
            </w:r>
          </w:p>
        </w:tc>
        <w:tc>
          <w:tcPr>
            <w:tcW w:w="5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13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5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135,736</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120,221</w:t>
            </w:r>
          </w:p>
        </w:tc>
        <w:tc>
          <w:tcPr>
            <w:tcW w:w="5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466,366</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437,161</w:t>
            </w:r>
          </w:p>
        </w:tc>
        <w:tc>
          <w:tcPr>
            <w:tcW w:w="5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229,910</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220,674</w:t>
            </w:r>
          </w:p>
        </w:tc>
        <w:tc>
          <w:tcPr>
            <w:tcW w:w="5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38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130,584</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118,085</w:t>
            </w:r>
          </w:p>
        </w:tc>
        <w:tc>
          <w:tcPr>
            <w:tcW w:w="5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38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962,596</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896,141</w:t>
            </w:r>
          </w:p>
        </w:tc>
        <w:tc>
          <w:tcPr>
            <w:tcW w:w="5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33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228,513</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226,551</w:t>
            </w:r>
          </w:p>
        </w:tc>
        <w:tc>
          <w:tcPr>
            <w:tcW w:w="5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1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60,977</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64,830</w:t>
            </w:r>
          </w:p>
        </w:tc>
        <w:tc>
          <w:tcPr>
            <w:tcW w:w="5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2,066</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2,056</w:t>
            </w:r>
          </w:p>
        </w:tc>
        <w:tc>
          <w:tcPr>
            <w:tcW w:w="5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Other long-term assets</w:t>
            </w:r>
          </w:p>
        </w:tc>
        <w:tc>
          <w:tcPr>
            <w:tcW w:w="1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40,918</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45,288</w:t>
            </w:r>
          </w:p>
        </w:tc>
        <w:tc>
          <w:tcPr>
            <w:tcW w:w="5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Operating lease right-of-use assets, net</w:t>
            </w:r>
          </w:p>
        </w:tc>
        <w:tc>
          <w:tcPr>
            <w:tcW w:w="1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79,456</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221,767</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257,583</w:t>
            </w:r>
          </w:p>
        </w:tc>
        <w:tc>
          <w:tcPr>
            <w:tcW w:w="5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38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1,110,061</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1,116,533</w:t>
            </w:r>
          </w:p>
        </w:tc>
        <w:tc>
          <w:tcPr>
            <w:tcW w:w="5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38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2,706,354</w:t>
            </w:r>
          </w:p>
        </w:tc>
        <w:tc>
          <w:tcPr>
            <w:tcW w:w="60" w:type="dxa"/>
            <w:vAlign w:val="bottom"/>
          </w:tcPr>
          <w:p>
            <w:pPr>
              <w:spacing w:after="0"/>
              <w:rPr>
                <w:sz w:val="20"/>
                <w:szCs w:val="20"/>
                <w:color w:val="auto"/>
              </w:rPr>
            </w:pP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2,608,982</w:t>
            </w:r>
          </w:p>
        </w:tc>
        <w:tc>
          <w:tcPr>
            <w:tcW w:w="5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80" w:type="dxa"/>
            <w:vAlign w:val="bottom"/>
            <w:vMerge w:val="restart"/>
          </w:tcPr>
          <w:p>
            <w:pPr>
              <w:ind w:left="540"/>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3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320,582</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309,951</w:t>
            </w:r>
          </w:p>
        </w:tc>
        <w:tc>
          <w:tcPr>
            <w:tcW w:w="5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22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69,139</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70,136</w:t>
            </w:r>
          </w:p>
        </w:tc>
        <w:tc>
          <w:tcPr>
            <w:tcW w:w="5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220"/>
              <w:spacing w:after="0"/>
              <w:rPr>
                <w:sz w:val="20"/>
                <w:szCs w:val="20"/>
                <w:color w:val="auto"/>
              </w:rPr>
            </w:pPr>
            <w:r>
              <w:rPr>
                <w:rFonts w:ascii="Arial" w:cs="Arial" w:eastAsia="Arial" w:hAnsi="Arial"/>
                <w:sz w:val="18"/>
                <w:szCs w:val="18"/>
                <w:color w:val="auto"/>
              </w:rPr>
              <w:t>Wages and benefits payable</w:t>
            </w:r>
          </w:p>
        </w:tc>
        <w:tc>
          <w:tcPr>
            <w:tcW w:w="1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102,577</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88,603</w:t>
            </w:r>
          </w:p>
        </w:tc>
        <w:tc>
          <w:tcPr>
            <w:tcW w:w="5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220"/>
              <w:spacing w:after="0"/>
              <w:rPr>
                <w:sz w:val="20"/>
                <w:szCs w:val="20"/>
                <w:color w:val="auto"/>
              </w:rPr>
            </w:pPr>
            <w:r>
              <w:rPr>
                <w:rFonts w:ascii="Arial" w:cs="Arial" w:eastAsia="Arial" w:hAnsi="Arial"/>
                <w:sz w:val="18"/>
                <w:szCs w:val="18"/>
                <w:color w:val="auto"/>
              </w:rPr>
              <w:t>Taxes payable</w:t>
            </w:r>
          </w:p>
        </w:tc>
        <w:tc>
          <w:tcPr>
            <w:tcW w:w="1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17,115</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14,753</w:t>
            </w:r>
          </w:p>
        </w:tc>
        <w:tc>
          <w:tcPr>
            <w:tcW w:w="5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220"/>
              <w:spacing w:after="0"/>
              <w:rPr>
                <w:sz w:val="20"/>
                <w:szCs w:val="20"/>
                <w:color w:val="auto"/>
              </w:rPr>
            </w:pPr>
            <w:r>
              <w:rPr>
                <w:rFonts w:ascii="Arial" w:cs="Arial" w:eastAsia="Arial" w:hAnsi="Arial"/>
                <w:sz w:val="18"/>
                <w:szCs w:val="18"/>
                <w:color w:val="auto"/>
              </w:rPr>
              <w:t>Current portion of debt</w:t>
            </w:r>
          </w:p>
        </w:tc>
        <w:tc>
          <w:tcPr>
            <w:tcW w:w="1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26,563</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28,438</w:t>
            </w:r>
          </w:p>
        </w:tc>
        <w:tc>
          <w:tcPr>
            <w:tcW w:w="5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220"/>
              <w:spacing w:after="0"/>
              <w:rPr>
                <w:sz w:val="20"/>
                <w:szCs w:val="20"/>
                <w:color w:val="auto"/>
              </w:rPr>
            </w:pPr>
            <w:r>
              <w:rPr>
                <w:rFonts w:ascii="Arial" w:cs="Arial" w:eastAsia="Arial" w:hAnsi="Arial"/>
                <w:sz w:val="18"/>
                <w:szCs w:val="18"/>
                <w:color w:val="auto"/>
              </w:rPr>
              <w:t>Current portion of warranty</w:t>
            </w:r>
          </w:p>
        </w:tc>
        <w:tc>
          <w:tcPr>
            <w:tcW w:w="1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38,987</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47,205</w:t>
            </w:r>
          </w:p>
        </w:tc>
        <w:tc>
          <w:tcPr>
            <w:tcW w:w="5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380" w:type="dxa"/>
            <w:vAlign w:val="bottom"/>
          </w:tcPr>
          <w:p>
            <w:pPr>
              <w:ind w:left="220"/>
              <w:spacing w:after="0"/>
              <w:rPr>
                <w:sz w:val="20"/>
                <w:szCs w:val="20"/>
                <w:color w:val="auto"/>
              </w:rPr>
            </w:pPr>
            <w:r>
              <w:rPr>
                <w:rFonts w:ascii="Arial" w:cs="Arial" w:eastAsia="Arial" w:hAnsi="Arial"/>
                <w:sz w:val="18"/>
                <w:szCs w:val="18"/>
                <w:color w:val="auto"/>
              </w:rPr>
              <w:t>Unearned revenue</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95,197</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93,621</w:t>
            </w:r>
          </w:p>
        </w:tc>
        <w:tc>
          <w:tcPr>
            <w:tcW w:w="5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38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670,160</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652,707</w:t>
            </w:r>
          </w:p>
        </w:tc>
        <w:tc>
          <w:tcPr>
            <w:tcW w:w="5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3380" w:type="dxa"/>
            <w:vAlign w:val="bottom"/>
          </w:tcPr>
          <w:p>
            <w:pPr>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969,710</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988,185</w:t>
            </w:r>
          </w:p>
        </w:tc>
        <w:tc>
          <w:tcPr>
            <w:tcW w:w="5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Long-term warranty</w:t>
            </w:r>
          </w:p>
        </w:tc>
        <w:tc>
          <w:tcPr>
            <w:tcW w:w="1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18,125</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13,238</w:t>
            </w:r>
          </w:p>
        </w:tc>
        <w:tc>
          <w:tcPr>
            <w:tcW w:w="5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Pension benefit obligation</w:t>
            </w:r>
          </w:p>
        </w:tc>
        <w:tc>
          <w:tcPr>
            <w:tcW w:w="1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92,073</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91,522</w:t>
            </w:r>
          </w:p>
        </w:tc>
        <w:tc>
          <w:tcPr>
            <w:tcW w:w="5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Deferred tax liabilities, net</w:t>
            </w:r>
          </w:p>
        </w:tc>
        <w:tc>
          <w:tcPr>
            <w:tcW w:w="1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1,514</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1,543</w:t>
            </w:r>
          </w:p>
        </w:tc>
        <w:tc>
          <w:tcPr>
            <w:tcW w:w="5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68,387</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380" w:type="dxa"/>
            <w:vAlign w:val="bottom"/>
          </w:tcPr>
          <w:p>
            <w:pPr>
              <w:spacing w:after="0"/>
              <w:rPr>
                <w:sz w:val="20"/>
                <w:szCs w:val="20"/>
                <w:color w:val="auto"/>
              </w:rPr>
            </w:pPr>
            <w:r>
              <w:rPr>
                <w:rFonts w:ascii="Arial" w:cs="Arial" w:eastAsia="Arial" w:hAnsi="Arial"/>
                <w:sz w:val="18"/>
                <w:szCs w:val="18"/>
                <w:color w:val="auto"/>
              </w:rPr>
              <w:t>Other long-term obligations</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139,786</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127,739</w:t>
            </w:r>
          </w:p>
        </w:tc>
        <w:tc>
          <w:tcPr>
            <w:tcW w:w="5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38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94"/>
              </w:rPr>
              <w:t>1,959,755</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1,874,934</w:t>
            </w:r>
          </w:p>
        </w:tc>
        <w:tc>
          <w:tcPr>
            <w:tcW w:w="5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3380" w:type="dxa"/>
            <w:vAlign w:val="bottom"/>
          </w:tcPr>
          <w:p>
            <w:pPr>
              <w:spacing w:after="0"/>
              <w:rPr>
                <w:sz w:val="20"/>
                <w:szCs w:val="20"/>
                <w:color w:val="auto"/>
              </w:rPr>
            </w:pPr>
            <w:r>
              <w:rPr>
                <w:rFonts w:ascii="Arial" w:cs="Arial" w:eastAsia="Arial" w:hAnsi="Arial"/>
                <w:sz w:val="18"/>
                <w:szCs w:val="18"/>
                <w:color w:val="auto"/>
              </w:rPr>
              <w:t>Equity</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220"/>
              <w:spacing w:after="0"/>
              <w:rPr>
                <w:sz w:val="20"/>
                <w:szCs w:val="20"/>
                <w:color w:val="auto"/>
              </w:rPr>
            </w:pPr>
            <w:r>
              <w:rPr>
                <w:rFonts w:ascii="Arial" w:cs="Arial" w:eastAsia="Arial" w:hAnsi="Arial"/>
                <w:sz w:val="18"/>
                <w:szCs w:val="18"/>
                <w:color w:val="auto"/>
              </w:rPr>
              <w:t>Common stock</w:t>
            </w:r>
          </w:p>
        </w:tc>
        <w:tc>
          <w:tcPr>
            <w:tcW w:w="1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94"/>
              </w:rPr>
              <w:t>1,325,508</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1,334,364</w:t>
            </w:r>
          </w:p>
        </w:tc>
        <w:tc>
          <w:tcPr>
            <w:tcW w:w="5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220"/>
              <w:spacing w:after="0"/>
              <w:rPr>
                <w:sz w:val="20"/>
                <w:szCs w:val="20"/>
                <w:color w:val="auto"/>
              </w:rPr>
            </w:pPr>
            <w:r>
              <w:rPr>
                <w:rFonts w:ascii="Arial" w:cs="Arial" w:eastAsia="Arial" w:hAnsi="Arial"/>
                <w:sz w:val="18"/>
                <w:szCs w:val="18"/>
                <w:color w:val="auto"/>
                <w:w w:val="89"/>
              </w:rPr>
              <w:t>Accumulated other comprehensive loss, net</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(194,349)</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(196,305)</w:t>
            </w:r>
          </w:p>
        </w:tc>
        <w:tc>
          <w:tcPr>
            <w:tcW w:w="5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380" w:type="dxa"/>
            <w:vAlign w:val="bottom"/>
          </w:tcPr>
          <w:p>
            <w:pPr>
              <w:ind w:left="220"/>
              <w:spacing w:after="0"/>
              <w:rPr>
                <w:sz w:val="20"/>
                <w:szCs w:val="20"/>
                <w:color w:val="auto"/>
              </w:rPr>
            </w:pPr>
            <w:r>
              <w:rPr>
                <w:rFonts w:ascii="Arial" w:cs="Arial" w:eastAsia="Arial" w:hAnsi="Arial"/>
                <w:sz w:val="18"/>
                <w:szCs w:val="18"/>
                <w:color w:val="auto"/>
              </w:rPr>
              <w:t>Accumulated deficit</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(407,857)</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(425,396)</w:t>
            </w:r>
          </w:p>
        </w:tc>
        <w:tc>
          <w:tcPr>
            <w:tcW w:w="5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380" w:type="dxa"/>
            <w:vAlign w:val="bottom"/>
          </w:tcPr>
          <w:p>
            <w:pPr>
              <w:ind w:left="420"/>
              <w:spacing w:after="0"/>
              <w:rPr>
                <w:sz w:val="20"/>
                <w:szCs w:val="20"/>
                <w:color w:val="auto"/>
              </w:rPr>
            </w:pPr>
            <w:r>
              <w:rPr>
                <w:rFonts w:ascii="Arial" w:cs="Arial" w:eastAsia="Arial" w:hAnsi="Arial"/>
                <w:sz w:val="18"/>
                <w:szCs w:val="18"/>
                <w:color w:val="auto"/>
              </w:rPr>
              <w:t>Total Itron, Inc. shareholders' equity</w:t>
            </w:r>
          </w:p>
        </w:tc>
        <w:tc>
          <w:tcPr>
            <w:tcW w:w="1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723,302</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712,663</w:t>
            </w:r>
          </w:p>
        </w:tc>
        <w:tc>
          <w:tcPr>
            <w:tcW w:w="5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380" w:type="dxa"/>
            <w:vAlign w:val="bottom"/>
          </w:tcPr>
          <w:p>
            <w:pPr>
              <w:ind w:left="22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23,297</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21,385</w:t>
            </w:r>
          </w:p>
        </w:tc>
        <w:tc>
          <w:tcPr>
            <w:tcW w:w="5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380" w:type="dxa"/>
            <w:vAlign w:val="bottom"/>
          </w:tcPr>
          <w:p>
            <w:pPr>
              <w:ind w:left="420"/>
              <w:spacing w:after="0"/>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746,599</w:t>
            </w:r>
          </w:p>
        </w:tc>
        <w:tc>
          <w:tcPr>
            <w:tcW w:w="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734,048</w:t>
            </w:r>
          </w:p>
        </w:tc>
        <w:tc>
          <w:tcPr>
            <w:tcW w:w="5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380" w:type="dxa"/>
            <w:vAlign w:val="bottom"/>
          </w:tcPr>
          <w:p>
            <w:pPr>
              <w:ind w:left="420"/>
              <w:spacing w:after="0"/>
              <w:rPr>
                <w:sz w:val="20"/>
                <w:szCs w:val="20"/>
                <w:color w:val="auto"/>
              </w:rPr>
            </w:pPr>
            <w:r>
              <w:rPr>
                <w:rFonts w:ascii="Arial" w:cs="Arial" w:eastAsia="Arial" w:hAnsi="Arial"/>
                <w:sz w:val="18"/>
                <w:szCs w:val="18"/>
                <w:color w:val="auto"/>
              </w:rPr>
              <w:t>Total liabilities and equity</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2,706,354</w:t>
            </w:r>
          </w:p>
        </w:tc>
        <w:tc>
          <w:tcPr>
            <w:tcW w:w="60" w:type="dxa"/>
            <w:vAlign w:val="bottom"/>
          </w:tcPr>
          <w:p>
            <w:pPr>
              <w:spacing w:after="0"/>
              <w:rPr>
                <w:sz w:val="20"/>
                <w:szCs w:val="20"/>
                <w:color w:val="auto"/>
              </w:rPr>
            </w:pP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2,608,982</w:t>
            </w:r>
          </w:p>
        </w:tc>
        <w:tc>
          <w:tcPr>
            <w:tcW w:w="5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5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5" w:right="239" w:bottom="1440" w:gutter="0" w:footer="0" w:header="0"/>
        </w:sectPr>
      </w:pPr>
    </w:p>
    <w:bookmarkStart w:id="12" w:name="page13"/>
    <w:bookmarkEnd w:id="12"/>
    <w:p>
      <w:pPr>
        <w:jc w:val="center"/>
        <w:ind w:right="1599"/>
        <w:spacing w:after="0"/>
        <w:rPr>
          <w:sz w:val="20"/>
          <w:szCs w:val="20"/>
          <w:color w:val="auto"/>
        </w:rPr>
      </w:pPr>
      <w:r>
        <w:rPr>
          <w:rFonts w:ascii="Arial" w:cs="Arial" w:eastAsia="Arial" w:hAnsi="Arial"/>
          <w:sz w:val="18"/>
          <w:szCs w:val="18"/>
          <w:b w:val="1"/>
          <w:bCs w:val="1"/>
          <w:color w:val="auto"/>
        </w:rPr>
        <w:t>ITRON, INC.</w:t>
      </w:r>
    </w:p>
    <w:p>
      <w:pPr>
        <w:spacing w:after="0" w:line="36" w:lineRule="exact"/>
        <w:rPr>
          <w:sz w:val="20"/>
          <w:szCs w:val="20"/>
          <w:color w:val="auto"/>
        </w:rPr>
      </w:pPr>
    </w:p>
    <w:p>
      <w:pPr>
        <w:jc w:val="center"/>
        <w:ind w:right="15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(Unaudited, in thousands)</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0"/>
        </w:trPr>
        <w:tc>
          <w:tcPr>
            <w:tcW w:w="6500" w:type="dxa"/>
            <w:vAlign w:val="bottom"/>
          </w:tcPr>
          <w:p>
            <w:pPr>
              <w:spacing w:after="0"/>
              <w:rPr>
                <w:sz w:val="21"/>
                <w:szCs w:val="21"/>
                <w:color w:val="auto"/>
              </w:rPr>
            </w:pPr>
          </w:p>
        </w:tc>
        <w:tc>
          <w:tcPr>
            <w:tcW w:w="212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37"/>
        </w:trPr>
        <w:tc>
          <w:tcPr>
            <w:tcW w:w="6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Operating activities</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43"/>
        </w:trPr>
        <w:tc>
          <w:tcPr>
            <w:tcW w:w="650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19,968</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(141,497)</w:t>
            </w:r>
          </w:p>
        </w:tc>
      </w:tr>
      <w:tr>
        <w:trPr>
          <w:trHeight w:val="243"/>
        </w:trPr>
        <w:tc>
          <w:tcPr>
            <w:tcW w:w="6500" w:type="dxa"/>
            <w:vAlign w:val="bottom"/>
          </w:tcPr>
          <w:p>
            <w:pPr>
              <w:ind w:left="220"/>
              <w:spacing w:after="0"/>
              <w:rPr>
                <w:sz w:val="20"/>
                <w:szCs w:val="20"/>
                <w:color w:val="auto"/>
              </w:rPr>
            </w:pPr>
            <w:r>
              <w:rPr>
                <w:rFonts w:ascii="Arial" w:cs="Arial" w:eastAsia="Arial" w:hAnsi="Arial"/>
                <w:sz w:val="18"/>
                <w:szCs w:val="18"/>
                <w:color w:val="auto"/>
                <w:w w:val="90"/>
              </w:rPr>
              <w:t>Adjustments to reconcile net income (loss) to net cash provided by operating activities:</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43"/>
        </w:trPr>
        <w:tc>
          <w:tcPr>
            <w:tcW w:w="6500" w:type="dxa"/>
            <w:vAlign w:val="bottom"/>
          </w:tcPr>
          <w:p>
            <w:pPr>
              <w:ind w:left="420"/>
              <w:spacing w:after="0"/>
              <w:rPr>
                <w:sz w:val="20"/>
                <w:szCs w:val="20"/>
                <w:color w:val="auto"/>
              </w:rPr>
            </w:pPr>
            <w:r>
              <w:rPr>
                <w:rFonts w:ascii="Arial" w:cs="Arial" w:eastAsia="Arial" w:hAnsi="Arial"/>
                <w:sz w:val="18"/>
                <w:szCs w:val="18"/>
                <w:color w:val="auto"/>
              </w:rPr>
              <w:t>Depreciation and amortization of intangible assets</w:t>
            </w:r>
          </w:p>
        </w:tc>
        <w:tc>
          <w:tcPr>
            <w:tcW w:w="2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57,068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61,979</w:t>
            </w:r>
          </w:p>
        </w:tc>
      </w:tr>
      <w:tr>
        <w:trPr>
          <w:trHeight w:val="243"/>
        </w:trPr>
        <w:tc>
          <w:tcPr>
            <w:tcW w:w="6500" w:type="dxa"/>
            <w:vAlign w:val="bottom"/>
          </w:tcPr>
          <w:p>
            <w:pPr>
              <w:ind w:left="420"/>
              <w:spacing w:after="0"/>
              <w:rPr>
                <w:sz w:val="20"/>
                <w:szCs w:val="20"/>
                <w:color w:val="auto"/>
              </w:rPr>
            </w:pPr>
            <w:r>
              <w:rPr>
                <w:rFonts w:ascii="Arial" w:cs="Arial" w:eastAsia="Arial" w:hAnsi="Arial"/>
                <w:sz w:val="18"/>
                <w:szCs w:val="18"/>
                <w:color w:val="auto"/>
              </w:rPr>
              <w:t>Amortization of operating lease right-of-use assets</w:t>
            </w:r>
          </w:p>
        </w:tc>
        <w:tc>
          <w:tcPr>
            <w:tcW w:w="2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9,481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50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13,783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16,619</w:t>
            </w:r>
          </w:p>
        </w:tc>
      </w:tr>
      <w:tr>
        <w:trPr>
          <w:trHeight w:val="243"/>
        </w:trPr>
        <w:tc>
          <w:tcPr>
            <w:tcW w:w="6500" w:type="dxa"/>
            <w:vAlign w:val="bottom"/>
          </w:tcPr>
          <w:p>
            <w:pPr>
              <w:ind w:left="420"/>
              <w:spacing w:after="0"/>
              <w:rPr>
                <w:sz w:val="20"/>
                <w:szCs w:val="20"/>
                <w:color w:val="auto"/>
              </w:rPr>
            </w:pPr>
            <w:r>
              <w:rPr>
                <w:rFonts w:ascii="Arial" w:cs="Arial" w:eastAsia="Arial" w:hAnsi="Arial"/>
                <w:sz w:val="18"/>
                <w:szCs w:val="18"/>
                <w:color w:val="auto"/>
              </w:rPr>
              <w:t>Amortization of prepaid debt fees</w:t>
            </w:r>
          </w:p>
        </w:tc>
        <w:tc>
          <w:tcPr>
            <w:tcW w:w="2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2,402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4,602</w:t>
            </w:r>
          </w:p>
        </w:tc>
      </w:tr>
      <w:tr>
        <w:trPr>
          <w:trHeight w:val="243"/>
        </w:trPr>
        <w:tc>
          <w:tcPr>
            <w:tcW w:w="6500" w:type="dxa"/>
            <w:vAlign w:val="bottom"/>
          </w:tcPr>
          <w:p>
            <w:pPr>
              <w:ind w:left="420"/>
              <w:spacing w:after="0"/>
              <w:rPr>
                <w:sz w:val="20"/>
                <w:szCs w:val="20"/>
                <w:color w:val="auto"/>
              </w:rPr>
            </w:pPr>
            <w:r>
              <w:rPr>
                <w:rFonts w:ascii="Arial" w:cs="Arial" w:eastAsia="Arial" w:hAnsi="Arial"/>
                <w:sz w:val="18"/>
                <w:szCs w:val="18"/>
                <w:color w:val="auto"/>
              </w:rPr>
              <w:t>Deferred taxes, net</w:t>
            </w:r>
          </w:p>
        </w:tc>
        <w:tc>
          <w:tcPr>
            <w:tcW w:w="2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2,076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(15,319)</w:t>
            </w:r>
          </w:p>
        </w:tc>
      </w:tr>
      <w:tr>
        <w:trPr>
          <w:trHeight w:val="243"/>
        </w:trPr>
        <w:tc>
          <w:tcPr>
            <w:tcW w:w="6500" w:type="dxa"/>
            <w:vAlign w:val="bottom"/>
          </w:tcPr>
          <w:p>
            <w:pPr>
              <w:ind w:left="420"/>
              <w:spacing w:after="0"/>
              <w:rPr>
                <w:sz w:val="20"/>
                <w:szCs w:val="20"/>
                <w:color w:val="auto"/>
              </w:rPr>
            </w:pPr>
            <w:r>
              <w:rPr>
                <w:rFonts w:ascii="Arial" w:cs="Arial" w:eastAsia="Arial" w:hAnsi="Arial"/>
                <w:sz w:val="18"/>
                <w:szCs w:val="18"/>
                <w:color w:val="auto"/>
              </w:rPr>
              <w:t>Restructuring, non-cash</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(5,295)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624</w:t>
            </w:r>
          </w:p>
        </w:tc>
      </w:tr>
      <w:tr>
        <w:trPr>
          <w:trHeight w:val="243"/>
        </w:trPr>
        <w:tc>
          <w:tcPr>
            <w:tcW w:w="6500" w:type="dxa"/>
            <w:vAlign w:val="bottom"/>
          </w:tcPr>
          <w:p>
            <w:pPr>
              <w:ind w:left="420"/>
              <w:spacing w:after="0"/>
              <w:rPr>
                <w:sz w:val="20"/>
                <w:szCs w:val="20"/>
                <w:color w:val="auto"/>
              </w:rPr>
            </w:pPr>
            <w:r>
              <w:rPr>
                <w:rFonts w:ascii="Arial" w:cs="Arial" w:eastAsia="Arial" w:hAnsi="Arial"/>
                <w:sz w:val="18"/>
                <w:szCs w:val="18"/>
                <w:color w:val="auto"/>
              </w:rPr>
              <w:t>Other adjustments, net</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(3,471)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1,205</w:t>
            </w:r>
          </w:p>
        </w:tc>
      </w:tr>
      <w:tr>
        <w:trPr>
          <w:trHeight w:val="243"/>
        </w:trPr>
        <w:tc>
          <w:tcPr>
            <w:tcW w:w="6500" w:type="dxa"/>
            <w:vAlign w:val="bottom"/>
          </w:tcPr>
          <w:p>
            <w:pPr>
              <w:spacing w:after="0"/>
              <w:rPr>
                <w:sz w:val="20"/>
                <w:szCs w:val="20"/>
                <w:color w:val="auto"/>
              </w:rPr>
            </w:pPr>
            <w:r>
              <w:rPr>
                <w:rFonts w:ascii="Arial" w:cs="Arial" w:eastAsia="Arial" w:hAnsi="Arial"/>
                <w:sz w:val="18"/>
                <w:szCs w:val="18"/>
                <w:color w:val="auto"/>
              </w:rPr>
              <w:t>Changes in operating assets and liabilities, net of acquisitions</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43"/>
        </w:trPr>
        <w:tc>
          <w:tcPr>
            <w:tcW w:w="650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(29,121)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12,804</w:t>
            </w:r>
          </w:p>
        </w:tc>
      </w:tr>
      <w:tr>
        <w:trPr>
          <w:trHeight w:val="243"/>
        </w:trPr>
        <w:tc>
          <w:tcPr>
            <w:tcW w:w="650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(9,202)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3,385</w:t>
            </w:r>
          </w:p>
        </w:tc>
      </w:tr>
      <w:tr>
        <w:trPr>
          <w:trHeight w:val="243"/>
        </w:trPr>
        <w:tc>
          <w:tcPr>
            <w:tcW w:w="650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(14,413)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(1,921)</w:t>
            </w:r>
          </w:p>
        </w:tc>
      </w:tr>
      <w:tr>
        <w:trPr>
          <w:trHeight w:val="243"/>
        </w:trPr>
        <w:tc>
          <w:tcPr>
            <w:tcW w:w="6500" w:type="dxa"/>
            <w:vAlign w:val="bottom"/>
          </w:tcPr>
          <w:p>
            <w:pPr>
              <w:ind w:left="220"/>
              <w:spacing w:after="0"/>
              <w:rPr>
                <w:sz w:val="20"/>
                <w:szCs w:val="20"/>
                <w:color w:val="auto"/>
              </w:rPr>
            </w:pPr>
            <w:r>
              <w:rPr>
                <w:rFonts w:ascii="Arial" w:cs="Arial" w:eastAsia="Arial" w:hAnsi="Arial"/>
                <w:sz w:val="18"/>
                <w:szCs w:val="18"/>
                <w:color w:val="auto"/>
              </w:rPr>
              <w:t>Other long-term assets</w:t>
            </w:r>
          </w:p>
        </w:tc>
        <w:tc>
          <w:tcPr>
            <w:tcW w:w="2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6,616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4,514</w:t>
            </w:r>
          </w:p>
        </w:tc>
      </w:tr>
      <w:tr>
        <w:trPr>
          <w:trHeight w:val="243"/>
        </w:trPr>
        <w:tc>
          <w:tcPr>
            <w:tcW w:w="6500" w:type="dxa"/>
            <w:vAlign w:val="bottom"/>
          </w:tcPr>
          <w:p>
            <w:pPr>
              <w:ind w:left="220"/>
              <w:spacing w:after="0"/>
              <w:rPr>
                <w:sz w:val="20"/>
                <w:szCs w:val="20"/>
                <w:color w:val="auto"/>
              </w:rPr>
            </w:pPr>
            <w:r>
              <w:rPr>
                <w:rFonts w:ascii="Arial" w:cs="Arial" w:eastAsia="Arial" w:hAnsi="Arial"/>
                <w:sz w:val="18"/>
                <w:szCs w:val="18"/>
                <w:color w:val="auto"/>
              </w:rPr>
              <w:t>Accounts payable, other current liabilities, and taxes payable</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(2,801)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(16,994)</w:t>
            </w:r>
          </w:p>
        </w:tc>
      </w:tr>
      <w:tr>
        <w:trPr>
          <w:trHeight w:val="243"/>
        </w:trPr>
        <w:tc>
          <w:tcPr>
            <w:tcW w:w="6500" w:type="dxa"/>
            <w:vAlign w:val="bottom"/>
          </w:tcPr>
          <w:p>
            <w:pPr>
              <w:ind w:left="220"/>
              <w:spacing w:after="0"/>
              <w:rPr>
                <w:sz w:val="20"/>
                <w:szCs w:val="20"/>
                <w:color w:val="auto"/>
              </w:rPr>
            </w:pPr>
            <w:r>
              <w:rPr>
                <w:rFonts w:ascii="Arial" w:cs="Arial" w:eastAsia="Arial" w:hAnsi="Arial"/>
                <w:sz w:val="18"/>
                <w:szCs w:val="18"/>
                <w:color w:val="auto"/>
              </w:rPr>
              <w:t>Wages and benefits payable</w:t>
            </w:r>
          </w:p>
        </w:tc>
        <w:tc>
          <w:tcPr>
            <w:tcW w:w="2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13,484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762</w:t>
            </w:r>
          </w:p>
        </w:tc>
      </w:tr>
      <w:tr>
        <w:trPr>
          <w:trHeight w:val="243"/>
        </w:trPr>
        <w:tc>
          <w:tcPr>
            <w:tcW w:w="6500" w:type="dxa"/>
            <w:vAlign w:val="bottom"/>
          </w:tcPr>
          <w:p>
            <w:pPr>
              <w:ind w:left="220"/>
              <w:spacing w:after="0"/>
              <w:rPr>
                <w:sz w:val="20"/>
                <w:szCs w:val="20"/>
                <w:color w:val="auto"/>
              </w:rPr>
            </w:pPr>
            <w:r>
              <w:rPr>
                <w:rFonts w:ascii="Arial" w:cs="Arial" w:eastAsia="Arial" w:hAnsi="Arial"/>
                <w:sz w:val="18"/>
                <w:szCs w:val="18"/>
                <w:color w:val="auto"/>
              </w:rPr>
              <w:t>Unearned revenue</w:t>
            </w:r>
          </w:p>
        </w:tc>
        <w:tc>
          <w:tcPr>
            <w:tcW w:w="2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14,961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31,156</w:t>
            </w:r>
          </w:p>
        </w:tc>
      </w:tr>
      <w:tr>
        <w:trPr>
          <w:trHeight w:val="243"/>
        </w:trPr>
        <w:tc>
          <w:tcPr>
            <w:tcW w:w="6500" w:type="dxa"/>
            <w:vAlign w:val="bottom"/>
          </w:tcPr>
          <w:p>
            <w:pPr>
              <w:ind w:left="220"/>
              <w:spacing w:after="0"/>
              <w:rPr>
                <w:sz w:val="20"/>
                <w:szCs w:val="20"/>
                <w:color w:val="auto"/>
              </w:rPr>
            </w:pPr>
            <w:r>
              <w:rPr>
                <w:rFonts w:ascii="Arial" w:cs="Arial" w:eastAsia="Arial" w:hAnsi="Arial"/>
                <w:sz w:val="18"/>
                <w:szCs w:val="18"/>
                <w:color w:val="auto"/>
              </w:rPr>
              <w:t>Warranty</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(3,270)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3,756</w:t>
            </w:r>
          </w:p>
        </w:tc>
      </w:tr>
      <w:tr>
        <w:trPr>
          <w:trHeight w:val="257"/>
        </w:trPr>
        <w:tc>
          <w:tcPr>
            <w:tcW w:w="6500" w:type="dxa"/>
            <w:vAlign w:val="bottom"/>
          </w:tcPr>
          <w:p>
            <w:pPr>
              <w:ind w:left="220"/>
              <w:spacing w:after="0"/>
              <w:rPr>
                <w:sz w:val="20"/>
                <w:szCs w:val="20"/>
                <w:color w:val="auto"/>
              </w:rPr>
            </w:pPr>
            <w:r>
              <w:rPr>
                <w:rFonts w:ascii="Arial" w:cs="Arial" w:eastAsia="Arial" w:hAnsi="Arial"/>
                <w:sz w:val="18"/>
                <w:szCs w:val="18"/>
                <w:color w:val="auto"/>
              </w:rPr>
              <w:t>Other operating, net</w:t>
            </w: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5,797</w:t>
            </w: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51,204</w:t>
            </w:r>
          </w:p>
        </w:tc>
      </w:tr>
      <w:tr>
        <w:trPr>
          <w:trHeight w:val="224"/>
        </w:trPr>
        <w:tc>
          <w:tcPr>
            <w:tcW w:w="6500" w:type="dxa"/>
            <w:vAlign w:val="bottom"/>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78,063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16,879</w:t>
            </w:r>
          </w:p>
        </w:tc>
      </w:tr>
    </w:tbl>
    <w:p>
      <w:pPr>
        <w:spacing w:after="0" w:line="200" w:lineRule="exact"/>
        <w:rPr>
          <w:sz w:val="20"/>
          <w:szCs w:val="20"/>
          <w:color w:val="auto"/>
        </w:rPr>
      </w:pPr>
    </w:p>
    <w:p>
      <w:pPr>
        <w:sectPr>
          <w:pgSz w:w="11900" w:h="16838" w:orient="portrait"/>
          <w:cols w:equalWidth="0" w:num="1">
            <w:col w:w="10219"/>
          </w:cols>
          <w:pgMar w:left="240" w:top="135" w:right="1440" w:bottom="1440" w:gutter="0" w:footer="0" w:header="0"/>
        </w:sectPr>
      </w:pP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Investing activities</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Acquisitions of property, plant, and equipment</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Business acquisitions, net of cash equivalents acquired</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investing, net</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Net cash used in investing activities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Financing activities</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Proceeds from borrowings</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Payments on debt</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Issuance of common stock</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Repurchase of common stock</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Prepaid debt fees</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financing, net</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Net cash provided by (used in) financing activities</w:t>
      </w:r>
    </w:p>
    <w:p>
      <w:pPr>
        <w:spacing w:after="0" w:line="293" w:lineRule="exact"/>
        <w:rPr>
          <w:sz w:val="20"/>
          <w:szCs w:val="20"/>
          <w:color w:val="auto"/>
        </w:rPr>
      </w:pPr>
    </w:p>
    <w:p>
      <w:pPr>
        <w:spacing w:after="0" w:line="306" w:lineRule="auto"/>
        <w:rPr>
          <w:sz w:val="20"/>
          <w:szCs w:val="20"/>
          <w:color w:val="auto"/>
        </w:rPr>
      </w:pPr>
      <w:r>
        <w:rPr>
          <w:rFonts w:ascii="Arial" w:cs="Arial" w:eastAsia="Arial" w:hAnsi="Arial"/>
          <w:sz w:val="17"/>
          <w:szCs w:val="17"/>
          <w:color w:val="auto"/>
        </w:rPr>
        <w:t>Effect of foreign exchange rate changes on cash, cash equivalents, and restricted cash Increase (decrease) in cash, cash equivalents, and restricted cash</w:t>
      </w:r>
    </w:p>
    <w:p>
      <w:pPr>
        <w:spacing w:after="0" w:line="1" w:lineRule="exact"/>
        <w:rPr>
          <w:sz w:val="20"/>
          <w:szCs w:val="20"/>
          <w:color w:val="auto"/>
        </w:rPr>
      </w:pPr>
    </w:p>
    <w:p>
      <w:pPr>
        <w:ind w:right="1440"/>
        <w:spacing w:after="0" w:line="430" w:lineRule="auto"/>
        <w:rPr>
          <w:sz w:val="20"/>
          <w:szCs w:val="20"/>
          <w:color w:val="auto"/>
        </w:rPr>
      </w:pPr>
      <w:r>
        <w:rPr>
          <w:rFonts w:ascii="Arial" w:cs="Arial" w:eastAsia="Arial" w:hAnsi="Arial"/>
          <w:sz w:val="16"/>
          <w:szCs w:val="16"/>
          <w:color w:val="auto"/>
        </w:rPr>
        <w:t>Cash, cash equivalents, and restricted cash at beginning of period Cash, cash equivalents, and restricted cash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ind w:left="320"/>
        <w:spacing w:after="0"/>
        <w:tabs>
          <w:tab w:leader="none" w:pos="1440" w:val="left"/>
        </w:tabs>
        <w:rPr>
          <w:sz w:val="20"/>
          <w:szCs w:val="20"/>
          <w:color w:val="auto"/>
        </w:rPr>
      </w:pPr>
      <w:r>
        <w:rPr>
          <w:rFonts w:ascii="Arial" w:cs="Arial" w:eastAsia="Arial" w:hAnsi="Arial"/>
          <w:sz w:val="17"/>
          <w:szCs w:val="17"/>
          <w:color w:val="auto"/>
        </w:rPr>
        <w:t>(26,511)</w:t>
      </w:r>
      <w:r>
        <w:rPr>
          <w:sz w:val="20"/>
          <w:szCs w:val="20"/>
          <w:color w:val="auto"/>
        </w:rPr>
        <w:tab/>
      </w:r>
      <w:r>
        <w:rPr>
          <w:rFonts w:ascii="Arial" w:cs="Arial" w:eastAsia="Arial" w:hAnsi="Arial"/>
          <w:sz w:val="17"/>
          <w:szCs w:val="17"/>
          <w:color w:val="auto"/>
        </w:rPr>
        <w:t>(29,309)</w:t>
      </w:r>
    </w:p>
    <w:p>
      <w:pPr>
        <w:spacing w:after="0" w:line="4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(802,488)</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9,773</w:t>
      </w:r>
      <w:r>
        <w:rPr>
          <w:rFonts w:ascii="Arial" w:cs="Arial" w:eastAsia="Arial" w:hAnsi="Arial"/>
          <w:sz w:val="17"/>
          <w:szCs w:val="17"/>
          <w:color w:val="auto"/>
        </w:rPr>
        <w:t>(543)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13462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30" w:lineRule="exact"/>
        <w:rPr>
          <w:sz w:val="20"/>
          <w:szCs w:val="20"/>
          <w:color w:val="auto"/>
        </w:rPr>
      </w:pPr>
    </w:p>
    <w:p>
      <w:pPr>
        <w:ind w:left="320"/>
        <w:spacing w:after="0"/>
        <w:tabs>
          <w:tab w:leader="none" w:pos="1360" w:val="left"/>
        </w:tabs>
        <w:rPr>
          <w:sz w:val="20"/>
          <w:szCs w:val="20"/>
          <w:color w:val="auto"/>
        </w:rPr>
      </w:pPr>
      <w:r>
        <w:rPr>
          <w:rFonts w:ascii="Arial" w:cs="Arial" w:eastAsia="Arial" w:hAnsi="Arial"/>
          <w:sz w:val="17"/>
          <w:szCs w:val="17"/>
          <w:color w:val="auto"/>
        </w:rPr>
        <w:t>(16,738)</w:t>
      </w:r>
      <w:r>
        <w:rPr>
          <w:sz w:val="20"/>
          <w:szCs w:val="20"/>
          <w:color w:val="auto"/>
        </w:rPr>
        <w:tab/>
      </w:r>
      <w:r>
        <w:rPr>
          <w:rFonts w:ascii="Arial" w:cs="Arial" w:eastAsia="Arial" w:hAnsi="Arial"/>
          <w:sz w:val="17"/>
          <w:szCs w:val="17"/>
          <w:color w:val="auto"/>
        </w:rPr>
        <w:t>(832,340)</w:t>
      </w:r>
    </w:p>
    <w:p>
      <w:pPr>
        <w:spacing w:after="0" w:line="200" w:lineRule="exact"/>
        <w:rPr>
          <w:sz w:val="20"/>
          <w:szCs w:val="20"/>
          <w:color w:val="auto"/>
        </w:rPr>
      </w:pPr>
    </w:p>
    <w:p>
      <w:pPr>
        <w:spacing w:after="0" w:line="334" w:lineRule="exact"/>
        <w:rPr>
          <w:sz w:val="20"/>
          <w:szCs w:val="20"/>
          <w:color w:val="auto"/>
        </w:rPr>
      </w:pPr>
    </w:p>
    <w:p>
      <w:pPr>
        <w:ind w:left="380"/>
        <w:spacing w:after="0"/>
        <w:tabs>
          <w:tab w:leader="none" w:pos="1420" w:val="left"/>
        </w:tabs>
        <w:rPr>
          <w:sz w:val="20"/>
          <w:szCs w:val="20"/>
          <w:color w:val="auto"/>
        </w:rPr>
      </w:pPr>
      <w:r>
        <w:rPr>
          <w:rFonts w:ascii="Arial" w:cs="Arial" w:eastAsia="Arial" w:hAnsi="Arial"/>
          <w:sz w:val="18"/>
          <w:szCs w:val="18"/>
          <w:color w:val="auto"/>
        </w:rPr>
        <w:t>50,000</w:t>
      </w:r>
      <w:r>
        <w:rPr>
          <w:sz w:val="20"/>
          <w:szCs w:val="20"/>
          <w:color w:val="auto"/>
        </w:rPr>
        <w:tab/>
      </w:r>
      <w:r>
        <w:rPr>
          <w:rFonts w:ascii="Arial" w:cs="Arial" w:eastAsia="Arial" w:hAnsi="Arial"/>
          <w:sz w:val="18"/>
          <w:szCs w:val="18"/>
          <w:color w:val="auto"/>
        </w:rPr>
        <w:t>761,938</w:t>
      </w:r>
    </w:p>
    <w:p>
      <w:pPr>
        <w:spacing w:after="0" w:line="36" w:lineRule="exact"/>
        <w:rPr>
          <w:sz w:val="20"/>
          <w:szCs w:val="20"/>
          <w:color w:val="auto"/>
        </w:rPr>
      </w:pPr>
    </w:p>
    <w:p>
      <w:pPr>
        <w:ind w:left="320"/>
        <w:spacing w:after="0"/>
        <w:tabs>
          <w:tab w:leader="none" w:pos="1360" w:val="left"/>
        </w:tabs>
        <w:rPr>
          <w:sz w:val="20"/>
          <w:szCs w:val="20"/>
          <w:color w:val="auto"/>
        </w:rPr>
      </w:pPr>
      <w:r>
        <w:rPr>
          <w:rFonts w:ascii="Arial" w:cs="Arial" w:eastAsia="Arial" w:hAnsi="Arial"/>
          <w:sz w:val="17"/>
          <w:szCs w:val="17"/>
          <w:color w:val="auto"/>
        </w:rPr>
        <w:t>(72,188)</w:t>
      </w:r>
      <w:r>
        <w:rPr>
          <w:sz w:val="20"/>
          <w:szCs w:val="20"/>
          <w:color w:val="auto"/>
        </w:rPr>
        <w:tab/>
      </w:r>
      <w:r>
        <w:rPr>
          <w:rFonts w:ascii="Arial" w:cs="Arial" w:eastAsia="Arial" w:hAnsi="Arial"/>
          <w:sz w:val="17"/>
          <w:szCs w:val="17"/>
          <w:color w:val="auto"/>
        </w:rPr>
        <w:t>(242,234)</w:t>
      </w:r>
    </w:p>
    <w:p>
      <w:pPr>
        <w:spacing w:after="0" w:line="48"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18"/>
          <w:szCs w:val="18"/>
          <w:color w:val="auto"/>
        </w:rPr>
        <w:t>4,001</w:t>
      </w:r>
      <w:r>
        <w:rPr>
          <w:sz w:val="20"/>
          <w:szCs w:val="20"/>
          <w:color w:val="auto"/>
        </w:rPr>
        <w:tab/>
      </w:r>
      <w:r>
        <w:rPr>
          <w:rFonts w:ascii="Arial" w:cs="Arial" w:eastAsia="Arial" w:hAnsi="Arial"/>
          <w:sz w:val="18"/>
          <w:szCs w:val="18"/>
          <w:color w:val="auto"/>
        </w:rPr>
        <w:t>4,927</w:t>
      </w:r>
    </w:p>
    <w:p>
      <w:pPr>
        <w:spacing w:after="0" w:line="36" w:lineRule="exact"/>
        <w:rPr>
          <w:sz w:val="20"/>
          <w:szCs w:val="20"/>
          <w:color w:val="auto"/>
        </w:rPr>
      </w:pPr>
    </w:p>
    <w:p>
      <w:pPr>
        <w:ind w:left="320"/>
        <w:spacing w:after="0"/>
        <w:tabs>
          <w:tab w:leader="none" w:pos="1820" w:val="left"/>
        </w:tabs>
        <w:rPr>
          <w:sz w:val="20"/>
          <w:szCs w:val="20"/>
          <w:color w:val="auto"/>
        </w:rPr>
      </w:pPr>
      <w:r>
        <w:rPr>
          <w:rFonts w:ascii="Arial" w:cs="Arial" w:eastAsia="Arial" w:hAnsi="Arial"/>
          <w:sz w:val="18"/>
          <w:szCs w:val="18"/>
          <w:color w:val="auto"/>
        </w:rPr>
        <w:t>(25,000)</w:t>
      </w:r>
      <w:r>
        <w:rPr>
          <w:sz w:val="20"/>
          <w:szCs w:val="20"/>
          <w:color w:val="auto"/>
        </w:rPr>
        <w:tab/>
      </w:r>
      <w:r>
        <w:rPr>
          <w:rFonts w:ascii="Arial" w:cs="Arial" w:eastAsia="Arial" w:hAnsi="Arial"/>
          <w:sz w:val="18"/>
          <w:szCs w:val="18"/>
          <w:color w:val="auto"/>
        </w:rPr>
        <w:t>—</w:t>
      </w:r>
    </w:p>
    <w:p>
      <w:pPr>
        <w:spacing w:after="0" w:line="36" w:lineRule="exact"/>
        <w:rPr>
          <w:sz w:val="20"/>
          <w:szCs w:val="20"/>
          <w:color w:val="auto"/>
        </w:rPr>
      </w:pPr>
    </w:p>
    <w:p>
      <w:pPr>
        <w:ind w:left="1460" w:hanging="921"/>
        <w:spacing w:after="0"/>
        <w:tabs>
          <w:tab w:leader="none" w:pos="1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(24,042)</w:t>
      </w:r>
    </w:p>
    <w:p>
      <w:pPr>
        <w:spacing w:after="0" w:line="47" w:lineRule="exact"/>
        <w:rPr>
          <w:rFonts w:ascii="Arial" w:cs="Arial" w:eastAsia="Arial" w:hAnsi="Arial"/>
          <w:sz w:val="17"/>
          <w:szCs w:val="17"/>
          <w:color w:val="auto"/>
        </w:rPr>
      </w:pPr>
    </w:p>
    <w:p>
      <w:pPr>
        <w:ind w:left="400"/>
        <w:spacing w:after="0"/>
        <w:rPr>
          <w:rFonts w:ascii="Arial" w:cs="Arial" w:eastAsia="Arial" w:hAnsi="Arial"/>
          <w:sz w:val="17"/>
          <w:szCs w:val="17"/>
          <w:color w:val="auto"/>
        </w:rPr>
      </w:pPr>
      <w:r>
        <w:rPr>
          <w:rFonts w:ascii="Arial" w:cs="Arial" w:eastAsia="Arial" w:hAnsi="Arial"/>
          <w:sz w:val="18"/>
          <w:szCs w:val="18"/>
          <w:color w:val="auto"/>
        </w:rPr>
        <w:t>(3,165)</w:t>
      </w:r>
      <w:r>
        <w:rPr>
          <w:rFonts w:ascii="Arial" w:cs="Arial" w:eastAsia="Arial" w:hAnsi="Arial"/>
          <w:sz w:val="16"/>
          <w:szCs w:val="16"/>
          <w:color w:val="auto"/>
        </w:rPr>
        <w:t>(2,580)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13462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30" w:lineRule="exact"/>
        <w:rPr>
          <w:sz w:val="20"/>
          <w:szCs w:val="20"/>
          <w:color w:val="auto"/>
        </w:rPr>
      </w:pPr>
    </w:p>
    <w:p>
      <w:pPr>
        <w:ind w:left="320"/>
        <w:spacing w:after="0"/>
        <w:tabs>
          <w:tab w:leader="none" w:pos="1420" w:val="left"/>
        </w:tabs>
        <w:rPr>
          <w:sz w:val="20"/>
          <w:szCs w:val="20"/>
          <w:color w:val="auto"/>
        </w:rPr>
      </w:pPr>
      <w:r>
        <w:rPr>
          <w:rFonts w:ascii="Arial" w:cs="Arial" w:eastAsia="Arial" w:hAnsi="Arial"/>
          <w:sz w:val="18"/>
          <w:szCs w:val="18"/>
          <w:color w:val="auto"/>
        </w:rPr>
        <w:t>(46,527)</w:t>
      </w:r>
      <w:r>
        <w:rPr>
          <w:sz w:val="20"/>
          <w:szCs w:val="20"/>
          <w:color w:val="auto"/>
        </w:rPr>
        <w:tab/>
      </w:r>
      <w:r>
        <w:rPr>
          <w:rFonts w:ascii="Arial" w:cs="Arial" w:eastAsia="Arial" w:hAnsi="Arial"/>
          <w:sz w:val="18"/>
          <w:szCs w:val="18"/>
          <w:color w:val="auto"/>
        </w:rPr>
        <w:t>498,009</w:t>
      </w:r>
    </w:p>
    <w:p>
      <w:pPr>
        <w:spacing w:after="0" w:line="279" w:lineRule="exact"/>
        <w:rPr>
          <w:sz w:val="20"/>
          <w:szCs w:val="20"/>
          <w:color w:val="auto"/>
        </w:rPr>
      </w:pPr>
    </w:p>
    <w:p>
      <w:pPr>
        <w:ind w:left="1560" w:hanging="962"/>
        <w:spacing w:after="0"/>
        <w:tabs>
          <w:tab w:leader="none" w:pos="1560" w:val="left"/>
        </w:tabs>
        <w:numPr>
          <w:ilvl w:val="0"/>
          <w:numId w:val="5"/>
        </w:numPr>
        <w:rPr>
          <w:rFonts w:ascii="Arial" w:cs="Arial" w:eastAsia="Arial" w:hAnsi="Arial"/>
          <w:sz w:val="17"/>
          <w:szCs w:val="17"/>
          <w:color w:val="auto"/>
        </w:rPr>
      </w:pPr>
      <w:r>
        <w:rPr>
          <w:rFonts w:ascii="Arial" w:cs="Arial" w:eastAsia="Arial" w:hAnsi="Arial"/>
          <w:sz w:val="17"/>
          <w:szCs w:val="17"/>
          <w:color w:val="auto"/>
        </w:rPr>
        <w:t>(4,841)</w:t>
      </w:r>
    </w:p>
    <w:p>
      <w:pPr>
        <w:spacing w:after="0" w:line="61" w:lineRule="exact"/>
        <w:rPr>
          <w:rFonts w:ascii="Arial" w:cs="Arial" w:eastAsia="Arial" w:hAnsi="Arial"/>
          <w:sz w:val="17"/>
          <w:szCs w:val="17"/>
          <w:color w:val="auto"/>
        </w:rPr>
      </w:pPr>
    </w:p>
    <w:p>
      <w:pPr>
        <w:ind w:left="380"/>
        <w:spacing w:after="0"/>
        <w:rPr>
          <w:rFonts w:ascii="Arial" w:cs="Arial" w:eastAsia="Arial" w:hAnsi="Arial"/>
          <w:sz w:val="17"/>
          <w:szCs w:val="17"/>
          <w:color w:val="auto"/>
        </w:rPr>
      </w:pPr>
      <w:r>
        <w:rPr>
          <w:rFonts w:ascii="Arial" w:cs="Arial" w:eastAsia="Arial" w:hAnsi="Arial"/>
          <w:sz w:val="18"/>
          <w:szCs w:val="18"/>
          <w:color w:val="auto"/>
        </w:rPr>
        <w:t>15,525</w:t>
      </w:r>
      <w:r>
        <w:rPr>
          <w:rFonts w:ascii="Arial" w:cs="Arial" w:eastAsia="Arial" w:hAnsi="Arial"/>
          <w:sz w:val="16"/>
          <w:szCs w:val="16"/>
          <w:color w:val="auto"/>
        </w:rPr>
        <w:t>(322,293)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13462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122,328</w:t>
            </w: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487,335</w:t>
            </w:r>
          </w:p>
        </w:tc>
      </w:tr>
      <w:tr>
        <w:trPr>
          <w:trHeight w:val="237"/>
        </w:trPr>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8"/>
              </w:rPr>
              <w:t>$  137,853</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165,042</w:t>
            </w: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6160" w:space="340"/>
            <w:col w:w="3719"/>
          </w:cols>
          <w:pgMar w:left="240" w:top="135" w:right="1440" w:bottom="1440" w:gutter="0" w:footer="0" w:header="0"/>
          <w:type w:val="continuous"/>
        </w:sectPr>
      </w:pPr>
    </w:p>
    <w:bookmarkStart w:id="13" w:name="page14"/>
    <w:bookmarkEnd w:id="13"/>
    <w:p>
      <w:pPr>
        <w:jc w:val="center"/>
        <w:ind w:right="-19"/>
        <w:spacing w:after="0"/>
        <w:rPr>
          <w:sz w:val="20"/>
          <w:szCs w:val="20"/>
          <w:color w:val="auto"/>
        </w:rPr>
      </w:pPr>
      <w:r>
        <w:rPr>
          <w:rFonts w:ascii="Arial" w:cs="Arial" w:eastAsia="Arial" w:hAnsi="Arial"/>
          <w:sz w:val="22"/>
          <w:szCs w:val="22"/>
          <w:b w:val="1"/>
          <w:bCs w:val="1"/>
          <w:color w:val="auto"/>
        </w:rPr>
        <w:t>About Non-GAAP Financial Measures</w:t>
      </w:r>
    </w:p>
    <w:p>
      <w:pPr>
        <w:spacing w:after="0" w:line="212" w:lineRule="exact"/>
        <w:rPr>
          <w:sz w:val="20"/>
          <w:szCs w:val="20"/>
          <w:color w:val="auto"/>
        </w:rPr>
      </w:pPr>
    </w:p>
    <w:p>
      <w:pPr>
        <w:ind w:right="80"/>
        <w:spacing w:after="0" w:line="277" w:lineRule="auto"/>
        <w:rPr>
          <w:sz w:val="20"/>
          <w:szCs w:val="20"/>
          <w:color w:val="auto"/>
        </w:rPr>
      </w:pPr>
      <w:r>
        <w:rPr>
          <w:rFonts w:ascii="Arial" w:cs="Arial" w:eastAsia="Arial" w:hAnsi="Arial"/>
          <w:sz w:val="19"/>
          <w:szCs w:val="19"/>
          <w:color w:val="auto"/>
        </w:rPr>
        <w:t>The accompanying press release contains non-GAAP financial measures. To supplement our consolidated financial statements, which are prepared in accordance with GAAP, we use certain non-GAAP financial measures, including non-GAAP operating expense, non-GAAP operating income, non-GAAP net income, non-GAAP diluted EPS, adjusted EBITDA, constant currency and free cash flow. The presentation of this financial information is not intended to be considered in isolation or as a substitute for, or superior to, the financial information prepared and presented in accordance with GAAP, and other companies may define such measures differently. For more information on these non-GAAP financial measures please see the table captioned “Reconciliations of Non-GAAP Financial Measures to the Most Directly Comparable GAAP Financial Measures.”</w:t>
      </w:r>
    </w:p>
    <w:p>
      <w:pPr>
        <w:spacing w:after="0" w:line="153"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We use these non-GAAP financial measures for financial and operational decision making and/or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and certain discrete cash and non-cash charges such as acquisition and integration related expenses, restructuring charges or goodwill impairment charges.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156"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u w:val="single" w:color="auto"/>
          <w:color w:val="auto"/>
        </w:rPr>
        <w:t>Non-GAAP operating expenses and non-GAAP operating income</w:t>
      </w:r>
      <w:r>
        <w:rPr>
          <w:rFonts w:ascii="Arial" w:cs="Arial" w:eastAsia="Arial" w:hAnsi="Arial"/>
          <w:sz w:val="19"/>
          <w:szCs w:val="19"/>
          <w:color w:val="auto"/>
        </w:rPr>
        <w:t xml:space="preserve"> - We define non-GAAP operating expenses as operating expenses excluding certain expenses related to the amortization of intangible assets, restructuring, acquisition and integration, corporate transition costs, and goodwill impairment. We define non-GAAP operating income as operating income excluding the expenses related to the amortization of intangible assets, restructuring, acquisition and integration, corporate transition costs, and goodwill impairment. Acquisition and integration related expenses include costs which are incurred to affect and integrate business combinations, such as professional fees, certain employee retention and salaries related to integration, severances, contract terminations, travel costs related to knowledge transfer, system conversion costs, and asset impairment charges. We consider these non-GAAP financial measures to be useful metrics for management and investors because they exclude the effect of expenses that are related to acquisitions and restructuring projects.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expenses and operating income calculated in accordance with GAAP. We compensate for these limitations by providing specific information about the GAAP amounts excluded from non-GAAP operating expense and non-GAAP operating income and evaluating non-GAAP operating expense and non-GAAP operating income together with GAAP operating expense and GAAP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sectPr>
      </w:pPr>
    </w:p>
    <w:bookmarkStart w:id="14" w:name="page15"/>
    <w:bookmarkEnd w:id="14"/>
    <w:p>
      <w:pPr>
        <w:spacing w:after="0" w:line="274" w:lineRule="auto"/>
        <w:rPr>
          <w:sz w:val="20"/>
          <w:szCs w:val="20"/>
          <w:color w:val="auto"/>
        </w:rPr>
      </w:pPr>
      <w:r>
        <w:rPr>
          <w:rFonts w:ascii="Arial" w:cs="Arial" w:eastAsia="Arial" w:hAnsi="Arial"/>
          <w:sz w:val="19"/>
          <w:szCs w:val="19"/>
          <w:u w:val="single" w:color="auto"/>
          <w:color w:val="auto"/>
        </w:rPr>
        <w:t>Non-GAAP net income and non-GAAP diluted EPS</w:t>
      </w:r>
      <w:r>
        <w:rPr>
          <w:rFonts w:ascii="Arial" w:cs="Arial" w:eastAsia="Arial" w:hAnsi="Arial"/>
          <w:sz w:val="19"/>
          <w:szCs w:val="19"/>
          <w:color w:val="auto"/>
        </w:rPr>
        <w:t xml:space="preserve"> - We define non-GAAP net income as net income attributable to Itron, Inc. excluding the expenses associated with amortization of intangible assets, restructuring, acquisition and integration, goodwill impairment, amortization of debt placement fees, corporate transition costs, and the tax effect of excluding these expenses. We define non-GAAP diluted EPS as non-GAAP net income divided by the weighted average shares, on a diluted basis, outstanding during each period.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attributable to Itron, Inc. and GAAP diluted EPS.</w:t>
      </w:r>
    </w:p>
    <w:p>
      <w:pPr>
        <w:spacing w:after="0" w:line="159"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For interim periods, beginning the first quarter of 2019, the budgeted annual effective tax rate (AETR) is used, adjusted for any discrete items, as defined in ASC 740 - Income Taxes. The budgeted AETR is determined at the beginning of the fiscal year. The AETR is revised throughout the year based on changes to our full-year forecast. If the revised AETR increases or decreases by 200 basis points or more from the budgeted AETR due to changes in the full-year forecast during the year, the revised AETR is used in place of the budgeted AETR beginning with the quarter the 200 basis point threshold is exceeded and going forward for all subsequent interim quarters in the year. We continue to assess the AETR based on latest forecast throughout the year and use the most recent AETR anytime it increases or decreases by 200 basis points or more from the prior interim period.</w:t>
      </w:r>
    </w:p>
    <w:p>
      <w:pPr>
        <w:spacing w:after="0" w:line="153" w:lineRule="exact"/>
        <w:rPr>
          <w:sz w:val="20"/>
          <w:szCs w:val="20"/>
          <w:color w:val="auto"/>
        </w:rPr>
      </w:pPr>
    </w:p>
    <w:p>
      <w:pPr>
        <w:spacing w:after="0" w:line="277" w:lineRule="auto"/>
        <w:rPr>
          <w:sz w:val="20"/>
          <w:szCs w:val="20"/>
          <w:color w:val="auto"/>
        </w:rPr>
      </w:pPr>
      <w:r>
        <w:rPr>
          <w:rFonts w:ascii="Arial" w:cs="Arial" w:eastAsia="Arial" w:hAnsi="Arial"/>
          <w:sz w:val="19"/>
          <w:szCs w:val="19"/>
          <w:u w:val="single" w:color="auto"/>
          <w:color w:val="auto"/>
        </w:rPr>
        <w:t>Adjusted EBITDA</w:t>
      </w:r>
      <w:r>
        <w:rPr>
          <w:rFonts w:ascii="Arial" w:cs="Arial" w:eastAsia="Arial" w:hAnsi="Arial"/>
          <w:sz w:val="19"/>
          <w:szCs w:val="19"/>
          <w:color w:val="auto"/>
        </w:rPr>
        <w:t xml:space="preserve"> - We define adjusted EBITDA as net income (a) minus interest income, (b) plus interest expense, depreciation and amortization, restructuring, acquisition and integration related expense, corporate transition costs, goodwill impairment and (c) excluding income tax provision or benefit.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w:t>
      </w:r>
    </w:p>
    <w:p>
      <w:pPr>
        <w:spacing w:after="0" w:line="153"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u w:val="single" w:color="auto"/>
          <w:color w:val="auto"/>
        </w:rPr>
        <w:t>Free cash flow</w:t>
      </w:r>
      <w:r>
        <w:rPr>
          <w:rFonts w:ascii="Arial" w:cs="Arial" w:eastAsia="Arial" w:hAnsi="Arial"/>
          <w:sz w:val="21"/>
          <w:szCs w:val="21"/>
          <w:color w:val="auto"/>
        </w:rPr>
        <w:t xml:space="preserve"> - We define free cash flow as net cash provided by (used in) operating activities less cash used for acquisitions of property, plant and equipment. We 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and reconciling to free cash flow.</w:t>
      </w:r>
    </w:p>
    <w:p>
      <w:pPr>
        <w:spacing w:after="0" w:line="179" w:lineRule="exact"/>
        <w:rPr>
          <w:sz w:val="20"/>
          <w:szCs w:val="20"/>
          <w:color w:val="auto"/>
        </w:rPr>
      </w:pPr>
    </w:p>
    <w:p>
      <w:pPr>
        <w:ind w:right="140"/>
        <w:spacing w:after="0" w:line="279" w:lineRule="auto"/>
        <w:rPr>
          <w:sz w:val="20"/>
          <w:szCs w:val="20"/>
          <w:color w:val="auto"/>
        </w:rPr>
      </w:pPr>
      <w:r>
        <w:rPr>
          <w:rFonts w:ascii="Arial" w:cs="Arial" w:eastAsia="Arial" w:hAnsi="Arial"/>
          <w:sz w:val="19"/>
          <w:szCs w:val="19"/>
          <w:u w:val="single" w:color="auto"/>
          <w:color w:val="auto"/>
        </w:rPr>
        <w:t>Constant currency</w:t>
      </w:r>
      <w:r>
        <w:rPr>
          <w:rFonts w:ascii="Arial" w:cs="Arial" w:eastAsia="Arial" w:hAnsi="Arial"/>
          <w:sz w:val="19"/>
          <w:szCs w:val="19"/>
          <w:color w:val="auto"/>
        </w:rPr>
        <w:t xml:space="preserve"> - We refer to the impact of foreign currency exchange rate fluctuations in our discussions of financial results, which references the differences between the foreign currency exchange rates used to translate operating results from local currencies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foreign currency exchange rates.</w:t>
      </w:r>
    </w:p>
    <w:p>
      <w:pPr>
        <w:spacing w:after="0" w:line="151"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color w:val="auto"/>
        </w:rPr>
        <w:t>The accompanying tables have more detail on the GAAP financial measures that are most directly comparable to the non-GAAP financial measures and the related reconciliations between these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334" w:right="319" w:bottom="1440" w:gutter="0" w:footer="0" w:header="0"/>
        </w:sectPr>
      </w:pPr>
    </w:p>
    <w:bookmarkStart w:id="15" w:name="page16"/>
    <w:bookmarkEnd w:id="15"/>
    <w:p>
      <w:pPr>
        <w:jc w:val="center"/>
        <w:ind w:right="2420"/>
        <w:spacing w:after="0"/>
        <w:rPr>
          <w:sz w:val="20"/>
          <w:szCs w:val="20"/>
          <w:color w:val="auto"/>
        </w:rPr>
      </w:pPr>
      <w:r>
        <w:rPr>
          <w:rFonts w:ascii="Arial" w:cs="Arial" w:eastAsia="Arial" w:hAnsi="Arial"/>
          <w:sz w:val="18"/>
          <w:szCs w:val="18"/>
          <w:b w:val="1"/>
          <w:bCs w:val="1"/>
          <w:color w:val="auto"/>
        </w:rPr>
        <w:t>ITRON, INC.</w:t>
      </w:r>
    </w:p>
    <w:p>
      <w:pPr>
        <w:spacing w:after="0" w:line="36" w:lineRule="exact"/>
        <w:rPr>
          <w:sz w:val="20"/>
          <w:szCs w:val="20"/>
          <w:color w:val="auto"/>
        </w:rPr>
      </w:pPr>
    </w:p>
    <w:p>
      <w:pPr>
        <w:jc w:val="center"/>
        <w:ind w:right="2420"/>
        <w:spacing w:after="0"/>
        <w:rPr>
          <w:sz w:val="20"/>
          <w:szCs w:val="20"/>
          <w:color w:val="auto"/>
        </w:rPr>
      </w:pPr>
      <w:r>
        <w:rPr>
          <w:rFonts w:ascii="Arial" w:cs="Arial" w:eastAsia="Arial" w:hAnsi="Arial"/>
          <w:sz w:val="18"/>
          <w:szCs w:val="18"/>
          <w:b w:val="1"/>
          <w:bCs w:val="1"/>
          <w:color w:val="auto"/>
        </w:rPr>
        <w:t>RECONCILIATIONS OF NON-GAAP FINANCIAL MEASURES</w:t>
      </w:r>
    </w:p>
    <w:p>
      <w:pPr>
        <w:spacing w:after="0" w:line="36" w:lineRule="exact"/>
        <w:rPr>
          <w:sz w:val="20"/>
          <w:szCs w:val="20"/>
          <w:color w:val="auto"/>
        </w:rPr>
      </w:pPr>
    </w:p>
    <w:p>
      <w:pPr>
        <w:jc w:val="center"/>
        <w:ind w:right="2420"/>
        <w:spacing w:after="0"/>
        <w:rPr>
          <w:sz w:val="20"/>
          <w:szCs w:val="20"/>
          <w:color w:val="auto"/>
        </w:rPr>
      </w:pPr>
      <w:r>
        <w:rPr>
          <w:rFonts w:ascii="Arial" w:cs="Arial" w:eastAsia="Arial" w:hAnsi="Arial"/>
          <w:sz w:val="18"/>
          <w:szCs w:val="18"/>
          <w:b w:val="1"/>
          <w:bCs w:val="1"/>
          <w:color w:val="auto"/>
        </w:rPr>
        <w:t>TO THE MOST DIRECTLY COMPARABLE GAAP FINANCIAL MEASURES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(Unaudited, in thousands, except per share data)</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4460" w:type="dxa"/>
            <w:vAlign w:val="bottom"/>
          </w:tcPr>
          <w:p>
            <w:pPr>
              <w:spacing w:after="0"/>
              <w:rPr>
                <w:sz w:val="20"/>
                <w:szCs w:val="20"/>
                <w:color w:val="auto"/>
              </w:rPr>
            </w:pPr>
            <w:r>
              <w:rPr>
                <w:rFonts w:ascii="Arial" w:cs="Arial" w:eastAsia="Arial" w:hAnsi="Arial"/>
                <w:sz w:val="18"/>
                <w:szCs w:val="18"/>
                <w:b w:val="1"/>
                <w:bCs w:val="1"/>
                <w:color w:val="auto"/>
              </w:rPr>
              <w:t>TOTAL COMPANY RECONCILIATIONS</w:t>
            </w:r>
          </w:p>
        </w:tc>
        <w:tc>
          <w:tcPr>
            <w:tcW w:w="4520" w:type="dxa"/>
            <w:vAlign w:val="bottom"/>
            <w:gridSpan w:val="9"/>
          </w:tcPr>
          <w:p>
            <w:pPr>
              <w:jc w:val="right"/>
              <w:spacing w:after="0"/>
              <w:rPr>
                <w:sz w:val="20"/>
                <w:szCs w:val="20"/>
                <w:color w:val="auto"/>
              </w:rPr>
            </w:pPr>
            <w:r>
              <w:rPr>
                <w:rFonts w:ascii="Arial" w:cs="Arial" w:eastAsia="Arial" w:hAnsi="Arial"/>
                <w:sz w:val="18"/>
                <w:szCs w:val="18"/>
                <w:b w:val="1"/>
                <w:bCs w:val="1"/>
                <w:color w:val="auto"/>
                <w:w w:val="91"/>
              </w:rPr>
              <w:t>Three Months Ended June 30, Six Months Ended June 30,</w:t>
            </w:r>
          </w:p>
        </w:tc>
        <w:tc>
          <w:tcPr>
            <w:tcW w:w="0" w:type="dxa"/>
            <w:vAlign w:val="bottom"/>
          </w:tcPr>
          <w:p>
            <w:pPr>
              <w:spacing w:after="0"/>
              <w:rPr>
                <w:sz w:val="1"/>
                <w:szCs w:val="1"/>
                <w:color w:val="auto"/>
              </w:rPr>
            </w:pPr>
          </w:p>
        </w:tc>
      </w:tr>
      <w:tr>
        <w:trPr>
          <w:trHeight w:val="237"/>
        </w:trPr>
        <w:tc>
          <w:tcPr>
            <w:tcW w:w="446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30"/>
        </w:trPr>
        <w:tc>
          <w:tcPr>
            <w:tcW w:w="4460" w:type="dxa"/>
            <w:vAlign w:val="bottom"/>
          </w:tcPr>
          <w:p>
            <w:pPr>
              <w:ind w:left="220"/>
              <w:spacing w:after="0"/>
              <w:rPr>
                <w:sz w:val="20"/>
                <w:szCs w:val="20"/>
                <w:color w:val="auto"/>
              </w:rPr>
            </w:pPr>
            <w:r>
              <w:rPr>
                <w:rFonts w:ascii="Arial" w:cs="Arial" w:eastAsia="Arial" w:hAnsi="Arial"/>
                <w:sz w:val="18"/>
                <w:szCs w:val="18"/>
                <w:b w:val="1"/>
                <w:bCs w:val="1"/>
                <w:color w:val="auto"/>
              </w:rPr>
              <w:t>NON-GAAP NET INCOME &amp; DILUTED EPS</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20"/>
              <w:spacing w:after="0"/>
              <w:rPr>
                <w:sz w:val="20"/>
                <w:szCs w:val="20"/>
                <w:color w:val="auto"/>
              </w:rPr>
            </w:pPr>
            <w:r>
              <w:rPr>
                <w:rFonts w:ascii="Arial" w:cs="Arial" w:eastAsia="Arial" w:hAnsi="Arial"/>
                <w:sz w:val="18"/>
                <w:szCs w:val="18"/>
                <w:color w:val="auto"/>
              </w:rPr>
              <w:t>GAAP income (loss) attributable to Itron, Inc.</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19,446</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2,657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17,539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(143,009)</w:t>
            </w:r>
          </w:p>
        </w:tc>
        <w:tc>
          <w:tcPr>
            <w:tcW w:w="0" w:type="dxa"/>
            <w:vAlign w:val="bottom"/>
          </w:tcPr>
          <w:p>
            <w:pPr>
              <w:spacing w:after="0"/>
              <w:rPr>
                <w:sz w:val="1"/>
                <w:szCs w:val="1"/>
                <w:color w:val="auto"/>
              </w:rPr>
            </w:pPr>
          </w:p>
        </w:tc>
      </w:tr>
      <w:tr>
        <w:trPr>
          <w:trHeight w:val="243"/>
        </w:trPr>
        <w:tc>
          <w:tcPr>
            <w:tcW w:w="4460" w:type="dxa"/>
            <w:vAlign w:val="bottom"/>
          </w:tcPr>
          <w:p>
            <w:pPr>
              <w:ind w:left="62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16,117</w:t>
            </w:r>
          </w:p>
        </w:tc>
        <w:tc>
          <w:tcPr>
            <w:tcW w:w="28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17,999</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32,090</w:t>
            </w: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35,739</w:t>
            </w:r>
          </w:p>
        </w:tc>
        <w:tc>
          <w:tcPr>
            <w:tcW w:w="0" w:type="dxa"/>
            <w:vAlign w:val="bottom"/>
          </w:tcPr>
          <w:p>
            <w:pPr>
              <w:spacing w:after="0"/>
              <w:rPr>
                <w:sz w:val="1"/>
                <w:szCs w:val="1"/>
                <w:color w:val="auto"/>
              </w:rPr>
            </w:pPr>
          </w:p>
        </w:tc>
      </w:tr>
      <w:tr>
        <w:trPr>
          <w:trHeight w:val="243"/>
        </w:trPr>
        <w:tc>
          <w:tcPr>
            <w:tcW w:w="4460" w:type="dxa"/>
            <w:vAlign w:val="bottom"/>
          </w:tcPr>
          <w:p>
            <w:pPr>
              <w:ind w:left="620"/>
              <w:spacing w:after="0"/>
              <w:rPr>
                <w:sz w:val="20"/>
                <w:szCs w:val="20"/>
                <w:color w:val="auto"/>
              </w:rPr>
            </w:pPr>
            <w:r>
              <w:rPr>
                <w:rFonts w:ascii="Arial" w:cs="Arial" w:eastAsia="Arial" w:hAnsi="Arial"/>
                <w:sz w:val="18"/>
                <w:szCs w:val="18"/>
                <w:color w:val="auto"/>
              </w:rPr>
              <w:t>Amortization of debt placement fees</w:t>
            </w:r>
          </w:p>
        </w:tc>
        <w:tc>
          <w:tcPr>
            <w:tcW w:w="2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1,159</w:t>
            </w:r>
          </w:p>
        </w:tc>
        <w:tc>
          <w:tcPr>
            <w:tcW w:w="28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1,172</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2,315</w:t>
            </w: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4,515</w:t>
            </w:r>
          </w:p>
        </w:tc>
        <w:tc>
          <w:tcPr>
            <w:tcW w:w="0" w:type="dxa"/>
            <w:vAlign w:val="bottom"/>
          </w:tcPr>
          <w:p>
            <w:pPr>
              <w:spacing w:after="0"/>
              <w:rPr>
                <w:sz w:val="1"/>
                <w:szCs w:val="1"/>
                <w:color w:val="auto"/>
              </w:rPr>
            </w:pPr>
          </w:p>
        </w:tc>
      </w:tr>
      <w:tr>
        <w:trPr>
          <w:trHeight w:val="243"/>
        </w:trPr>
        <w:tc>
          <w:tcPr>
            <w:tcW w:w="4460" w:type="dxa"/>
            <w:vAlign w:val="bottom"/>
          </w:tcPr>
          <w:p>
            <w:pPr>
              <w:ind w:left="620"/>
              <w:spacing w:after="0"/>
              <w:rPr>
                <w:sz w:val="20"/>
                <w:szCs w:val="20"/>
                <w:color w:val="auto"/>
              </w:rPr>
            </w:pPr>
            <w:r>
              <w:rPr>
                <w:rFonts w:ascii="Arial" w:cs="Arial" w:eastAsia="Arial" w:hAnsi="Arial"/>
                <w:sz w:val="18"/>
                <w:szCs w:val="18"/>
                <w:color w:val="auto"/>
              </w:rPr>
              <w:t>Restructuring</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(6,169)</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(5,623)</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1,093</w:t>
            </w: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82,242</w:t>
            </w:r>
          </w:p>
        </w:tc>
        <w:tc>
          <w:tcPr>
            <w:tcW w:w="0" w:type="dxa"/>
            <w:vAlign w:val="bottom"/>
          </w:tcPr>
          <w:p>
            <w:pPr>
              <w:spacing w:after="0"/>
              <w:rPr>
                <w:sz w:val="1"/>
                <w:szCs w:val="1"/>
                <w:color w:val="auto"/>
              </w:rPr>
            </w:pPr>
          </w:p>
        </w:tc>
      </w:tr>
      <w:tr>
        <w:trPr>
          <w:trHeight w:val="243"/>
        </w:trPr>
        <w:tc>
          <w:tcPr>
            <w:tcW w:w="4460" w:type="dxa"/>
            <w:vAlign w:val="bottom"/>
          </w:tcPr>
          <w:p>
            <w:pPr>
              <w:ind w:left="620"/>
              <w:spacing w:after="0"/>
              <w:rPr>
                <w:sz w:val="20"/>
                <w:szCs w:val="20"/>
                <w:color w:val="auto"/>
              </w:rPr>
            </w:pPr>
            <w:r>
              <w:rPr>
                <w:rFonts w:ascii="Arial" w:cs="Arial" w:eastAsia="Arial" w:hAnsi="Arial"/>
                <w:sz w:val="18"/>
                <w:szCs w:val="18"/>
                <w:color w:val="auto"/>
              </w:rPr>
              <w:t>Corporate transition cost</w:t>
            </w:r>
          </w:p>
        </w:tc>
        <w:tc>
          <w:tcPr>
            <w:tcW w:w="2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473</w:t>
            </w:r>
          </w:p>
        </w:tc>
        <w:tc>
          <w:tcPr>
            <w:tcW w:w="28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1,556</w:t>
            </w: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60" w:type="dxa"/>
            <w:vAlign w:val="bottom"/>
          </w:tcPr>
          <w:p>
            <w:pPr>
              <w:ind w:left="620"/>
              <w:spacing w:after="0"/>
              <w:rPr>
                <w:sz w:val="20"/>
                <w:szCs w:val="20"/>
                <w:color w:val="auto"/>
              </w:rPr>
            </w:pPr>
            <w:r>
              <w:rPr>
                <w:rFonts w:ascii="Arial" w:cs="Arial" w:eastAsia="Arial" w:hAnsi="Arial"/>
                <w:sz w:val="18"/>
                <w:szCs w:val="18"/>
                <w:color w:val="auto"/>
              </w:rPr>
              <w:t>Acquisition and integration related expense</w:t>
            </w:r>
          </w:p>
        </w:tc>
        <w:tc>
          <w:tcPr>
            <w:tcW w:w="2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9,194</w:t>
            </w:r>
          </w:p>
        </w:tc>
        <w:tc>
          <w:tcPr>
            <w:tcW w:w="28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11,148</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20,759</w:t>
            </w: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73,795</w:t>
            </w:r>
          </w:p>
        </w:tc>
        <w:tc>
          <w:tcPr>
            <w:tcW w:w="0" w:type="dxa"/>
            <w:vAlign w:val="bottom"/>
          </w:tcPr>
          <w:p>
            <w:pPr>
              <w:spacing w:after="0"/>
              <w:rPr>
                <w:sz w:val="1"/>
                <w:szCs w:val="1"/>
                <w:color w:val="auto"/>
              </w:rPr>
            </w:pPr>
          </w:p>
        </w:tc>
      </w:tr>
      <w:tr>
        <w:trPr>
          <w:trHeight w:val="257"/>
        </w:trPr>
        <w:tc>
          <w:tcPr>
            <w:tcW w:w="4460" w:type="dxa"/>
            <w:vAlign w:val="bottom"/>
          </w:tcPr>
          <w:p>
            <w:pPr>
              <w:ind w:left="620"/>
              <w:spacing w:after="0" w:line="256" w:lineRule="exact"/>
              <w:rPr>
                <w:sz w:val="20"/>
                <w:szCs w:val="20"/>
                <w:color w:val="auto"/>
              </w:rPr>
            </w:pPr>
            <w:r>
              <w:rPr>
                <w:rFonts w:ascii="Arial" w:cs="Arial" w:eastAsia="Arial" w:hAnsi="Arial"/>
                <w:sz w:val="18"/>
                <w:szCs w:val="18"/>
                <w:color w:val="auto"/>
              </w:rPr>
              <w:t xml:space="preserve">Income tax effect of non-GAAP adjustments </w:t>
            </w:r>
            <w:r>
              <w:rPr>
                <w:rFonts w:ascii="Arial" w:cs="Arial" w:eastAsia="Arial" w:hAnsi="Arial"/>
                <w:sz w:val="29"/>
                <w:szCs w:val="29"/>
                <w:color w:val="auto"/>
                <w:vertAlign w:val="superscript"/>
              </w:rPr>
              <w:t>(1)</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(5,620)</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(6,897)</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(12,862)</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(27,732)</w:t>
            </w:r>
          </w:p>
        </w:tc>
        <w:tc>
          <w:tcPr>
            <w:tcW w:w="0" w:type="dxa"/>
            <w:vAlign w:val="bottom"/>
          </w:tcPr>
          <w:p>
            <w:pPr>
              <w:spacing w:after="0"/>
              <w:rPr>
                <w:sz w:val="1"/>
                <w:szCs w:val="1"/>
                <w:color w:val="auto"/>
              </w:rPr>
            </w:pPr>
          </w:p>
        </w:tc>
      </w:tr>
      <w:tr>
        <w:trPr>
          <w:trHeight w:val="237"/>
        </w:trPr>
        <w:tc>
          <w:tcPr>
            <w:tcW w:w="4460" w:type="dxa"/>
            <w:vAlign w:val="bottom"/>
          </w:tcPr>
          <w:p>
            <w:pPr>
              <w:ind w:left="420"/>
              <w:spacing w:after="0" w:line="236" w:lineRule="exact"/>
              <w:rPr>
                <w:sz w:val="20"/>
                <w:szCs w:val="20"/>
                <w:color w:val="auto"/>
              </w:rPr>
            </w:pPr>
            <w:r>
              <w:rPr>
                <w:rFonts w:ascii="Arial" w:cs="Arial" w:eastAsia="Arial" w:hAnsi="Arial"/>
                <w:sz w:val="17"/>
                <w:szCs w:val="17"/>
                <w:color w:val="auto"/>
              </w:rPr>
              <w:t xml:space="preserve">Non-GAAP net income attributable to Itron, Inc. </w:t>
            </w:r>
            <w:r>
              <w:rPr>
                <w:rFonts w:ascii="Arial" w:cs="Arial" w:eastAsia="Arial" w:hAnsi="Arial"/>
                <w:sz w:val="27"/>
                <w:szCs w:val="27"/>
                <w:color w:val="auto"/>
                <w:vertAlign w:val="superscript"/>
              </w:rPr>
              <w:t>(1)</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34,600</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20,456</w:t>
            </w:r>
          </w:p>
        </w:tc>
        <w:tc>
          <w:tcPr>
            <w:tcW w:w="60" w:type="dxa"/>
            <w:vAlign w:val="bottom"/>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62,490</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25,550</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460" w:type="dxa"/>
            <w:vAlign w:val="bottom"/>
          </w:tcPr>
          <w:p>
            <w:pPr>
              <w:ind w:left="420"/>
              <w:spacing w:after="0"/>
              <w:rPr>
                <w:sz w:val="20"/>
                <w:szCs w:val="20"/>
                <w:color w:val="auto"/>
              </w:rPr>
            </w:pPr>
            <w:r>
              <w:rPr>
                <w:rFonts w:ascii="Arial" w:cs="Arial" w:eastAsia="Arial" w:hAnsi="Arial"/>
                <w:sz w:val="18"/>
                <w:szCs w:val="18"/>
                <w:color w:val="auto"/>
              </w:rPr>
              <w:t xml:space="preserve">Non-GAAP diluted EPS </w:t>
            </w:r>
            <w:r>
              <w:rPr>
                <w:rFonts w:ascii="Arial" w:cs="Arial" w:eastAsia="Arial" w:hAnsi="Arial"/>
                <w:sz w:val="30"/>
                <w:szCs w:val="30"/>
                <w:color w:val="auto"/>
                <w:vertAlign w:val="superscript"/>
              </w:rPr>
              <w:t>(1)</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0.87</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0.51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1.57</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460" w:type="dxa"/>
            <w:vAlign w:val="bottom"/>
          </w:tcPr>
          <w:p>
            <w:pPr>
              <w:ind w:left="420"/>
              <w:spacing w:after="0"/>
              <w:rPr>
                <w:sz w:val="20"/>
                <w:szCs w:val="20"/>
                <w:color w:val="auto"/>
              </w:rPr>
            </w:pPr>
            <w:r>
              <w:rPr>
                <w:rFonts w:ascii="Arial" w:cs="Arial" w:eastAsia="Arial" w:hAnsi="Arial"/>
                <w:sz w:val="18"/>
                <w:szCs w:val="18"/>
                <w:color w:val="auto"/>
                <w:w w:val="89"/>
              </w:rPr>
              <w:t>Weighted average common shares outstanding - Diluted</w:t>
            </w: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39,686</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39,789</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39,875</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39,782</w:t>
            </w:r>
          </w:p>
        </w:tc>
        <w:tc>
          <w:tcPr>
            <w:tcW w:w="0" w:type="dxa"/>
            <w:vAlign w:val="bottom"/>
          </w:tcPr>
          <w:p>
            <w:pPr>
              <w:spacing w:after="0"/>
              <w:rPr>
                <w:sz w:val="1"/>
                <w:szCs w:val="1"/>
                <w:color w:val="auto"/>
              </w:rPr>
            </w:pPr>
          </w:p>
        </w:tc>
      </w:tr>
      <w:tr>
        <w:trPr>
          <w:trHeight w:val="20"/>
        </w:trPr>
        <w:tc>
          <w:tcPr>
            <w:tcW w:w="446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4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20"/>
              <w:spacing w:after="0"/>
              <w:rPr>
                <w:sz w:val="20"/>
                <w:szCs w:val="20"/>
                <w:color w:val="auto"/>
              </w:rPr>
            </w:pPr>
            <w:r>
              <w:rPr>
                <w:rFonts w:ascii="Arial" w:cs="Arial" w:eastAsia="Arial" w:hAnsi="Arial"/>
                <w:sz w:val="18"/>
                <w:szCs w:val="18"/>
                <w:color w:val="auto"/>
              </w:rPr>
              <w:t>GAAP income (loss) attributable to Itron, Inc.</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19,446</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2,657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17,539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(143,009)</w:t>
            </w:r>
          </w:p>
        </w:tc>
        <w:tc>
          <w:tcPr>
            <w:tcW w:w="0" w:type="dxa"/>
            <w:vAlign w:val="bottom"/>
          </w:tcPr>
          <w:p>
            <w:pPr>
              <w:spacing w:after="0"/>
              <w:rPr>
                <w:sz w:val="1"/>
                <w:szCs w:val="1"/>
                <w:color w:val="auto"/>
              </w:rPr>
            </w:pPr>
          </w:p>
        </w:tc>
      </w:tr>
      <w:tr>
        <w:trPr>
          <w:trHeight w:val="243"/>
        </w:trPr>
        <w:tc>
          <w:tcPr>
            <w:tcW w:w="4460" w:type="dxa"/>
            <w:vAlign w:val="bottom"/>
          </w:tcPr>
          <w:p>
            <w:pPr>
              <w:ind w:left="62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(534)</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(633)</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(862)</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43"/>
        </w:trPr>
        <w:tc>
          <w:tcPr>
            <w:tcW w:w="4460" w:type="dxa"/>
            <w:vAlign w:val="bottom"/>
          </w:tcPr>
          <w:p>
            <w:pPr>
              <w:ind w:left="6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13,496</w:t>
            </w:r>
          </w:p>
        </w:tc>
        <w:tc>
          <w:tcPr>
            <w:tcW w:w="28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14,645</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27,031</w:t>
            </w: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30,149</w:t>
            </w:r>
          </w:p>
        </w:tc>
        <w:tc>
          <w:tcPr>
            <w:tcW w:w="0" w:type="dxa"/>
            <w:vAlign w:val="bottom"/>
          </w:tcPr>
          <w:p>
            <w:pPr>
              <w:spacing w:after="0"/>
              <w:rPr>
                <w:sz w:val="1"/>
                <w:szCs w:val="1"/>
                <w:color w:val="auto"/>
              </w:rPr>
            </w:pPr>
          </w:p>
        </w:tc>
      </w:tr>
      <w:tr>
        <w:trPr>
          <w:trHeight w:val="243"/>
        </w:trPr>
        <w:tc>
          <w:tcPr>
            <w:tcW w:w="4460" w:type="dxa"/>
            <w:vAlign w:val="bottom"/>
          </w:tcPr>
          <w:p>
            <w:pPr>
              <w:ind w:left="620"/>
              <w:spacing w:after="0"/>
              <w:rPr>
                <w:sz w:val="20"/>
                <w:szCs w:val="20"/>
                <w:color w:val="auto"/>
              </w:rPr>
            </w:pPr>
            <w:r>
              <w:rPr>
                <w:rFonts w:ascii="Arial" w:cs="Arial" w:eastAsia="Arial" w:hAnsi="Arial"/>
                <w:sz w:val="18"/>
                <w:szCs w:val="18"/>
                <w:color w:val="auto"/>
              </w:rPr>
              <w:t>Income tax provision (benefit)</w:t>
            </w:r>
          </w:p>
        </w:tc>
        <w:tc>
          <w:tcPr>
            <w:tcW w:w="2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8,419</w:t>
            </w:r>
          </w:p>
        </w:tc>
        <w:tc>
          <w:tcPr>
            <w:tcW w:w="28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3,781</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14,540</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(7,407)</w:t>
            </w:r>
          </w:p>
        </w:tc>
        <w:tc>
          <w:tcPr>
            <w:tcW w:w="0" w:type="dxa"/>
            <w:vAlign w:val="bottom"/>
          </w:tcPr>
          <w:p>
            <w:pPr>
              <w:spacing w:after="0"/>
              <w:rPr>
                <w:sz w:val="1"/>
                <w:szCs w:val="1"/>
                <w:color w:val="auto"/>
              </w:rPr>
            </w:pPr>
          </w:p>
        </w:tc>
      </w:tr>
      <w:tr>
        <w:trPr>
          <w:trHeight w:val="243"/>
        </w:trPr>
        <w:tc>
          <w:tcPr>
            <w:tcW w:w="4460" w:type="dxa"/>
            <w:vAlign w:val="bottom"/>
          </w:tcPr>
          <w:p>
            <w:pPr>
              <w:ind w:left="620"/>
              <w:spacing w:after="0"/>
              <w:rPr>
                <w:sz w:val="20"/>
                <w:szCs w:val="20"/>
                <w:color w:val="auto"/>
              </w:rPr>
            </w:pPr>
            <w:r>
              <w:rPr>
                <w:rFonts w:ascii="Arial" w:cs="Arial" w:eastAsia="Arial" w:hAnsi="Arial"/>
                <w:sz w:val="18"/>
                <w:szCs w:val="18"/>
                <w:color w:val="auto"/>
                <w:w w:val="95"/>
              </w:rPr>
              <w:t>Depreciation and amortization of intangible assets</w:t>
            </w:r>
          </w:p>
        </w:tc>
        <w:tc>
          <w:tcPr>
            <w:tcW w:w="2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28,641</w:t>
            </w:r>
          </w:p>
        </w:tc>
        <w:tc>
          <w:tcPr>
            <w:tcW w:w="28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30,907</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57,068</w:t>
            </w: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61,979</w:t>
            </w:r>
          </w:p>
        </w:tc>
        <w:tc>
          <w:tcPr>
            <w:tcW w:w="0" w:type="dxa"/>
            <w:vAlign w:val="bottom"/>
          </w:tcPr>
          <w:p>
            <w:pPr>
              <w:spacing w:after="0"/>
              <w:rPr>
                <w:sz w:val="1"/>
                <w:szCs w:val="1"/>
                <w:color w:val="auto"/>
              </w:rPr>
            </w:pPr>
          </w:p>
        </w:tc>
      </w:tr>
      <w:tr>
        <w:trPr>
          <w:trHeight w:val="243"/>
        </w:trPr>
        <w:tc>
          <w:tcPr>
            <w:tcW w:w="4460" w:type="dxa"/>
            <w:vAlign w:val="bottom"/>
          </w:tcPr>
          <w:p>
            <w:pPr>
              <w:ind w:left="620"/>
              <w:spacing w:after="0"/>
              <w:rPr>
                <w:sz w:val="20"/>
                <w:szCs w:val="20"/>
                <w:color w:val="auto"/>
              </w:rPr>
            </w:pPr>
            <w:r>
              <w:rPr>
                <w:rFonts w:ascii="Arial" w:cs="Arial" w:eastAsia="Arial" w:hAnsi="Arial"/>
                <w:sz w:val="18"/>
                <w:szCs w:val="18"/>
                <w:color w:val="auto"/>
              </w:rPr>
              <w:t>Restructuring</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(6,169)</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(5,623)</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1,093</w:t>
            </w: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82,242</w:t>
            </w:r>
          </w:p>
        </w:tc>
        <w:tc>
          <w:tcPr>
            <w:tcW w:w="0" w:type="dxa"/>
            <w:vAlign w:val="bottom"/>
          </w:tcPr>
          <w:p>
            <w:pPr>
              <w:spacing w:after="0"/>
              <w:rPr>
                <w:sz w:val="1"/>
                <w:szCs w:val="1"/>
                <w:color w:val="auto"/>
              </w:rPr>
            </w:pPr>
          </w:p>
        </w:tc>
      </w:tr>
      <w:tr>
        <w:trPr>
          <w:trHeight w:val="243"/>
        </w:trPr>
        <w:tc>
          <w:tcPr>
            <w:tcW w:w="4460" w:type="dxa"/>
            <w:vAlign w:val="bottom"/>
          </w:tcPr>
          <w:p>
            <w:pPr>
              <w:ind w:left="620"/>
              <w:spacing w:after="0"/>
              <w:rPr>
                <w:sz w:val="20"/>
                <w:szCs w:val="20"/>
                <w:color w:val="auto"/>
              </w:rPr>
            </w:pPr>
            <w:r>
              <w:rPr>
                <w:rFonts w:ascii="Arial" w:cs="Arial" w:eastAsia="Arial" w:hAnsi="Arial"/>
                <w:sz w:val="18"/>
                <w:szCs w:val="18"/>
                <w:color w:val="auto"/>
              </w:rPr>
              <w:t>Corporate transition cost</w:t>
            </w:r>
          </w:p>
        </w:tc>
        <w:tc>
          <w:tcPr>
            <w:tcW w:w="2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473</w:t>
            </w:r>
          </w:p>
        </w:tc>
        <w:tc>
          <w:tcPr>
            <w:tcW w:w="28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1,556</w:t>
            </w: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460" w:type="dxa"/>
            <w:vAlign w:val="bottom"/>
          </w:tcPr>
          <w:p>
            <w:pPr>
              <w:ind w:left="620"/>
              <w:spacing w:after="0"/>
              <w:rPr>
                <w:sz w:val="20"/>
                <w:szCs w:val="20"/>
                <w:color w:val="auto"/>
              </w:rPr>
            </w:pPr>
            <w:r>
              <w:rPr>
                <w:rFonts w:ascii="Arial" w:cs="Arial" w:eastAsia="Arial" w:hAnsi="Arial"/>
                <w:sz w:val="18"/>
                <w:szCs w:val="18"/>
                <w:color w:val="auto"/>
              </w:rPr>
              <w:t>Acquisition and integration related expense</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9,194</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11,148</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20,759</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73,795</w:t>
            </w:r>
          </w:p>
        </w:tc>
        <w:tc>
          <w:tcPr>
            <w:tcW w:w="0" w:type="dxa"/>
            <w:vAlign w:val="bottom"/>
          </w:tcPr>
          <w:p>
            <w:pPr>
              <w:spacing w:after="0"/>
              <w:rPr>
                <w:sz w:val="1"/>
                <w:szCs w:val="1"/>
                <w:color w:val="auto"/>
              </w:rPr>
            </w:pPr>
          </w:p>
        </w:tc>
      </w:tr>
      <w:tr>
        <w:trPr>
          <w:trHeight w:val="237"/>
        </w:trPr>
        <w:tc>
          <w:tcPr>
            <w:tcW w:w="4460" w:type="dxa"/>
            <w:vAlign w:val="bottom"/>
          </w:tcPr>
          <w:p>
            <w:pPr>
              <w:ind w:left="42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72,966</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56,882</w:t>
            </w:r>
          </w:p>
        </w:tc>
        <w:tc>
          <w:tcPr>
            <w:tcW w:w="60" w:type="dxa"/>
            <w:vAlign w:val="bottom"/>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138,724</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96,455</w:t>
            </w:r>
          </w:p>
        </w:tc>
        <w:tc>
          <w:tcPr>
            <w:tcW w:w="0" w:type="dxa"/>
            <w:vAlign w:val="bottom"/>
          </w:tcPr>
          <w:p>
            <w:pPr>
              <w:spacing w:after="0"/>
              <w:rPr>
                <w:sz w:val="1"/>
                <w:szCs w:val="1"/>
                <w:color w:val="auto"/>
              </w:rPr>
            </w:pPr>
          </w:p>
        </w:tc>
      </w:tr>
      <w:tr>
        <w:trPr>
          <w:trHeight w:val="20"/>
        </w:trPr>
        <w:tc>
          <w:tcPr>
            <w:tcW w:w="446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FREE CASH FLOW</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4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6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53,139</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41,327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78,063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16,879</w:t>
            </w:r>
          </w:p>
        </w:tc>
        <w:tc>
          <w:tcPr>
            <w:tcW w:w="0" w:type="dxa"/>
            <w:vAlign w:val="bottom"/>
          </w:tcPr>
          <w:p>
            <w:pPr>
              <w:spacing w:after="0"/>
              <w:rPr>
                <w:sz w:val="1"/>
                <w:szCs w:val="1"/>
                <w:color w:val="auto"/>
              </w:rPr>
            </w:pPr>
          </w:p>
        </w:tc>
      </w:tr>
      <w:tr>
        <w:trPr>
          <w:trHeight w:val="257"/>
        </w:trPr>
        <w:tc>
          <w:tcPr>
            <w:tcW w:w="4460" w:type="dxa"/>
            <w:vAlign w:val="bottom"/>
          </w:tcPr>
          <w:p>
            <w:pPr>
              <w:ind w:left="620"/>
              <w:spacing w:after="0"/>
              <w:rPr>
                <w:sz w:val="20"/>
                <w:szCs w:val="20"/>
                <w:color w:val="auto"/>
              </w:rPr>
            </w:pPr>
            <w:r>
              <w:rPr>
                <w:rFonts w:ascii="Arial" w:cs="Arial" w:eastAsia="Arial" w:hAnsi="Arial"/>
                <w:sz w:val="18"/>
                <w:szCs w:val="18"/>
                <w:color w:val="auto"/>
              </w:rPr>
              <w:t>Acquisitions of property, plant, and equipment</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(15,096)</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(11,876)</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(26,511)</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(29,309)</w:t>
            </w:r>
          </w:p>
        </w:tc>
        <w:tc>
          <w:tcPr>
            <w:tcW w:w="0" w:type="dxa"/>
            <w:vAlign w:val="bottom"/>
          </w:tcPr>
          <w:p>
            <w:pPr>
              <w:spacing w:after="0"/>
              <w:rPr>
                <w:sz w:val="1"/>
                <w:szCs w:val="1"/>
                <w:color w:val="auto"/>
              </w:rPr>
            </w:pPr>
          </w:p>
        </w:tc>
      </w:tr>
      <w:tr>
        <w:trPr>
          <w:trHeight w:val="237"/>
        </w:trPr>
        <w:tc>
          <w:tcPr>
            <w:tcW w:w="4460" w:type="dxa"/>
            <w:vAlign w:val="bottom"/>
          </w:tcPr>
          <w:p>
            <w:pPr>
              <w:ind w:left="420"/>
              <w:spacing w:after="0"/>
              <w:rPr>
                <w:sz w:val="20"/>
                <w:szCs w:val="20"/>
                <w:color w:val="auto"/>
              </w:rPr>
            </w:pPr>
            <w:r>
              <w:rPr>
                <w:rFonts w:ascii="Arial" w:cs="Arial" w:eastAsia="Arial" w:hAnsi="Arial"/>
                <w:sz w:val="18"/>
                <w:szCs w:val="18"/>
                <w:color w:val="auto"/>
              </w:rPr>
              <w:t>Free Cash Flow</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38,043</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29,451</w:t>
            </w:r>
          </w:p>
        </w:tc>
        <w:tc>
          <w:tcPr>
            <w:tcW w:w="60" w:type="dxa"/>
            <w:vAlign w:val="bottom"/>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51,552</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(12,430)</w:t>
            </w:r>
          </w:p>
        </w:tc>
        <w:tc>
          <w:tcPr>
            <w:tcW w:w="0" w:type="dxa"/>
            <w:vAlign w:val="bottom"/>
          </w:tcPr>
          <w:p>
            <w:pPr>
              <w:spacing w:after="0"/>
              <w:rPr>
                <w:sz w:val="1"/>
                <w:szCs w:val="1"/>
                <w:color w:val="auto"/>
              </w:rPr>
            </w:pPr>
          </w:p>
        </w:tc>
      </w:tr>
      <w:tr>
        <w:trPr>
          <w:trHeight w:val="20"/>
        </w:trPr>
        <w:tc>
          <w:tcPr>
            <w:tcW w:w="446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NON-GAAP OPERATING INCOME</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4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20"/>
              <w:spacing w:after="0"/>
              <w:rPr>
                <w:sz w:val="20"/>
                <w:szCs w:val="20"/>
                <w:color w:val="auto"/>
              </w:rPr>
            </w:pPr>
            <w:r>
              <w:rPr>
                <w:rFonts w:ascii="Arial" w:cs="Arial" w:eastAsia="Arial" w:hAnsi="Arial"/>
                <w:sz w:val="18"/>
                <w:szCs w:val="18"/>
                <w:color w:val="auto"/>
              </w:rPr>
              <w:t>GAAP operating income (loss)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43,558</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20,563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64,381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(119,885)</w:t>
            </w:r>
          </w:p>
        </w:tc>
        <w:tc>
          <w:tcPr>
            <w:tcW w:w="0" w:type="dxa"/>
            <w:vAlign w:val="bottom"/>
          </w:tcPr>
          <w:p>
            <w:pPr>
              <w:spacing w:after="0"/>
              <w:rPr>
                <w:sz w:val="1"/>
                <w:szCs w:val="1"/>
                <w:color w:val="auto"/>
              </w:rPr>
            </w:pPr>
          </w:p>
        </w:tc>
      </w:tr>
      <w:tr>
        <w:trPr>
          <w:trHeight w:val="243"/>
        </w:trPr>
        <w:tc>
          <w:tcPr>
            <w:tcW w:w="4460" w:type="dxa"/>
            <w:vAlign w:val="bottom"/>
          </w:tcPr>
          <w:p>
            <w:pPr>
              <w:ind w:left="62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16,117</w:t>
            </w:r>
          </w:p>
        </w:tc>
        <w:tc>
          <w:tcPr>
            <w:tcW w:w="28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17,999</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32,090</w:t>
            </w: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35,739</w:t>
            </w:r>
          </w:p>
        </w:tc>
        <w:tc>
          <w:tcPr>
            <w:tcW w:w="0" w:type="dxa"/>
            <w:vAlign w:val="bottom"/>
          </w:tcPr>
          <w:p>
            <w:pPr>
              <w:spacing w:after="0"/>
              <w:rPr>
                <w:sz w:val="1"/>
                <w:szCs w:val="1"/>
                <w:color w:val="auto"/>
              </w:rPr>
            </w:pPr>
          </w:p>
        </w:tc>
      </w:tr>
      <w:tr>
        <w:trPr>
          <w:trHeight w:val="243"/>
        </w:trPr>
        <w:tc>
          <w:tcPr>
            <w:tcW w:w="4460" w:type="dxa"/>
            <w:vAlign w:val="bottom"/>
          </w:tcPr>
          <w:p>
            <w:pPr>
              <w:ind w:left="620"/>
              <w:spacing w:after="0"/>
              <w:rPr>
                <w:sz w:val="20"/>
                <w:szCs w:val="20"/>
                <w:color w:val="auto"/>
              </w:rPr>
            </w:pPr>
            <w:r>
              <w:rPr>
                <w:rFonts w:ascii="Arial" w:cs="Arial" w:eastAsia="Arial" w:hAnsi="Arial"/>
                <w:sz w:val="18"/>
                <w:szCs w:val="18"/>
                <w:color w:val="auto"/>
              </w:rPr>
              <w:t>Restructuring</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(6,169)</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(5,623)</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1,093</w:t>
            </w: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82,242</w:t>
            </w:r>
          </w:p>
        </w:tc>
        <w:tc>
          <w:tcPr>
            <w:tcW w:w="0" w:type="dxa"/>
            <w:vAlign w:val="bottom"/>
          </w:tcPr>
          <w:p>
            <w:pPr>
              <w:spacing w:after="0"/>
              <w:rPr>
                <w:sz w:val="1"/>
                <w:szCs w:val="1"/>
                <w:color w:val="auto"/>
              </w:rPr>
            </w:pPr>
          </w:p>
        </w:tc>
      </w:tr>
      <w:tr>
        <w:trPr>
          <w:trHeight w:val="243"/>
        </w:trPr>
        <w:tc>
          <w:tcPr>
            <w:tcW w:w="4460" w:type="dxa"/>
            <w:vAlign w:val="bottom"/>
          </w:tcPr>
          <w:p>
            <w:pPr>
              <w:ind w:left="620"/>
              <w:spacing w:after="0"/>
              <w:rPr>
                <w:sz w:val="20"/>
                <w:szCs w:val="20"/>
                <w:color w:val="auto"/>
              </w:rPr>
            </w:pPr>
            <w:r>
              <w:rPr>
                <w:rFonts w:ascii="Arial" w:cs="Arial" w:eastAsia="Arial" w:hAnsi="Arial"/>
                <w:sz w:val="18"/>
                <w:szCs w:val="18"/>
                <w:color w:val="auto"/>
              </w:rPr>
              <w:t>Corporate transition cost</w:t>
            </w:r>
          </w:p>
        </w:tc>
        <w:tc>
          <w:tcPr>
            <w:tcW w:w="2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473</w:t>
            </w:r>
          </w:p>
        </w:tc>
        <w:tc>
          <w:tcPr>
            <w:tcW w:w="28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1,556</w:t>
            </w: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460" w:type="dxa"/>
            <w:vAlign w:val="bottom"/>
          </w:tcPr>
          <w:p>
            <w:pPr>
              <w:ind w:left="620"/>
              <w:spacing w:after="0"/>
              <w:rPr>
                <w:sz w:val="20"/>
                <w:szCs w:val="20"/>
                <w:color w:val="auto"/>
              </w:rPr>
            </w:pPr>
            <w:r>
              <w:rPr>
                <w:rFonts w:ascii="Arial" w:cs="Arial" w:eastAsia="Arial" w:hAnsi="Arial"/>
                <w:sz w:val="18"/>
                <w:szCs w:val="18"/>
                <w:color w:val="auto"/>
              </w:rPr>
              <w:t>Acquisition and integration related expense</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9,194</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11,148</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20,759</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73,795</w:t>
            </w:r>
          </w:p>
        </w:tc>
        <w:tc>
          <w:tcPr>
            <w:tcW w:w="0" w:type="dxa"/>
            <w:vAlign w:val="bottom"/>
          </w:tcPr>
          <w:p>
            <w:pPr>
              <w:spacing w:after="0"/>
              <w:rPr>
                <w:sz w:val="1"/>
                <w:szCs w:val="1"/>
                <w:color w:val="auto"/>
              </w:rPr>
            </w:pPr>
          </w:p>
        </w:tc>
      </w:tr>
      <w:tr>
        <w:trPr>
          <w:trHeight w:val="237"/>
        </w:trPr>
        <w:tc>
          <w:tcPr>
            <w:tcW w:w="4460" w:type="dxa"/>
            <w:vAlign w:val="bottom"/>
          </w:tcPr>
          <w:p>
            <w:pPr>
              <w:ind w:left="420"/>
              <w:spacing w:after="0"/>
              <w:rPr>
                <w:sz w:val="20"/>
                <w:szCs w:val="20"/>
                <w:color w:val="auto"/>
              </w:rPr>
            </w:pPr>
            <w:r>
              <w:rPr>
                <w:rFonts w:ascii="Arial" w:cs="Arial" w:eastAsia="Arial" w:hAnsi="Arial"/>
                <w:sz w:val="18"/>
                <w:szCs w:val="18"/>
                <w:color w:val="auto"/>
              </w:rPr>
              <w:t>Non-GAAP operating income</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63,173</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44,087</w:t>
            </w:r>
          </w:p>
        </w:tc>
        <w:tc>
          <w:tcPr>
            <w:tcW w:w="60" w:type="dxa"/>
            <w:vAlign w:val="bottom"/>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119,879</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71,891</w:t>
            </w:r>
          </w:p>
        </w:tc>
        <w:tc>
          <w:tcPr>
            <w:tcW w:w="0" w:type="dxa"/>
            <w:vAlign w:val="bottom"/>
          </w:tcPr>
          <w:p>
            <w:pPr>
              <w:spacing w:after="0"/>
              <w:rPr>
                <w:sz w:val="1"/>
                <w:szCs w:val="1"/>
                <w:color w:val="auto"/>
              </w:rPr>
            </w:pPr>
          </w:p>
        </w:tc>
      </w:tr>
      <w:tr>
        <w:trPr>
          <w:trHeight w:val="20"/>
        </w:trPr>
        <w:tc>
          <w:tcPr>
            <w:tcW w:w="446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NON-GAAP OPERATING EXPENSES</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4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20"/>
              <w:spacing w:after="0"/>
              <w:rPr>
                <w:sz w:val="20"/>
                <w:szCs w:val="20"/>
                <w:color w:val="auto"/>
              </w:rPr>
            </w:pPr>
            <w:r>
              <w:rPr>
                <w:rFonts w:ascii="Arial" w:cs="Arial" w:eastAsia="Arial" w:hAnsi="Arial"/>
                <w:sz w:val="18"/>
                <w:szCs w:val="18"/>
                <w:color w:val="auto"/>
              </w:rPr>
              <w:t>GAAP operating expenses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147,656</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156,014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314,096</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476,317</w:t>
            </w:r>
          </w:p>
        </w:tc>
        <w:tc>
          <w:tcPr>
            <w:tcW w:w="0" w:type="dxa"/>
            <w:vAlign w:val="bottom"/>
          </w:tcPr>
          <w:p>
            <w:pPr>
              <w:spacing w:after="0"/>
              <w:rPr>
                <w:sz w:val="1"/>
                <w:szCs w:val="1"/>
                <w:color w:val="auto"/>
              </w:rPr>
            </w:pPr>
          </w:p>
        </w:tc>
      </w:tr>
      <w:tr>
        <w:trPr>
          <w:trHeight w:val="243"/>
        </w:trPr>
        <w:tc>
          <w:tcPr>
            <w:tcW w:w="4460" w:type="dxa"/>
            <w:vAlign w:val="bottom"/>
          </w:tcPr>
          <w:p>
            <w:pPr>
              <w:ind w:left="62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(16,117)</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(17,999)</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(32,090)</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(35,739)</w:t>
            </w:r>
          </w:p>
        </w:tc>
        <w:tc>
          <w:tcPr>
            <w:tcW w:w="0" w:type="dxa"/>
            <w:vAlign w:val="bottom"/>
          </w:tcPr>
          <w:p>
            <w:pPr>
              <w:spacing w:after="0"/>
              <w:rPr>
                <w:sz w:val="1"/>
                <w:szCs w:val="1"/>
                <w:color w:val="auto"/>
              </w:rPr>
            </w:pPr>
          </w:p>
        </w:tc>
      </w:tr>
      <w:tr>
        <w:trPr>
          <w:trHeight w:val="243"/>
        </w:trPr>
        <w:tc>
          <w:tcPr>
            <w:tcW w:w="4460" w:type="dxa"/>
            <w:vAlign w:val="bottom"/>
          </w:tcPr>
          <w:p>
            <w:pPr>
              <w:ind w:left="620"/>
              <w:spacing w:after="0"/>
              <w:rPr>
                <w:sz w:val="20"/>
                <w:szCs w:val="20"/>
                <w:color w:val="auto"/>
              </w:rPr>
            </w:pPr>
            <w:r>
              <w:rPr>
                <w:rFonts w:ascii="Arial" w:cs="Arial" w:eastAsia="Arial" w:hAnsi="Arial"/>
                <w:sz w:val="18"/>
                <w:szCs w:val="18"/>
                <w:color w:val="auto"/>
              </w:rPr>
              <w:t>Restructuring</w:t>
            </w:r>
          </w:p>
        </w:tc>
        <w:tc>
          <w:tcPr>
            <w:tcW w:w="2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6,169</w:t>
            </w:r>
          </w:p>
        </w:tc>
        <w:tc>
          <w:tcPr>
            <w:tcW w:w="28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5,623</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(1,093)</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(82,242)</w:t>
            </w:r>
          </w:p>
        </w:tc>
        <w:tc>
          <w:tcPr>
            <w:tcW w:w="0" w:type="dxa"/>
            <w:vAlign w:val="bottom"/>
          </w:tcPr>
          <w:p>
            <w:pPr>
              <w:spacing w:after="0"/>
              <w:rPr>
                <w:sz w:val="1"/>
                <w:szCs w:val="1"/>
                <w:color w:val="auto"/>
              </w:rPr>
            </w:pPr>
          </w:p>
        </w:tc>
      </w:tr>
      <w:tr>
        <w:trPr>
          <w:trHeight w:val="243"/>
        </w:trPr>
        <w:tc>
          <w:tcPr>
            <w:tcW w:w="4460" w:type="dxa"/>
            <w:vAlign w:val="bottom"/>
          </w:tcPr>
          <w:p>
            <w:pPr>
              <w:ind w:left="620"/>
              <w:spacing w:after="0"/>
              <w:rPr>
                <w:sz w:val="20"/>
                <w:szCs w:val="20"/>
                <w:color w:val="auto"/>
              </w:rPr>
            </w:pPr>
            <w:r>
              <w:rPr>
                <w:rFonts w:ascii="Arial" w:cs="Arial" w:eastAsia="Arial" w:hAnsi="Arial"/>
                <w:sz w:val="18"/>
                <w:szCs w:val="18"/>
                <w:color w:val="auto"/>
              </w:rPr>
              <w:t>Corporate transition cost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(473)</w:t>
            </w:r>
          </w:p>
        </w:tc>
        <w:tc>
          <w:tcPr>
            <w:tcW w:w="28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(1,556)</w:t>
            </w: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460" w:type="dxa"/>
            <w:vAlign w:val="bottom"/>
          </w:tcPr>
          <w:p>
            <w:pPr>
              <w:ind w:left="620"/>
              <w:spacing w:after="0"/>
              <w:rPr>
                <w:sz w:val="20"/>
                <w:szCs w:val="20"/>
                <w:color w:val="auto"/>
              </w:rPr>
            </w:pPr>
            <w:r>
              <w:rPr>
                <w:rFonts w:ascii="Arial" w:cs="Arial" w:eastAsia="Arial" w:hAnsi="Arial"/>
                <w:sz w:val="18"/>
                <w:szCs w:val="18"/>
                <w:color w:val="auto"/>
              </w:rPr>
              <w:t>Acquisition and integration related expense</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(9,194)</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(11,148)</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(20,759)</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(73,795)</w:t>
            </w:r>
          </w:p>
        </w:tc>
        <w:tc>
          <w:tcPr>
            <w:tcW w:w="0" w:type="dxa"/>
            <w:vAlign w:val="bottom"/>
          </w:tcPr>
          <w:p>
            <w:pPr>
              <w:spacing w:after="0"/>
              <w:rPr>
                <w:sz w:val="1"/>
                <w:szCs w:val="1"/>
                <w:color w:val="auto"/>
              </w:rPr>
            </w:pPr>
          </w:p>
        </w:tc>
      </w:tr>
      <w:tr>
        <w:trPr>
          <w:trHeight w:val="237"/>
        </w:trPr>
        <w:tc>
          <w:tcPr>
            <w:tcW w:w="4460" w:type="dxa"/>
            <w:vAlign w:val="bottom"/>
          </w:tcPr>
          <w:p>
            <w:pPr>
              <w:ind w:left="420"/>
              <w:spacing w:after="0"/>
              <w:rPr>
                <w:sz w:val="20"/>
                <w:szCs w:val="20"/>
                <w:color w:val="auto"/>
              </w:rPr>
            </w:pPr>
            <w:r>
              <w:rPr>
                <w:rFonts w:ascii="Arial" w:cs="Arial" w:eastAsia="Arial" w:hAnsi="Arial"/>
                <w:sz w:val="18"/>
                <w:szCs w:val="18"/>
                <w:color w:val="auto"/>
              </w:rPr>
              <w:t>Non-GAAP operating expenses</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128,041</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132,490</w:t>
            </w:r>
          </w:p>
        </w:tc>
        <w:tc>
          <w:tcPr>
            <w:tcW w:w="60" w:type="dxa"/>
            <w:vAlign w:val="bottom"/>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258,598</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284,541</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300" w:hanging="286"/>
        <w:spacing w:after="0" w:line="271"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income tax effect of non-GAAP adjustments is calculated using the statutory tax rates for the relevant jurisdictions, provided no valuation allowance exists. If a valuation allowance exists, there is no tax impact to the non-GAAP adjustment. Effective for the first quarter of 2019, we use the budgeted annual effective tax rate (AETR) for interim periods, with adjustments for discrete items, as defined in ASC 740 - Income Taxes. This method impacts interim periods only and does not impact full year tax results, as any difference between the budgeted or revised AETR and the actual AETR for non-GAAP adjustments would be recognized in the fourth quarter of the year. If the revised methodology had been applied in the second quarter of 2018, non-GAAP net income would have increased by $1.7 million to $22.2 million, and diluted non-GAAP EPS would have increased by $0.05 to $0.56. If the methodology had been applied in the six months ended of 2018. non-GAAP net income would have increased by $5.8 million to $31.3 million, and diluted non-GAAP EPS would have increased by $0.15 to $0.79.</w:t>
      </w:r>
    </w:p>
    <w:p>
      <w:pPr>
        <w:sectPr>
          <w:pgSz w:w="11900" w:h="16838" w:orient="portrait"/>
          <w:cols w:equalWidth="0" w:num="1">
            <w:col w:w="11400"/>
          </w:cols>
          <w:pgMar w:left="240" w:top="135" w:right="259" w:bottom="7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p>
    <w:p>
      <w:pPr>
        <w:sectPr>
          <w:pgSz w:w="11900" w:h="16838" w:orient="portrait"/>
          <w:cols w:equalWidth="0" w:num="1">
            <w:col w:w="11400"/>
          </w:cols>
          <w:pgMar w:left="240" w:top="135" w:right="259" w:bottom="76" w:gutter="0" w:footer="0" w:header="0"/>
          <w:type w:val="continuous"/>
        </w:sectPr>
      </w:pPr>
    </w:p>
    <w:bookmarkStart w:id="16" w:name="page17"/>
    <w:bookmarkEnd w:id="16"/>
    <w:p>
      <w:pPr>
        <w:spacing w:after="0"/>
        <w:rPr>
          <w:sz w:val="20"/>
          <w:szCs w:val="20"/>
          <w:color w:val="auto"/>
        </w:rPr>
      </w:pPr>
      <w:r>
        <w:rPr>
          <w:rFonts w:ascii="Arial" w:cs="Arial" w:eastAsia="Arial" w:hAnsi="Arial"/>
          <w:sz w:val="22"/>
          <w:szCs w:val="22"/>
          <w:b w:val="1"/>
          <w:bCs w:val="1"/>
          <w:color w:val="auto"/>
        </w:rPr>
        <w:t>Itron, Inc.</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color w:val="auto"/>
        </w:rPr>
        <w:t>Kenneth P. Gianella</w:t>
      </w:r>
    </w:p>
    <w:p>
      <w:pPr>
        <w:spacing w:after="0"/>
        <w:rPr>
          <w:sz w:val="20"/>
          <w:szCs w:val="20"/>
          <w:color w:val="auto"/>
        </w:rPr>
      </w:pPr>
      <w:r>
        <w:rPr>
          <w:rFonts w:ascii="Arial" w:cs="Arial" w:eastAsia="Arial" w:hAnsi="Arial"/>
          <w:sz w:val="19"/>
          <w:szCs w:val="19"/>
          <w:color w:val="auto"/>
        </w:rPr>
        <w:t>Vice President, Investor Relations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(669) 770-4643</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Rebecca Hussey</w:t>
      </w:r>
    </w:p>
    <w:p>
      <w:pPr>
        <w:spacing w:after="0" w:line="238" w:lineRule="auto"/>
        <w:rPr>
          <w:sz w:val="20"/>
          <w:szCs w:val="20"/>
          <w:color w:val="auto"/>
        </w:rPr>
      </w:pPr>
      <w:r>
        <w:rPr>
          <w:rFonts w:ascii="Arial" w:cs="Arial" w:eastAsia="Arial" w:hAnsi="Arial"/>
          <w:sz w:val="22"/>
          <w:szCs w:val="22"/>
          <w:color w:val="auto"/>
        </w:rPr>
        <w:t>Manager, Investor Relations</w:t>
      </w:r>
    </w:p>
    <w:p>
      <w:pPr>
        <w:spacing w:after="0"/>
        <w:rPr>
          <w:sz w:val="20"/>
          <w:szCs w:val="20"/>
          <w:color w:val="auto"/>
        </w:rPr>
      </w:pPr>
      <w:r>
        <w:rPr>
          <w:rFonts w:ascii="Arial" w:cs="Arial" w:eastAsia="Arial" w:hAnsi="Arial"/>
          <w:sz w:val="22"/>
          <w:szCs w:val="22"/>
          <w:color w:val="auto"/>
        </w:rPr>
        <w:t>(509) 891-3574</w:t>
      </w:r>
    </w:p>
    <w:sectPr>
      <w:pgSz w:w="11900" w:h="16838" w:orient="portrait"/>
      <w:cols w:equalWidth="0" w:num="1">
        <w:col w:w="10219"/>
      </w:cols>
      <w:pgMar w:left="2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emdash "/>
      <w:numFmt w:val="bullet"/>
      <w:start w:val="1"/>
    </w:lvl>
  </w:abstractNum>
  <w:abstractNum w:abstractNumId="3">
    <w:nsid w:val="46E87CCD"/>
    <w:multiLevelType w:val="hybridMultilevel"/>
    <w:lvl w:ilvl="0">
      <w:lvlJc w:val="left"/>
      <w:lvlText w:val="(%1)"/>
      <w:numFmt w:val="decimal"/>
      <w:start w:val="175"/>
    </w:lvl>
  </w:abstractNum>
  <w:abstractNum w:abstractNumId="4">
    <w:nsid w:val="3D1B58BA"/>
    <w:multiLevelType w:val="hybridMultilevel"/>
    <w:lvl w:ilvl="0">
      <w:lvlJc w:val="left"/>
      <w:lvlText w:val="%1"/>
      <w:numFmt w:val="decimal"/>
      <w:start w:val="727"/>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2019-12-28T08:31:46Z</dcterms:created>
  <dcterms:modified xsi:type="dcterms:W3CDTF">2019-12-28T08:31:46Z</dcterms:modified>
</cp:coreProperties>
</file>