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6, 2006</w:t>
      </w:r>
    </w:p>
    <w:p>
      <w:pPr>
        <w:spacing w:after="0" w:line="171" w:lineRule="exact"/>
        <w:rPr>
          <w:sz w:val="24"/>
          <w:szCs w:val="24"/>
          <w:color w:val="auto"/>
        </w:rPr>
      </w:pPr>
    </w:p>
    <w:p>
      <w:pPr>
        <w:ind w:left="894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199390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215900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ITRON,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75"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56" w:lineRule="exact"/>
        <w:rPr>
          <w:sz w:val="24"/>
          <w:szCs w:val="24"/>
          <w:color w:val="auto"/>
        </w:rPr>
      </w:pPr>
    </w:p>
    <w:p>
      <w:pPr>
        <w:sectPr>
          <w:pgSz w:w="11900" w:h="16838" w:orient="portrait"/>
          <w:cols w:equalWidth="0" w:num="2">
            <w:col w:w="7540" w:space="720"/>
            <w:col w:w="3160"/>
          </w:cols>
          <w:pgMar w:left="240" w:top="233" w:right="239" w:bottom="1440" w:gutter="0" w:footer="0" w:header="0"/>
          <w:type w:val="continuous"/>
        </w:sectPr>
      </w:pPr>
    </w:p>
    <w:p>
      <w:pPr>
        <w:ind w:left="11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2">
            <w:col w:w="6940" w:space="720"/>
            <w:col w:w="376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2818 N. Sullivan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Spokane Valley, Washington 99216-1897</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ectPr>
          <w:pgSz w:w="11900" w:h="16838" w:orient="portrait"/>
          <w:cols w:equalWidth="0" w:num="1">
            <w:col w:w="11420"/>
          </w:cols>
          <w:pgMar w:left="240" w:top="233" w:right="23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AMENDED AND RESTATED 2000 STOCK INCENTIVE PLAN</w:t>
      </w: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2818 N. Sullivan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Spokane Valley, Washington 99216-1897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Copy 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Bor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Perkins Coie LLP</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1201 Third Avenue, Suite 4800</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Seattle, Washington 98101-3099</w:t>
      </w:r>
    </w:p>
    <w:p>
      <w:pPr>
        <w:spacing w:after="0" w:line="9" w:lineRule="exact"/>
        <w:rPr>
          <w:sz w:val="24"/>
          <w:szCs w:val="24"/>
          <w:color w:val="auto"/>
        </w:rPr>
      </w:pPr>
    </w:p>
    <w:p>
      <w:pPr>
        <w:ind w:left="5580" w:hanging="415"/>
        <w:spacing w:after="0"/>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359-8000</w:t>
      </w:r>
    </w:p>
    <w:p>
      <w:pPr>
        <w:spacing w:after="0" w:line="384" w:lineRule="exact"/>
        <w:rPr>
          <w:rFonts w:ascii="Arial" w:cs="Arial" w:eastAsia="Arial" w:hAnsi="Arial"/>
          <w:sz w:val="16"/>
          <w:szCs w:val="16"/>
          <w:b w:val="1"/>
          <w:bCs w:val="1"/>
          <w:color w:val="auto"/>
        </w:rPr>
      </w:pPr>
    </w:p>
    <w:p>
      <w:pPr>
        <w:ind w:left="402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-233045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10" w:type="dxa"/>
        <w:tblCellMar>
          <w:top w:w="0" w:type="dxa"/>
          <w:left w:w="0" w:type="dxa"/>
          <w:bottom w:w="0" w:type="dxa"/>
          <w:right w:w="0" w:type="dxa"/>
        </w:tblCellMar>
      </w:tblPr>
      <w:tr>
        <w:trPr>
          <w:trHeight w:val="153"/>
        </w:trPr>
        <w:tc>
          <w:tcPr>
            <w:tcW w:w="5640" w:type="dxa"/>
            <w:vAlign w:val="bottom"/>
            <w:tcBorders>
              <w:top w:val="single" w:sz="8" w:color="auto"/>
              <w:left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1600" w:type="dxa"/>
            <w:vAlign w:val="bottom"/>
            <w:tcBorders>
              <w:top w:val="single" w:sz="8" w:color="auto"/>
              <w:right w:val="single" w:sz="8" w:color="auto"/>
            </w:tcBorders>
          </w:tcPr>
          <w:p>
            <w:pPr>
              <w:jc w:val="center"/>
              <w:ind w:left="27"/>
              <w:spacing w:after="0" w:line="153" w:lineRule="exact"/>
              <w:rPr>
                <w:sz w:val="20"/>
                <w:szCs w:val="20"/>
                <w:color w:val="auto"/>
              </w:rPr>
            </w:pPr>
            <w:r>
              <w:rPr>
                <w:rFonts w:ascii="Arial" w:cs="Arial" w:eastAsia="Arial" w:hAnsi="Arial"/>
                <w:sz w:val="14"/>
                <w:szCs w:val="14"/>
                <w:b w:val="1"/>
                <w:bCs w:val="1"/>
                <w:color w:val="auto"/>
                <w:w w:val="88"/>
              </w:rPr>
              <w:t>Proposed Maximum</w:t>
            </w:r>
          </w:p>
        </w:tc>
        <w:tc>
          <w:tcPr>
            <w:tcW w:w="1700" w:type="dxa"/>
            <w:vAlign w:val="bottom"/>
            <w:tcBorders>
              <w:top w:val="single" w:sz="8" w:color="auto"/>
              <w:right w:val="single" w:sz="8" w:color="auto"/>
            </w:tcBorders>
          </w:tcPr>
          <w:p>
            <w:pPr>
              <w:jc w:val="center"/>
              <w:ind w:left="7"/>
              <w:spacing w:after="0" w:line="153" w:lineRule="exact"/>
              <w:rPr>
                <w:sz w:val="20"/>
                <w:szCs w:val="20"/>
                <w:color w:val="auto"/>
              </w:rPr>
            </w:pPr>
            <w:r>
              <w:rPr>
                <w:rFonts w:ascii="Arial" w:cs="Arial" w:eastAsia="Arial" w:hAnsi="Arial"/>
                <w:sz w:val="14"/>
                <w:szCs w:val="14"/>
                <w:b w:val="1"/>
                <w:bCs w:val="1"/>
                <w:color w:val="auto"/>
                <w:w w:val="88"/>
              </w:rPr>
              <w:t>Proposed Maximum</w:t>
            </w:r>
          </w:p>
        </w:tc>
        <w:tc>
          <w:tcPr>
            <w:tcW w:w="1340" w:type="dxa"/>
            <w:vAlign w:val="bottom"/>
            <w:tcBorders>
              <w:top w:val="single" w:sz="8" w:color="auto"/>
              <w:right w:val="single" w:sz="8" w:color="auto"/>
            </w:tcBorders>
          </w:tcPr>
          <w:p>
            <w:pPr>
              <w:spacing w:after="0"/>
              <w:rPr>
                <w:sz w:val="13"/>
                <w:szCs w:val="13"/>
                <w:color w:val="auto"/>
              </w:rPr>
            </w:pPr>
          </w:p>
        </w:tc>
      </w:tr>
      <w:tr>
        <w:trPr>
          <w:trHeight w:val="149"/>
        </w:trPr>
        <w:tc>
          <w:tcPr>
            <w:tcW w:w="564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60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2"/>
        </w:trPr>
        <w:tc>
          <w:tcPr>
            <w:tcW w:w="5640" w:type="dxa"/>
            <w:vAlign w:val="bottom"/>
            <w:tcBorders>
              <w:left w:val="single" w:sz="8" w:color="auto"/>
              <w:bottom w:val="single" w:sz="8" w:color="auto"/>
              <w:right w:val="single" w:sz="8" w:color="auto"/>
            </w:tcBorders>
          </w:tcPr>
          <w:p>
            <w:pPr>
              <w:ind w:left="1880"/>
              <w:spacing w:after="0"/>
              <w:rPr>
                <w:sz w:val="20"/>
                <w:szCs w:val="20"/>
                <w:color w:val="auto"/>
              </w:rPr>
            </w:pPr>
            <w:r>
              <w:rPr>
                <w:rFonts w:ascii="Arial" w:cs="Arial" w:eastAsia="Arial" w:hAnsi="Arial"/>
                <w:sz w:val="14"/>
                <w:szCs w:val="14"/>
                <w:b w:val="1"/>
                <w:bCs w:val="1"/>
                <w:color w:val="auto"/>
              </w:rPr>
              <w:t>Title of Securities to be Registered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 (1)</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6"/>
              </w:rPr>
              <w:t>Share (2)</w:t>
            </w:r>
          </w:p>
        </w:tc>
        <w:tc>
          <w:tcPr>
            <w:tcW w:w="17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0"/>
              </w:rPr>
              <w:t>Price (2)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204"/>
        </w:trPr>
        <w:tc>
          <w:tcPr>
            <w:tcW w:w="5640" w:type="dxa"/>
            <w:vAlign w:val="bottom"/>
            <w:tcBorders>
              <w:left w:val="single" w:sz="8" w:color="auto"/>
              <w:right w:val="single" w:sz="8" w:color="auto"/>
            </w:tcBorders>
          </w:tcPr>
          <w:p>
            <w:pPr>
              <w:ind w:left="120"/>
              <w:spacing w:after="0" w:line="205" w:lineRule="exact"/>
              <w:rPr>
                <w:sz w:val="20"/>
                <w:szCs w:val="20"/>
                <w:color w:val="auto"/>
              </w:rPr>
            </w:pPr>
            <w:r>
              <w:rPr>
                <w:rFonts w:ascii="Arial" w:cs="Arial" w:eastAsia="Arial" w:hAnsi="Arial"/>
                <w:sz w:val="18"/>
                <w:szCs w:val="18"/>
                <w:color w:val="auto"/>
                <w:w w:val="97"/>
              </w:rPr>
              <w:t>Common Stock, no par value, together with associated preferred share</w:t>
            </w:r>
          </w:p>
        </w:tc>
        <w:tc>
          <w:tcPr>
            <w:tcW w:w="11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r>
      <w:tr>
        <w:trPr>
          <w:trHeight w:val="216"/>
        </w:trPr>
        <w:tc>
          <w:tcPr>
            <w:tcW w:w="56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4"/>
              </w:rPr>
              <w:t>purchase rights, under the Itron, Inc. Amended and Restated 2000 Stock</w:t>
            </w:r>
          </w:p>
        </w:tc>
        <w:tc>
          <w:tcPr>
            <w:tcW w:w="11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23"/>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Incentive Plan</w:t>
            </w:r>
          </w:p>
        </w:tc>
        <w:tc>
          <w:tcPr>
            <w:tcW w:w="114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9"/>
              </w:rPr>
              <w:t>600,000</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7"/>
              </w:rPr>
              <w:t>$60.43</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$36,258,000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$3,879.61</w:t>
            </w:r>
          </w:p>
        </w:tc>
      </w:tr>
    </w:tbl>
    <w:p>
      <w:pPr>
        <w:spacing w:after="0" w:line="192" w:lineRule="exact"/>
        <w:rPr>
          <w:sz w:val="24"/>
          <w:szCs w:val="24"/>
          <w:color w:val="auto"/>
        </w:rPr>
      </w:pPr>
    </w:p>
    <w:p>
      <w:pPr>
        <w:ind w:left="340" w:hanging="332"/>
        <w:spacing w:after="0" w:line="239"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an indeterminate number of additional shares which may be necessary to adjust the number of shares reserved for issuance pursuant to the plan as the result of any future stock split, stock dividend or similar adjustment of the Registrant’s outstanding Common Stock.</w:t>
      </w:r>
    </w:p>
    <w:p>
      <w:pPr>
        <w:spacing w:after="0" w:line="179" w:lineRule="exact"/>
        <w:rPr>
          <w:rFonts w:ascii="Arial" w:cs="Arial" w:eastAsia="Arial" w:hAnsi="Arial"/>
          <w:sz w:val="14"/>
          <w:szCs w:val="14"/>
          <w:color w:val="auto"/>
        </w:rPr>
      </w:pPr>
    </w:p>
    <w:p>
      <w:pPr>
        <w:jc w:val="both"/>
        <w:ind w:left="340" w:right="100" w:hanging="332"/>
        <w:spacing w:after="0" w:line="318"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457(c) and Rule 457(h) under the Securities Act of 1933, as amended. The proposed maximum offering price per share is estimated to be $60.43 based on the average of the high ($61.15) and low ($59.71) sales prices of Itron, Inc.’s Common Stock on June 1, 2006, as reported for such date by the Nasdaq National Market.</w:t>
      </w:r>
    </w:p>
    <w:p>
      <w:pPr>
        <w:sectPr>
          <w:pgSz w:w="11900" w:h="16838" w:orient="portrait"/>
          <w:cols w:equalWidth="0" w:num="1">
            <w:col w:w="11420"/>
          </w:cols>
          <w:pgMar w:left="240" w:top="233" w:right="239" w:bottom="1440" w:gutter="0" w:footer="0" w:header="0"/>
          <w:type w:val="continuous"/>
        </w:sectPr>
      </w:pPr>
    </w:p>
    <w:bookmarkStart w:id="1" w:name="page2"/>
    <w:bookmarkEnd w:id="1"/>
    <w:p>
      <w:pPr>
        <w:ind w:left="5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7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documents filed with the Securities and Exchange Commission (the “Commission”) by the Registrant, Itron, Inc., a Washington corporation (“Itron” or the “Registrant”), are hereby incorporated by reference in this Registration Statement:</w:t>
      </w:r>
    </w:p>
    <w:p>
      <w:pPr>
        <w:spacing w:after="0" w:line="172" w:lineRule="exact"/>
        <w:rPr>
          <w:sz w:val="20"/>
          <w:szCs w:val="20"/>
          <w:color w:val="auto"/>
        </w:rPr>
      </w:pPr>
    </w:p>
    <w:p>
      <w:pPr>
        <w:ind w:left="900" w:right="1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2005, filed on February 24, 2006, which contains audited financial statements for the most recent fiscal year for which such statements have been filed;</w:t>
      </w:r>
    </w:p>
    <w:p>
      <w:pPr>
        <w:spacing w:after="0" w:line="172"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2006, filed on May 4, 2006, which contains unaudited interim financial statements;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Current Reports on Form 8-K, filed on January 3, 2006, February 17, 2006, February 24, 2006, May 10, 2006 and May 19, 2006.</w:t>
      </w:r>
    </w:p>
    <w:p>
      <w:pPr>
        <w:spacing w:after="0" w:line="234" w:lineRule="exact"/>
        <w:rPr>
          <w:rFonts w:ascii="Arial" w:cs="Arial" w:eastAsia="Arial" w:hAnsi="Arial"/>
          <w:sz w:val="16"/>
          <w:szCs w:val="16"/>
          <w:color w:val="auto"/>
        </w:rPr>
      </w:pPr>
    </w:p>
    <w:p>
      <w:pPr>
        <w:ind w:left="900" w:right="240" w:hanging="446"/>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Registration Statement on Form 8-A filed on September 18, 1993, and the description of the Registrant’s Preferred Share Purchase Rights contained in the Registration Statement on Form 8-A filed on December 16, 2002, under Section 12(g) of the Securities Exchange Act of 1934, as amended (the “Exchange Act”), including any amendments or reports filed for the purpose of updating such descriptions.</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All documents filed by the Registrant pursuant to Sections 13(a), 13(c), 14 or 15(d) of the Exchange Act after the date hereof,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159"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211"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274" w:right="259" w:bottom="1440" w:gutter="0" w:footer="0" w:header="0"/>
        </w:sectPr>
      </w:pPr>
    </w:p>
    <w:bookmarkStart w:id="2" w:name="page3"/>
    <w:bookmarkEnd w:id="2"/>
    <w:p>
      <w:pPr>
        <w:ind w:right="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 of Itron’s amended and restated bylaws provides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Itron’s amended and restated bylaws also authorize Itron to enter into contracts with any director or officer in furtherance of the provisions of the bylaws regarding indemnification and to create a trust fund, grant a security interest or use other means to ensure the payment of amounts necessary to effect this indemnification.</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1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b w:val="1"/>
          <w:bCs w:val="1"/>
          <w:u w:val="single" w:color="auto"/>
          <w:color w:val="auto"/>
        </w:rPr>
        <w:t>Number</w:t>
        <w:tab/>
        <w:t>Description</w:t>
      </w:r>
    </w:p>
    <w:p>
      <w:pPr>
        <w:spacing w:after="0" w:line="23" w:lineRule="exact"/>
        <w:rPr>
          <w:sz w:val="20"/>
          <w:szCs w:val="20"/>
          <w:color w:val="auto"/>
        </w:rPr>
      </w:pPr>
    </w:p>
    <w:p>
      <w:pPr>
        <w:ind w:left="920" w:hanging="448"/>
        <w:spacing w:after="0" w:line="261" w:lineRule="auto"/>
        <w:tabs>
          <w:tab w:leader="none" w:pos="900" w:val="left"/>
        </w:tabs>
        <w:rPr>
          <w:sz w:val="20"/>
          <w:szCs w:val="20"/>
          <w:color w:val="auto"/>
        </w:rPr>
      </w:pPr>
      <w:r>
        <w:rPr>
          <w:rFonts w:ascii="Arial" w:cs="Arial" w:eastAsia="Arial" w:hAnsi="Arial"/>
          <w:sz w:val="18"/>
          <w:szCs w:val="18"/>
          <w:color w:val="auto"/>
        </w:rPr>
        <w:t>4.1</w:t>
        <w:tab/>
        <w:t>Rights Agreement between Itron, Inc. and Mellon Investor Services LLC, as Rights Agent, dated as of December 11, 2002 (filed as Exhibit 4.1 to the Itron, Inc. Registration of Securities on Form 8-A, filed on December 16, 2002, File No. 0-22418).</w:t>
      </w:r>
    </w:p>
    <w:p>
      <w:pPr>
        <w:spacing w:after="0" w:line="84"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Perkins Coie LLP regarding legality of the Common Stock being registered.</w:t>
      </w:r>
    </w:p>
    <w:p>
      <w:pPr>
        <w:spacing w:after="0" w:line="117"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 Independent Registered Public Accounting Firm.</w:t>
      </w:r>
    </w:p>
    <w:p>
      <w:pPr>
        <w:spacing w:after="0" w:line="117"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Perkins Coie LLP (included in opinion filed as Exhibit 5.1).</w:t>
      </w:r>
    </w:p>
    <w:p>
      <w:pPr>
        <w:spacing w:after="0" w:line="117"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(see signature page).</w:t>
      </w:r>
    </w:p>
    <w:p>
      <w:pPr>
        <w:spacing w:after="0" w:line="117" w:lineRule="exact"/>
        <w:rPr>
          <w:sz w:val="20"/>
          <w:szCs w:val="20"/>
          <w:color w:val="auto"/>
        </w:rPr>
      </w:pPr>
    </w:p>
    <w:p>
      <w:pPr>
        <w:ind w:left="920" w:right="620" w:hanging="536"/>
        <w:spacing w:after="0" w:line="268" w:lineRule="auto"/>
        <w:tabs>
          <w:tab w:leader="none" w:pos="900" w:val="left"/>
        </w:tabs>
        <w:rPr>
          <w:sz w:val="20"/>
          <w:szCs w:val="20"/>
          <w:color w:val="auto"/>
        </w:rPr>
      </w:pPr>
      <w:r>
        <w:rPr>
          <w:rFonts w:ascii="Arial" w:cs="Arial" w:eastAsia="Arial" w:hAnsi="Arial"/>
          <w:sz w:val="18"/>
          <w:szCs w:val="18"/>
          <w:color w:val="auto"/>
        </w:rPr>
        <w:t>99.1</w:t>
        <w:tab/>
        <w:t>Itron, Inc. Amended and Restated 2000 Stock Incentive Plan (incorporated by reference to Appendix A to the Definitive Proxy Statement on Schedule 14A filed with the Commission on March 16, 2006).</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21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940" w:hanging="204"/>
        <w:spacing w:after="0"/>
        <w:tabs>
          <w:tab w:leader="none" w:pos="94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71" w:lineRule="exact"/>
        <w:rPr>
          <w:rFonts w:ascii="Arial" w:cs="Arial" w:eastAsia="Arial" w:hAnsi="Arial"/>
          <w:sz w:val="18"/>
          <w:szCs w:val="18"/>
          <w:color w:val="auto"/>
        </w:rPr>
      </w:pPr>
    </w:p>
    <w:p>
      <w:pPr>
        <w:jc w:val="both"/>
        <w:ind w:right="500" w:firstLine="736"/>
        <w:spacing w:after="0" w:line="370" w:lineRule="auto"/>
        <w:tabs>
          <w:tab w:leader="none" w:pos="984" w:val="left"/>
        </w:tabs>
        <w:numPr>
          <w:ilvl w:val="2"/>
          <w:numId w:val="5"/>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62" w:lineRule="exact"/>
        <w:rPr>
          <w:rFonts w:ascii="Arial" w:cs="Arial" w:eastAsia="Arial" w:hAnsi="Arial"/>
          <w:sz w:val="15"/>
          <w:szCs w:val="15"/>
          <w:color w:val="auto"/>
        </w:rPr>
      </w:pPr>
    </w:p>
    <w:p>
      <w:pPr>
        <w:jc w:val="both"/>
        <w:ind w:right="100" w:firstLine="736"/>
        <w:spacing w:after="0" w:line="306" w:lineRule="auto"/>
        <w:tabs>
          <w:tab w:leader="none" w:pos="1032" w:val="left"/>
        </w:tabs>
        <w:numPr>
          <w:ilvl w:val="2"/>
          <w:numId w:val="5"/>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this Registration Statement or any material change to such information in this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above do not apply if the information required to be included in a post-effective amendment by those paragraphs is contained in periodic reports filed or furnished to the Commission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Registrant pursuant to Section 13 or Section 15(d) of the Exchange Act that are incorporated by reference in this Registration Statement.</w:t>
      </w:r>
    </w:p>
    <w:p>
      <w:pPr>
        <w:spacing w:after="0" w:line="194" w:lineRule="exact"/>
        <w:rPr>
          <w:sz w:val="20"/>
          <w:szCs w:val="20"/>
          <w:color w:val="auto"/>
        </w:rPr>
      </w:pPr>
    </w:p>
    <w:p>
      <w:pPr>
        <w:ind w:firstLine="464"/>
        <w:spacing w:after="0" w:line="370" w:lineRule="auto"/>
        <w:tabs>
          <w:tab w:leader="none" w:pos="702" w:val="left"/>
        </w:tabs>
        <w:numPr>
          <w:ilvl w:val="1"/>
          <w:numId w:val="6"/>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Arial" w:cs="Arial" w:eastAsia="Arial" w:hAnsi="Arial"/>
          <w:sz w:val="15"/>
          <w:szCs w:val="15"/>
          <w:color w:val="auto"/>
        </w:rPr>
      </w:pPr>
    </w:p>
    <w:p>
      <w:pPr>
        <w:ind w:right="200" w:firstLine="464"/>
        <w:spacing w:after="0" w:line="268" w:lineRule="auto"/>
        <w:tabs>
          <w:tab w:leader="none" w:pos="70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right="140" w:firstLine="8"/>
        <w:spacing w:after="0" w:line="256" w:lineRule="auto"/>
        <w:tabs>
          <w:tab w:leader="none" w:pos="33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43" w:lineRule="exact"/>
        <w:rPr>
          <w:rFonts w:ascii="Arial" w:cs="Arial" w:eastAsia="Arial" w:hAnsi="Arial"/>
          <w:sz w:val="18"/>
          <w:szCs w:val="18"/>
          <w:color w:val="auto"/>
        </w:rPr>
      </w:pPr>
    </w:p>
    <w:p>
      <w:pPr>
        <w:ind w:right="20" w:firstLine="8"/>
        <w:spacing w:after="0" w:line="290" w:lineRule="auto"/>
        <w:tabs>
          <w:tab w:leader="none" w:pos="337"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280"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180"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Spokane Valley, State of Washington, on the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June, 2006.</w:t>
      </w:r>
    </w:p>
    <w:p>
      <w:pPr>
        <w:spacing w:after="0" w:line="92"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880"/>
        <w:spacing w:after="0"/>
        <w:tabs>
          <w:tab w:leader="none" w:pos="82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TEVEN</w:t>
      </w:r>
      <w:r>
        <w:rPr>
          <w:rFonts w:ascii="Arial" w:cs="Arial" w:eastAsia="Arial" w:hAnsi="Arial"/>
          <w:sz w:val="16"/>
          <w:szCs w:val="16"/>
          <w:color w:val="auto"/>
        </w:rPr>
        <w:t xml:space="preserve"> M. H</w:t>
      </w:r>
      <w:r>
        <w:rPr>
          <w:rFonts w:ascii="Arial" w:cs="Arial" w:eastAsia="Arial" w:hAnsi="Arial"/>
          <w:sz w:val="13"/>
          <w:szCs w:val="13"/>
          <w:color w:val="auto"/>
        </w:rPr>
        <w:t>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Steven M. Helmbrecht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Sr. Vice President and Chief Financial Officer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person whose individual signature appears below hereby authorizes LeRoy D. Nosbaum and Steven M. Helmbrecht, or either of them, as attorneys-in-fact with full power of substitution, to execute in the name and on the behalf of each person, individually and in each capacity stated below, and to file, any and all amendments to this Registration Statement, including any and all post-effective amendments.</w:t>
      </w:r>
    </w:p>
    <w:p>
      <w:pPr>
        <w:spacing w:after="0" w:line="140" w:lineRule="exact"/>
        <w:rPr>
          <w:sz w:val="20"/>
          <w:szCs w:val="20"/>
          <w:color w:val="auto"/>
        </w:rPr>
      </w:pPr>
    </w:p>
    <w:p>
      <w:pPr>
        <w:ind w:right="60" w:firstLine="456"/>
        <w:spacing w:after="0" w:line="29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the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June, 2006.</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2"/>
          </w:tcPr>
          <w:p>
            <w:pPr>
              <w:jc w:val="center"/>
              <w:ind w:right="2540"/>
              <w:spacing w:after="0"/>
              <w:rPr>
                <w:sz w:val="20"/>
                <w:szCs w:val="20"/>
                <w:color w:val="auto"/>
              </w:rPr>
            </w:pPr>
            <w:r>
              <w:rPr>
                <w:rFonts w:ascii="Arial" w:cs="Arial" w:eastAsia="Arial" w:hAnsi="Arial"/>
                <w:sz w:val="18"/>
                <w:szCs w:val="18"/>
                <w:b w:val="1"/>
                <w:bCs w:val="1"/>
                <w:color w:val="auto"/>
                <w:w w:val="86"/>
              </w:rPr>
              <w:t>Signature</w:t>
            </w:r>
          </w:p>
        </w:tc>
        <w:tc>
          <w:tcPr>
            <w:tcW w:w="4640" w:type="dxa"/>
            <w:vAlign w:val="bottom"/>
            <w:gridSpan w:val="3"/>
          </w:tcPr>
          <w:p>
            <w:pPr>
              <w:jc w:val="center"/>
              <w:ind w:left="1332"/>
              <w:spacing w:after="0"/>
              <w:rPr>
                <w:sz w:val="20"/>
                <w:szCs w:val="20"/>
                <w:color w:val="auto"/>
              </w:rPr>
            </w:pPr>
            <w:r>
              <w:rPr>
                <w:rFonts w:ascii="Arial" w:cs="Arial" w:eastAsia="Arial" w:hAnsi="Arial"/>
                <w:sz w:val="18"/>
                <w:szCs w:val="18"/>
                <w:b w:val="1"/>
                <w:bCs w:val="1"/>
                <w:color w:val="auto"/>
                <w:w w:val="91"/>
              </w:rPr>
              <w:t>Title</w:t>
            </w:r>
          </w:p>
        </w:tc>
      </w:tr>
      <w:tr>
        <w:trPr>
          <w:trHeight w:val="20"/>
        </w:trPr>
        <w:tc>
          <w:tcPr>
            <w:tcW w:w="2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51"/>
        </w:trPr>
        <w:tc>
          <w:tcPr>
            <w:tcW w:w="2120" w:type="dxa"/>
            <w:vAlign w:val="bottom"/>
            <w:tcBorders>
              <w:bottom w:val="single" w:sz="8" w:color="auto"/>
            </w:tcBorders>
            <w:gridSpan w:val="2"/>
          </w:tcPr>
          <w:p>
            <w:pPr>
              <w:ind w:left="1860"/>
              <w:spacing w:after="0"/>
              <w:rPr>
                <w:sz w:val="20"/>
                <w:szCs w:val="20"/>
                <w:color w:val="auto"/>
              </w:rPr>
            </w:pPr>
            <w:r>
              <w:rPr>
                <w:rFonts w:ascii="Arial" w:cs="Arial" w:eastAsia="Arial" w:hAnsi="Arial"/>
                <w:sz w:val="18"/>
                <w:szCs w:val="18"/>
                <w:color w:val="auto"/>
              </w:rPr>
              <w:t>/s/</w:t>
            </w:r>
          </w:p>
        </w:tc>
        <w:tc>
          <w:tcPr>
            <w:tcW w:w="3700" w:type="dxa"/>
            <w:vAlign w:val="bottom"/>
            <w:tcBorders>
              <w:bottom w:val="single" w:sz="8" w:color="auto"/>
            </w:tcBorders>
            <w:gridSpan w:val="4"/>
          </w:tcPr>
          <w:p>
            <w:pPr>
              <w:jc w:val="center"/>
              <w:ind w:right="20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EROY</w:t>
            </w:r>
            <w:r>
              <w:rPr>
                <w:rFonts w:ascii="Arial" w:cs="Arial" w:eastAsia="Arial" w:hAnsi="Arial"/>
                <w:sz w:val="18"/>
                <w:szCs w:val="18"/>
                <w:color w:val="auto"/>
              </w:rPr>
              <w:t xml:space="preserve"> D. N</w:t>
            </w:r>
            <w:r>
              <w:rPr>
                <w:rFonts w:ascii="Arial" w:cs="Arial" w:eastAsia="Arial" w:hAnsi="Arial"/>
                <w:sz w:val="14"/>
                <w:szCs w:val="14"/>
                <w:color w:val="auto"/>
              </w:rPr>
              <w:t>OSBAUM</w:t>
            </w:r>
          </w:p>
        </w:tc>
        <w:tc>
          <w:tcPr>
            <w:tcW w:w="4640" w:type="dxa"/>
            <w:vAlign w:val="bottom"/>
            <w:gridSpan w:val="3"/>
          </w:tcPr>
          <w:p>
            <w:pPr>
              <w:jc w:val="center"/>
              <w:ind w:left="1332"/>
              <w:spacing w:after="0"/>
              <w:rPr>
                <w:sz w:val="20"/>
                <w:szCs w:val="20"/>
                <w:color w:val="auto"/>
              </w:rPr>
            </w:pPr>
            <w:r>
              <w:rPr>
                <w:rFonts w:ascii="Arial" w:cs="Arial" w:eastAsia="Arial" w:hAnsi="Arial"/>
                <w:sz w:val="18"/>
                <w:szCs w:val="18"/>
                <w:color w:val="auto"/>
                <w:w w:val="87"/>
              </w:rPr>
              <w:t>Chairman of the Board and</w:t>
            </w:r>
          </w:p>
        </w:tc>
      </w:tr>
      <w:tr>
        <w:trPr>
          <w:trHeight w:val="190"/>
        </w:trPr>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87"/>
              </w:rPr>
              <w:t>LeRoy D. Nosbaum</w:t>
            </w:r>
          </w:p>
        </w:tc>
        <w:tc>
          <w:tcPr>
            <w:tcW w:w="4640" w:type="dxa"/>
            <w:vAlign w:val="bottom"/>
            <w:gridSpan w:val="3"/>
          </w:tcPr>
          <w:p>
            <w:pPr>
              <w:jc w:val="center"/>
              <w:ind w:left="1352"/>
              <w:spacing w:after="0" w:line="190" w:lineRule="exact"/>
              <w:rPr>
                <w:sz w:val="20"/>
                <w:szCs w:val="20"/>
                <w:color w:val="auto"/>
              </w:rPr>
            </w:pPr>
            <w:r>
              <w:rPr>
                <w:rFonts w:ascii="Arial" w:cs="Arial" w:eastAsia="Arial" w:hAnsi="Arial"/>
                <w:sz w:val="18"/>
                <w:szCs w:val="18"/>
                <w:color w:val="auto"/>
                <w:w w:val="91"/>
              </w:rPr>
              <w:t>Chief Executive Officer</w:t>
            </w:r>
          </w:p>
        </w:tc>
      </w:tr>
      <w:tr>
        <w:trPr>
          <w:trHeight w:val="222"/>
        </w:trPr>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640" w:type="dxa"/>
            <w:vAlign w:val="bottom"/>
            <w:gridSpan w:val="3"/>
          </w:tcPr>
          <w:p>
            <w:pPr>
              <w:jc w:val="center"/>
              <w:ind w:left="1352"/>
              <w:spacing w:after="0"/>
              <w:rPr>
                <w:sz w:val="20"/>
                <w:szCs w:val="20"/>
                <w:color w:val="auto"/>
              </w:rPr>
            </w:pPr>
            <w:r>
              <w:rPr>
                <w:rFonts w:ascii="Arial" w:cs="Arial" w:eastAsia="Arial" w:hAnsi="Arial"/>
                <w:sz w:val="18"/>
                <w:szCs w:val="18"/>
                <w:color w:val="auto"/>
                <w:w w:val="91"/>
              </w:rPr>
              <w:t>(Principal Executive Officer)</w:t>
            </w:r>
          </w:p>
        </w:tc>
      </w:tr>
      <w:tr>
        <w:trPr>
          <w:trHeight w:val="446"/>
        </w:trPr>
        <w:tc>
          <w:tcPr>
            <w:tcW w:w="18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w w:val="83"/>
              </w:rPr>
              <w:t>/s/</w:t>
            </w:r>
          </w:p>
        </w:tc>
        <w:tc>
          <w:tcPr>
            <w:tcW w:w="3940" w:type="dxa"/>
            <w:vAlign w:val="bottom"/>
            <w:tcBorders>
              <w:bottom w:val="single" w:sz="8" w:color="auto"/>
            </w:tcBorders>
            <w:gridSpan w:val="5"/>
          </w:tcPr>
          <w:p>
            <w:pPr>
              <w:jc w:val="center"/>
              <w:ind w:right="1740"/>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TEVEN</w:t>
            </w:r>
            <w:r>
              <w:rPr>
                <w:rFonts w:ascii="Arial" w:cs="Arial" w:eastAsia="Arial" w:hAnsi="Arial"/>
                <w:sz w:val="18"/>
                <w:szCs w:val="18"/>
                <w:color w:val="auto"/>
                <w:w w:val="99"/>
              </w:rPr>
              <w:t xml:space="preserve"> M. H</w:t>
            </w:r>
            <w:r>
              <w:rPr>
                <w:rFonts w:ascii="Arial" w:cs="Arial" w:eastAsia="Arial" w:hAnsi="Arial"/>
                <w:sz w:val="14"/>
                <w:szCs w:val="14"/>
                <w:color w:val="auto"/>
                <w:w w:val="99"/>
              </w:rPr>
              <w:t>ELMBRECHT</w:t>
            </w:r>
          </w:p>
        </w:tc>
        <w:tc>
          <w:tcPr>
            <w:tcW w:w="4640" w:type="dxa"/>
            <w:vAlign w:val="bottom"/>
            <w:gridSpan w:val="3"/>
          </w:tcPr>
          <w:p>
            <w:pPr>
              <w:jc w:val="center"/>
              <w:ind w:left="1332"/>
              <w:spacing w:after="0"/>
              <w:rPr>
                <w:sz w:val="20"/>
                <w:szCs w:val="20"/>
                <w:color w:val="auto"/>
              </w:rPr>
            </w:pPr>
            <w:r>
              <w:rPr>
                <w:rFonts w:ascii="Arial" w:cs="Arial" w:eastAsia="Arial" w:hAnsi="Arial"/>
                <w:sz w:val="18"/>
                <w:szCs w:val="18"/>
                <w:color w:val="auto"/>
                <w:w w:val="89"/>
              </w:rPr>
              <w:t>Sr. Vice President and Chief Financial Officer</w:t>
            </w:r>
          </w:p>
        </w:tc>
      </w:tr>
      <w:tr>
        <w:trPr>
          <w:trHeight w:val="202"/>
        </w:trPr>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gridSpan w:val="3"/>
          </w:tcPr>
          <w:p>
            <w:pPr>
              <w:jc w:val="center"/>
              <w:ind w:right="2240"/>
              <w:spacing w:after="0"/>
              <w:rPr>
                <w:sz w:val="20"/>
                <w:szCs w:val="20"/>
                <w:color w:val="auto"/>
              </w:rPr>
            </w:pPr>
            <w:r>
              <w:rPr>
                <w:rFonts w:ascii="Arial" w:cs="Arial" w:eastAsia="Arial" w:hAnsi="Arial"/>
                <w:sz w:val="14"/>
                <w:szCs w:val="14"/>
                <w:b w:val="1"/>
                <w:bCs w:val="1"/>
                <w:color w:val="auto"/>
                <w:w w:val="88"/>
              </w:rPr>
              <w:t>Steven M. Helmbrecht</w:t>
            </w:r>
          </w:p>
        </w:tc>
        <w:tc>
          <w:tcPr>
            <w:tcW w:w="4640" w:type="dxa"/>
            <w:vAlign w:val="bottom"/>
            <w:gridSpan w:val="3"/>
          </w:tcPr>
          <w:p>
            <w:pPr>
              <w:jc w:val="center"/>
              <w:ind w:left="1352"/>
              <w:spacing w:after="0" w:line="202" w:lineRule="exact"/>
              <w:rPr>
                <w:sz w:val="20"/>
                <w:szCs w:val="20"/>
                <w:color w:val="auto"/>
              </w:rPr>
            </w:pPr>
            <w:r>
              <w:rPr>
                <w:rFonts w:ascii="Arial" w:cs="Arial" w:eastAsia="Arial" w:hAnsi="Arial"/>
                <w:sz w:val="18"/>
                <w:szCs w:val="18"/>
                <w:color w:val="auto"/>
                <w:w w:val="91"/>
              </w:rPr>
              <w:t>(Principal Financial and Accounting Officer)</w:t>
            </w:r>
          </w:p>
        </w:tc>
      </w:tr>
      <w:tr>
        <w:trPr>
          <w:trHeight w:val="440"/>
        </w:trPr>
        <w:tc>
          <w:tcPr>
            <w:tcW w:w="2120" w:type="dxa"/>
            <w:vAlign w:val="bottom"/>
            <w:tcBorders>
              <w:bottom w:val="single" w:sz="8" w:color="auto"/>
            </w:tcBorders>
            <w:gridSpan w:val="2"/>
          </w:tcPr>
          <w:p>
            <w:pPr>
              <w:ind w:left="1840"/>
              <w:spacing w:after="0"/>
              <w:rPr>
                <w:sz w:val="20"/>
                <w:szCs w:val="20"/>
                <w:color w:val="auto"/>
              </w:rPr>
            </w:pPr>
            <w:r>
              <w:rPr>
                <w:rFonts w:ascii="Arial" w:cs="Arial" w:eastAsia="Arial" w:hAnsi="Arial"/>
                <w:sz w:val="18"/>
                <w:szCs w:val="18"/>
                <w:color w:val="auto"/>
              </w:rPr>
              <w:t>/s/</w:t>
            </w:r>
          </w:p>
        </w:tc>
        <w:tc>
          <w:tcPr>
            <w:tcW w:w="37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B. B</w:t>
            </w:r>
            <w:r>
              <w:rPr>
                <w:rFonts w:ascii="Arial" w:cs="Arial" w:eastAsia="Arial" w:hAnsi="Arial"/>
                <w:sz w:val="14"/>
                <w:szCs w:val="14"/>
                <w:color w:val="auto"/>
              </w:rPr>
              <w:t>RACY</w:t>
            </w:r>
          </w:p>
        </w:tc>
        <w:tc>
          <w:tcPr>
            <w:tcW w:w="4640" w:type="dxa"/>
            <w:vAlign w:val="bottom"/>
            <w:gridSpan w:val="3"/>
          </w:tcPr>
          <w:p>
            <w:pPr>
              <w:jc w:val="center"/>
              <w:ind w:left="1332"/>
              <w:spacing w:after="0"/>
              <w:rPr>
                <w:sz w:val="20"/>
                <w:szCs w:val="20"/>
                <w:color w:val="auto"/>
              </w:rPr>
            </w:pPr>
            <w:r>
              <w:rPr>
                <w:rFonts w:ascii="Arial" w:cs="Arial" w:eastAsia="Arial" w:hAnsi="Arial"/>
                <w:sz w:val="18"/>
                <w:szCs w:val="18"/>
                <w:color w:val="auto"/>
                <w:w w:val="91"/>
              </w:rPr>
              <w:t>Director</w:t>
            </w:r>
          </w:p>
        </w:tc>
      </w:tr>
      <w:tr>
        <w:trPr>
          <w:trHeight w:val="169"/>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89"/>
              </w:rPr>
              <w:t>Michael B. Bracy</w:t>
            </w: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19"/>
        </w:trPr>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3"/>
              </w:rPr>
              <w:t>/s/</w:t>
            </w: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jc w:val="center"/>
              <w:ind w:right="2060"/>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ED</w:t>
            </w:r>
            <w:r>
              <w:rPr>
                <w:rFonts w:ascii="Arial" w:cs="Arial" w:eastAsia="Arial" w:hAnsi="Arial"/>
                <w:sz w:val="18"/>
                <w:szCs w:val="18"/>
                <w:color w:val="auto"/>
                <w:w w:val="97"/>
              </w:rPr>
              <w:t xml:space="preserve"> C. D</w:t>
            </w:r>
            <w:r>
              <w:rPr>
                <w:rFonts w:ascii="Arial" w:cs="Arial" w:eastAsia="Arial" w:hAnsi="Arial"/>
                <w:sz w:val="14"/>
                <w:szCs w:val="14"/>
                <w:color w:val="auto"/>
                <w:w w:val="97"/>
              </w:rPr>
              <w:t>EMERRITT</w:t>
            </w:r>
          </w:p>
        </w:tc>
        <w:tc>
          <w:tcPr>
            <w:tcW w:w="4640" w:type="dxa"/>
            <w:vAlign w:val="bottom"/>
            <w:gridSpan w:val="3"/>
          </w:tcPr>
          <w:p>
            <w:pPr>
              <w:jc w:val="center"/>
              <w:ind w:left="1332"/>
              <w:spacing w:after="0"/>
              <w:rPr>
                <w:sz w:val="20"/>
                <w:szCs w:val="20"/>
                <w:color w:val="auto"/>
              </w:rPr>
            </w:pPr>
            <w:r>
              <w:rPr>
                <w:rFonts w:ascii="Arial" w:cs="Arial" w:eastAsia="Arial" w:hAnsi="Arial"/>
                <w:sz w:val="18"/>
                <w:szCs w:val="18"/>
                <w:color w:val="auto"/>
                <w:w w:val="91"/>
              </w:rPr>
              <w:t>Director</w:t>
            </w:r>
          </w:p>
        </w:tc>
      </w:tr>
      <w:tr>
        <w:trPr>
          <w:trHeight w:val="169"/>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92"/>
              </w:rPr>
              <w:t>Ted C. DeMerritt</w:t>
            </w: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19"/>
        </w:trPr>
        <w:tc>
          <w:tcPr>
            <w:tcW w:w="1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w:t>
            </w:r>
          </w:p>
        </w:tc>
        <w:tc>
          <w:tcPr>
            <w:tcW w:w="3580" w:type="dxa"/>
            <w:vAlign w:val="bottom"/>
            <w:tcBorders>
              <w:bottom w:val="single" w:sz="8" w:color="auto"/>
            </w:tcBorders>
            <w:gridSpan w:val="3"/>
          </w:tcPr>
          <w:p>
            <w:pPr>
              <w:jc w:val="center"/>
              <w:ind w:right="2120"/>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IRBY</w:t>
            </w:r>
            <w:r>
              <w:rPr>
                <w:rFonts w:ascii="Arial" w:cs="Arial" w:eastAsia="Arial" w:hAnsi="Arial"/>
                <w:sz w:val="18"/>
                <w:szCs w:val="18"/>
                <w:color w:val="auto"/>
                <w:w w:val="99"/>
              </w:rPr>
              <w:t xml:space="preserve"> A. D</w:t>
            </w:r>
            <w:r>
              <w:rPr>
                <w:rFonts w:ascii="Arial" w:cs="Arial" w:eastAsia="Arial" w:hAnsi="Arial"/>
                <w:sz w:val="14"/>
                <w:szCs w:val="14"/>
                <w:color w:val="auto"/>
                <w:w w:val="99"/>
              </w:rPr>
              <w:t>YESS</w:t>
            </w:r>
          </w:p>
        </w:tc>
        <w:tc>
          <w:tcPr>
            <w:tcW w:w="4640" w:type="dxa"/>
            <w:vAlign w:val="bottom"/>
            <w:gridSpan w:val="3"/>
          </w:tcPr>
          <w:p>
            <w:pPr>
              <w:jc w:val="center"/>
              <w:ind w:left="1332"/>
              <w:spacing w:after="0"/>
              <w:rPr>
                <w:sz w:val="20"/>
                <w:szCs w:val="20"/>
                <w:color w:val="auto"/>
              </w:rPr>
            </w:pPr>
            <w:r>
              <w:rPr>
                <w:rFonts w:ascii="Arial" w:cs="Arial" w:eastAsia="Arial" w:hAnsi="Arial"/>
                <w:sz w:val="18"/>
                <w:szCs w:val="18"/>
                <w:color w:val="auto"/>
                <w:w w:val="91"/>
              </w:rPr>
              <w:t>Director</w:t>
            </w:r>
          </w:p>
        </w:tc>
      </w:tr>
      <w:tr>
        <w:trPr>
          <w:trHeight w:val="169"/>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89"/>
              </w:rPr>
              <w:t>Kirby A. Dyess</w:t>
            </w: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19"/>
        </w:trPr>
        <w:tc>
          <w:tcPr>
            <w:tcW w:w="1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3"/>
              </w:rPr>
              <w:t>/s/</w:t>
            </w:r>
          </w:p>
        </w:tc>
        <w:tc>
          <w:tcPr>
            <w:tcW w:w="35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ON</w:t>
            </w:r>
            <w:r>
              <w:rPr>
                <w:rFonts w:ascii="Arial" w:cs="Arial" w:eastAsia="Arial" w:hAnsi="Arial"/>
                <w:sz w:val="18"/>
                <w:szCs w:val="18"/>
                <w:color w:val="auto"/>
              </w:rPr>
              <w:t xml:space="preserve"> E. E</w:t>
            </w:r>
            <w:r>
              <w:rPr>
                <w:rFonts w:ascii="Arial" w:cs="Arial" w:eastAsia="Arial" w:hAnsi="Arial"/>
                <w:sz w:val="14"/>
                <w:szCs w:val="14"/>
                <w:color w:val="auto"/>
              </w:rPr>
              <w:t>LIASSEN</w:t>
            </w:r>
          </w:p>
        </w:tc>
        <w:tc>
          <w:tcPr>
            <w:tcW w:w="4640" w:type="dxa"/>
            <w:vAlign w:val="bottom"/>
            <w:gridSpan w:val="3"/>
          </w:tcPr>
          <w:p>
            <w:pPr>
              <w:jc w:val="center"/>
              <w:ind w:left="1332"/>
              <w:spacing w:after="0"/>
              <w:rPr>
                <w:sz w:val="20"/>
                <w:szCs w:val="20"/>
                <w:color w:val="auto"/>
              </w:rPr>
            </w:pPr>
            <w:r>
              <w:rPr>
                <w:rFonts w:ascii="Arial" w:cs="Arial" w:eastAsia="Arial" w:hAnsi="Arial"/>
                <w:sz w:val="18"/>
                <w:szCs w:val="18"/>
                <w:color w:val="auto"/>
                <w:w w:val="91"/>
              </w:rPr>
              <w:t>Director</w:t>
            </w:r>
          </w:p>
        </w:tc>
      </w:tr>
      <w:tr>
        <w:trPr>
          <w:trHeight w:val="169"/>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85"/>
              </w:rPr>
              <w:t>Jon E. Eliassen</w:t>
            </w: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19"/>
        </w:trPr>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jc w:val="center"/>
              <w:ind w:right="2220"/>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HOMAS</w:t>
            </w:r>
            <w:r>
              <w:rPr>
                <w:rFonts w:ascii="Arial" w:cs="Arial" w:eastAsia="Arial" w:hAnsi="Arial"/>
                <w:sz w:val="18"/>
                <w:szCs w:val="18"/>
                <w:color w:val="auto"/>
                <w:w w:val="98"/>
              </w:rPr>
              <w:t xml:space="preserve"> S. F</w:t>
            </w:r>
            <w:r>
              <w:rPr>
                <w:rFonts w:ascii="Arial" w:cs="Arial" w:eastAsia="Arial" w:hAnsi="Arial"/>
                <w:sz w:val="14"/>
                <w:szCs w:val="14"/>
                <w:color w:val="auto"/>
                <w:w w:val="98"/>
              </w:rPr>
              <w:t>OLEY</w:t>
            </w:r>
          </w:p>
        </w:tc>
        <w:tc>
          <w:tcPr>
            <w:tcW w:w="4640" w:type="dxa"/>
            <w:vAlign w:val="bottom"/>
            <w:gridSpan w:val="3"/>
          </w:tcPr>
          <w:p>
            <w:pPr>
              <w:jc w:val="center"/>
              <w:ind w:left="1332"/>
              <w:spacing w:after="0"/>
              <w:rPr>
                <w:sz w:val="20"/>
                <w:szCs w:val="20"/>
                <w:color w:val="auto"/>
              </w:rPr>
            </w:pPr>
            <w:r>
              <w:rPr>
                <w:rFonts w:ascii="Arial" w:cs="Arial" w:eastAsia="Arial" w:hAnsi="Arial"/>
                <w:sz w:val="18"/>
                <w:szCs w:val="18"/>
                <w:color w:val="auto"/>
                <w:w w:val="91"/>
              </w:rPr>
              <w:t>Director</w:t>
            </w:r>
          </w:p>
        </w:tc>
      </w:tr>
      <w:tr>
        <w:trPr>
          <w:trHeight w:val="169"/>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86"/>
              </w:rPr>
              <w:t>Thomas S. Foley</w:t>
            </w: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19"/>
        </w:trPr>
        <w:tc>
          <w:tcPr>
            <w:tcW w:w="188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gridSpan w:val="5"/>
          </w:tcPr>
          <w:p>
            <w:pPr>
              <w:jc w:val="center"/>
              <w:ind w:right="1780"/>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HARLES</w:t>
            </w:r>
            <w:r>
              <w:rPr>
                <w:rFonts w:ascii="Arial" w:cs="Arial" w:eastAsia="Arial" w:hAnsi="Arial"/>
                <w:sz w:val="18"/>
                <w:szCs w:val="18"/>
                <w:color w:val="auto"/>
                <w:w w:val="96"/>
              </w:rPr>
              <w:t xml:space="preserve"> H. G</w:t>
            </w:r>
            <w:r>
              <w:rPr>
                <w:rFonts w:ascii="Arial" w:cs="Arial" w:eastAsia="Arial" w:hAnsi="Arial"/>
                <w:sz w:val="14"/>
                <w:szCs w:val="14"/>
                <w:color w:val="auto"/>
                <w:w w:val="96"/>
              </w:rPr>
              <w:t>AYLORD</w:t>
            </w:r>
            <w:r>
              <w:rPr>
                <w:rFonts w:ascii="Arial" w:cs="Arial" w:eastAsia="Arial" w:hAnsi="Arial"/>
                <w:sz w:val="18"/>
                <w:szCs w:val="18"/>
                <w:color w:val="auto"/>
                <w:w w:val="96"/>
              </w:rPr>
              <w:t>, J</w:t>
            </w:r>
            <w:r>
              <w:rPr>
                <w:rFonts w:ascii="Arial" w:cs="Arial" w:eastAsia="Arial" w:hAnsi="Arial"/>
                <w:sz w:val="14"/>
                <w:szCs w:val="14"/>
                <w:color w:val="auto"/>
                <w:w w:val="96"/>
              </w:rPr>
              <w:t>R</w:t>
            </w:r>
            <w:r>
              <w:rPr>
                <w:rFonts w:ascii="Arial" w:cs="Arial" w:eastAsia="Arial" w:hAnsi="Arial"/>
                <w:sz w:val="18"/>
                <w:szCs w:val="18"/>
                <w:color w:val="auto"/>
                <w:w w:val="96"/>
              </w:rPr>
              <w:t>.</w:t>
            </w:r>
          </w:p>
        </w:tc>
        <w:tc>
          <w:tcPr>
            <w:tcW w:w="4640" w:type="dxa"/>
            <w:vAlign w:val="bottom"/>
            <w:gridSpan w:val="3"/>
          </w:tcPr>
          <w:p>
            <w:pPr>
              <w:jc w:val="center"/>
              <w:ind w:left="1332"/>
              <w:spacing w:after="0"/>
              <w:rPr>
                <w:sz w:val="20"/>
                <w:szCs w:val="20"/>
                <w:color w:val="auto"/>
              </w:rPr>
            </w:pPr>
            <w:r>
              <w:rPr>
                <w:rFonts w:ascii="Arial" w:cs="Arial" w:eastAsia="Arial" w:hAnsi="Arial"/>
                <w:sz w:val="18"/>
                <w:szCs w:val="18"/>
                <w:color w:val="auto"/>
                <w:w w:val="91"/>
              </w:rPr>
              <w:t>Director</w:t>
            </w:r>
          </w:p>
        </w:tc>
      </w:tr>
      <w:tr>
        <w:trPr>
          <w:trHeight w:val="169"/>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90"/>
              </w:rPr>
              <w:t>Charles H. Gaylord, Jr.</w:t>
            </w: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19"/>
        </w:trPr>
        <w:tc>
          <w:tcPr>
            <w:tcW w:w="212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color w:val="auto"/>
              </w:rPr>
              <w:t>/s/</w:t>
            </w:r>
          </w:p>
        </w:tc>
        <w:tc>
          <w:tcPr>
            <w:tcW w:w="3700" w:type="dxa"/>
            <w:vAlign w:val="bottom"/>
            <w:tcBorders>
              <w:bottom w:val="single" w:sz="8" w:color="auto"/>
            </w:tcBorders>
            <w:gridSpan w:val="4"/>
          </w:tcPr>
          <w:p>
            <w:pPr>
              <w:jc w:val="center"/>
              <w:ind w:right="198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S. G</w:t>
            </w:r>
            <w:r>
              <w:rPr>
                <w:rFonts w:ascii="Arial" w:cs="Arial" w:eastAsia="Arial" w:hAnsi="Arial"/>
                <w:sz w:val="14"/>
                <w:szCs w:val="14"/>
                <w:color w:val="auto"/>
              </w:rPr>
              <w:t>LANVILLE</w:t>
            </w:r>
          </w:p>
        </w:tc>
        <w:tc>
          <w:tcPr>
            <w:tcW w:w="4640" w:type="dxa"/>
            <w:vAlign w:val="bottom"/>
            <w:gridSpan w:val="3"/>
          </w:tcPr>
          <w:p>
            <w:pPr>
              <w:jc w:val="center"/>
              <w:ind w:left="1332"/>
              <w:spacing w:after="0"/>
              <w:rPr>
                <w:sz w:val="20"/>
                <w:szCs w:val="20"/>
                <w:color w:val="auto"/>
              </w:rPr>
            </w:pPr>
            <w:r>
              <w:rPr>
                <w:rFonts w:ascii="Arial" w:cs="Arial" w:eastAsia="Arial" w:hAnsi="Arial"/>
                <w:sz w:val="18"/>
                <w:szCs w:val="18"/>
                <w:color w:val="auto"/>
                <w:w w:val="91"/>
              </w:rPr>
              <w:t>Director</w:t>
            </w:r>
          </w:p>
        </w:tc>
      </w:tr>
      <w:tr>
        <w:trPr>
          <w:trHeight w:val="169"/>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87"/>
              </w:rPr>
              <w:t>Thomas S. Glanville</w:t>
            </w: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19"/>
        </w:trPr>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00" w:type="dxa"/>
            <w:vAlign w:val="bottom"/>
            <w:tcBorders>
              <w:bottom w:val="single" w:sz="8" w:color="auto"/>
            </w:tcBorders>
            <w:gridSpan w:val="4"/>
          </w:tcPr>
          <w:p>
            <w:pPr>
              <w:jc w:val="center"/>
              <w:ind w:right="20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HARON</w:t>
            </w:r>
            <w:r>
              <w:rPr>
                <w:rFonts w:ascii="Arial" w:cs="Arial" w:eastAsia="Arial" w:hAnsi="Arial"/>
                <w:sz w:val="18"/>
                <w:szCs w:val="18"/>
                <w:color w:val="auto"/>
                <w:w w:val="98"/>
              </w:rPr>
              <w:t xml:space="preserve"> L. N</w:t>
            </w:r>
            <w:r>
              <w:rPr>
                <w:rFonts w:ascii="Arial" w:cs="Arial" w:eastAsia="Arial" w:hAnsi="Arial"/>
                <w:sz w:val="14"/>
                <w:szCs w:val="14"/>
                <w:color w:val="auto"/>
                <w:w w:val="98"/>
              </w:rPr>
              <w:t>ELSON</w:t>
            </w:r>
          </w:p>
        </w:tc>
        <w:tc>
          <w:tcPr>
            <w:tcW w:w="4640" w:type="dxa"/>
            <w:vAlign w:val="bottom"/>
            <w:gridSpan w:val="3"/>
          </w:tcPr>
          <w:p>
            <w:pPr>
              <w:jc w:val="center"/>
              <w:ind w:left="1332"/>
              <w:spacing w:after="0"/>
              <w:rPr>
                <w:sz w:val="20"/>
                <w:szCs w:val="20"/>
                <w:color w:val="auto"/>
              </w:rPr>
            </w:pPr>
            <w:r>
              <w:rPr>
                <w:rFonts w:ascii="Arial" w:cs="Arial" w:eastAsia="Arial" w:hAnsi="Arial"/>
                <w:sz w:val="18"/>
                <w:szCs w:val="18"/>
                <w:color w:val="auto"/>
                <w:w w:val="91"/>
              </w:rPr>
              <w:t>Director</w:t>
            </w:r>
          </w:p>
        </w:tc>
      </w:tr>
      <w:tr>
        <w:trPr>
          <w:trHeight w:val="169"/>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86"/>
              </w:rPr>
              <w:t>Sharon L. Nelson</w:t>
            </w: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19"/>
        </w:trPr>
        <w:tc>
          <w:tcPr>
            <w:tcW w:w="212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color w:val="auto"/>
              </w:rPr>
              <w:t>/s/</w:t>
            </w:r>
          </w:p>
        </w:tc>
        <w:tc>
          <w:tcPr>
            <w:tcW w:w="3700" w:type="dxa"/>
            <w:vAlign w:val="bottom"/>
            <w:tcBorders>
              <w:bottom w:val="single" w:sz="8" w:color="auto"/>
            </w:tcBorders>
            <w:gridSpan w:val="4"/>
          </w:tcPr>
          <w:p>
            <w:pPr>
              <w:jc w:val="center"/>
              <w:ind w:right="206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RAHAM</w:t>
            </w:r>
            <w:r>
              <w:rPr>
                <w:rFonts w:ascii="Arial" w:cs="Arial" w:eastAsia="Arial" w:hAnsi="Arial"/>
                <w:sz w:val="18"/>
                <w:szCs w:val="18"/>
                <w:color w:val="auto"/>
              </w:rPr>
              <w:t xml:space="preserve"> M. W</w:t>
            </w:r>
            <w:r>
              <w:rPr>
                <w:rFonts w:ascii="Arial" w:cs="Arial" w:eastAsia="Arial" w:hAnsi="Arial"/>
                <w:sz w:val="14"/>
                <w:szCs w:val="14"/>
                <w:color w:val="auto"/>
              </w:rPr>
              <w:t>ILSON</w:t>
            </w:r>
          </w:p>
        </w:tc>
        <w:tc>
          <w:tcPr>
            <w:tcW w:w="4640" w:type="dxa"/>
            <w:vAlign w:val="bottom"/>
            <w:gridSpan w:val="3"/>
          </w:tcPr>
          <w:p>
            <w:pPr>
              <w:jc w:val="center"/>
              <w:ind w:left="1332"/>
              <w:spacing w:after="0"/>
              <w:rPr>
                <w:sz w:val="20"/>
                <w:szCs w:val="20"/>
                <w:color w:val="auto"/>
              </w:rPr>
            </w:pPr>
            <w:r>
              <w:rPr>
                <w:rFonts w:ascii="Arial" w:cs="Arial" w:eastAsia="Arial" w:hAnsi="Arial"/>
                <w:sz w:val="18"/>
                <w:szCs w:val="18"/>
                <w:color w:val="auto"/>
                <w:w w:val="91"/>
              </w:rPr>
              <w:t>Director</w:t>
            </w:r>
          </w:p>
        </w:tc>
      </w:tr>
      <w:tr>
        <w:trPr>
          <w:trHeight w:val="169"/>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91"/>
              </w:rPr>
              <w:t>Graham M. Wilson</w:t>
            </w: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r>
    </w:tbl>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274"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40" w:type="dxa"/>
            <w:vAlign w:val="bottom"/>
            <w:gridSpan w:val="3"/>
          </w:tcPr>
          <w:p>
            <w:pPr>
              <w:ind w:left="4060"/>
              <w:spacing w:after="0"/>
              <w:rPr>
                <w:sz w:val="20"/>
                <w:szCs w:val="20"/>
                <w:color w:val="auto"/>
              </w:rPr>
            </w:pPr>
            <w:r>
              <w:rPr>
                <w:rFonts w:ascii="Arial" w:cs="Arial" w:eastAsia="Arial" w:hAnsi="Arial"/>
                <w:sz w:val="18"/>
                <w:szCs w:val="18"/>
                <w:b w:val="1"/>
                <w:bCs w:val="1"/>
                <w:color w:val="auto"/>
              </w:rPr>
              <w:t>INDEX TO EXHIBITS</w:t>
            </w:r>
          </w:p>
        </w:tc>
      </w:tr>
      <w:tr>
        <w:trPr>
          <w:trHeight w:val="406"/>
        </w:trPr>
        <w:tc>
          <w:tcPr>
            <w:tcW w:w="78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4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90"/>
        </w:trPr>
        <w:tc>
          <w:tcPr>
            <w:tcW w:w="6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91"/>
              </w:rPr>
              <w:t>Number</w:t>
            </w: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568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444"/>
        </w:trPr>
        <w:tc>
          <w:tcPr>
            <w:tcW w:w="64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w w:val="88"/>
              </w:rPr>
              <w:t>Rights Agreement between Itron, Inc. and Mellon Investor Services LLC, as Rights Agent, dated as of December 11, 2002 (filed as Exhibit 4.1 to the</w:t>
            </w:r>
          </w:p>
        </w:tc>
      </w:tr>
      <w:tr>
        <w:trPr>
          <w:trHeight w:val="222"/>
        </w:trPr>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Itron, Inc. Registration of Securities on Form 8-A, filed on December 16, 2002, File No. 0-22418).</w:t>
            </w:r>
          </w:p>
        </w:tc>
      </w:tr>
      <w:tr>
        <w:trPr>
          <w:trHeight w:val="432"/>
        </w:trPr>
        <w:tc>
          <w:tcPr>
            <w:tcW w:w="64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Opinion of Perkins Coie LLP regarding legality of the Common Stock being registered.</w:t>
            </w:r>
          </w:p>
        </w:tc>
      </w:tr>
      <w:tr>
        <w:trPr>
          <w:trHeight w:val="432"/>
        </w:trPr>
        <w:tc>
          <w:tcPr>
            <w:tcW w:w="640" w:type="dxa"/>
            <w:vAlign w:val="bottom"/>
          </w:tcPr>
          <w:p>
            <w:pPr>
              <w:jc w:val="right"/>
              <w:ind w:right="92"/>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432"/>
        </w:trPr>
        <w:tc>
          <w:tcPr>
            <w:tcW w:w="640" w:type="dxa"/>
            <w:vAlign w:val="bottom"/>
          </w:tcPr>
          <w:p>
            <w:pPr>
              <w:jc w:val="right"/>
              <w:ind w:right="92"/>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24"/>
                <w:szCs w:val="24"/>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Consent of Perkins Coie LLP (included in opinion filed as Exhibit 5.1).</w:t>
            </w:r>
          </w:p>
        </w:tc>
      </w:tr>
      <w:tr>
        <w:trPr>
          <w:trHeight w:val="432"/>
        </w:trPr>
        <w:tc>
          <w:tcPr>
            <w:tcW w:w="640" w:type="dxa"/>
            <w:vAlign w:val="bottom"/>
          </w:tcPr>
          <w:p>
            <w:pPr>
              <w:jc w:val="right"/>
              <w:ind w:right="92"/>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4"/>
                <w:szCs w:val="24"/>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Power of Attorney (see signature page).</w:t>
            </w:r>
          </w:p>
        </w:tc>
      </w:tr>
      <w:tr>
        <w:trPr>
          <w:trHeight w:val="426"/>
        </w:trPr>
        <w:tc>
          <w:tcPr>
            <w:tcW w:w="640" w:type="dxa"/>
            <w:vAlign w:val="bottom"/>
          </w:tcPr>
          <w:p>
            <w:pPr>
              <w:jc w:val="right"/>
              <w:ind w:right="92"/>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w w:val="94"/>
              </w:rPr>
              <w:t>Itron, Inc. Amended and Restated 2000 Stock Incentive Plan (incorporated by reference to Appendix A to the Definitive Proxy Statement on</w:t>
            </w:r>
          </w:p>
        </w:tc>
      </w:tr>
      <w:tr>
        <w:trPr>
          <w:trHeight w:val="222"/>
        </w:trPr>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Schedule 14A filed with the Commission on March 16, 2006).</w:t>
            </w:r>
          </w:p>
        </w:tc>
      </w:tr>
    </w:tbl>
    <w:p>
      <w:pPr>
        <w:ind w:left="14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P</w:t>
      </w:r>
      <w:r>
        <w:rPr>
          <w:rFonts w:ascii="Arial" w:cs="Arial" w:eastAsia="Arial" w:hAnsi="Arial"/>
          <w:sz w:val="27"/>
          <w:szCs w:val="27"/>
          <w:b w:val="1"/>
          <w:bCs w:val="1"/>
          <w:color w:val="auto"/>
        </w:rPr>
        <w:t>ERKINS</w:t>
      </w:r>
      <w:r>
        <w:rPr>
          <w:rFonts w:ascii="Arial" w:cs="Arial" w:eastAsia="Arial" w:hAnsi="Arial"/>
          <w:sz w:val="32"/>
          <w:szCs w:val="32"/>
          <w:b w:val="1"/>
          <w:bCs w:val="1"/>
          <w:color w:val="auto"/>
        </w:rPr>
        <w:t xml:space="preserve"> C</w:t>
      </w:r>
      <w:r>
        <w:rPr>
          <w:rFonts w:ascii="Arial" w:cs="Arial" w:eastAsia="Arial" w:hAnsi="Arial"/>
          <w:sz w:val="27"/>
          <w:szCs w:val="27"/>
          <w:b w:val="1"/>
          <w:bCs w:val="1"/>
          <w:color w:val="auto"/>
        </w:rPr>
        <w:t>OIE</w:t>
      </w:r>
      <w:r>
        <w:rPr>
          <w:rFonts w:ascii="Arial" w:cs="Arial" w:eastAsia="Arial" w:hAnsi="Arial"/>
          <w:sz w:val="32"/>
          <w:szCs w:val="32"/>
          <w:b w:val="1"/>
          <w:bCs w:val="1"/>
          <w:color w:val="auto"/>
        </w:rPr>
        <w:t xml:space="preserve"> LLP</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1201 T</w:t>
      </w:r>
      <w:r>
        <w:rPr>
          <w:rFonts w:ascii="Arial" w:cs="Arial" w:eastAsia="Arial" w:hAnsi="Arial"/>
          <w:sz w:val="14"/>
          <w:szCs w:val="14"/>
          <w:color w:val="auto"/>
        </w:rPr>
        <w:t>HIRD</w:t>
      </w:r>
      <w:r>
        <w:rPr>
          <w:rFonts w:ascii="Arial" w:cs="Arial" w:eastAsia="Arial" w:hAnsi="Arial"/>
          <w:sz w:val="18"/>
          <w:szCs w:val="18"/>
          <w:color w:val="auto"/>
        </w:rPr>
        <w:t xml:space="preserve"> A</w:t>
      </w:r>
      <w:r>
        <w:rPr>
          <w:rFonts w:ascii="Arial" w:cs="Arial" w:eastAsia="Arial" w:hAnsi="Arial"/>
          <w:sz w:val="14"/>
          <w:szCs w:val="14"/>
          <w:color w:val="auto"/>
        </w:rPr>
        <w:t>VENUE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4800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EATTLE</w:t>
      </w:r>
      <w:r>
        <w:rPr>
          <w:rFonts w:ascii="Arial" w:cs="Arial" w:eastAsia="Arial" w:hAnsi="Arial"/>
          <w:sz w:val="18"/>
          <w:szCs w:val="18"/>
          <w:color w:val="auto"/>
        </w:rPr>
        <w:t>, WA 98101-3099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HONE</w:t>
      </w:r>
      <w:r>
        <w:rPr>
          <w:rFonts w:ascii="Arial" w:cs="Arial" w:eastAsia="Arial" w:hAnsi="Arial"/>
          <w:sz w:val="18"/>
          <w:szCs w:val="18"/>
          <w:color w:val="auto"/>
        </w:rPr>
        <w:t>: 206 359-8000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AX</w:t>
      </w:r>
      <w:r>
        <w:rPr>
          <w:rFonts w:ascii="Arial" w:cs="Arial" w:eastAsia="Arial" w:hAnsi="Arial"/>
          <w:sz w:val="18"/>
          <w:szCs w:val="18"/>
          <w:color w:val="auto"/>
        </w:rPr>
        <w:t>: 206 359-9000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auto"/>
        </w:rPr>
        <w:t>WWW</w:t>
      </w:r>
      <w:r>
        <w:rPr>
          <w:rFonts w:ascii="Arial" w:cs="Arial" w:eastAsia="Arial" w:hAnsi="Arial"/>
          <w:sz w:val="17"/>
          <w:szCs w:val="17"/>
          <w:u w:val="single" w:color="auto"/>
          <w:color w:val="auto"/>
        </w:rPr>
        <w:t>.</w:t>
      </w:r>
      <w:r>
        <w:rPr>
          <w:rFonts w:ascii="Arial" w:cs="Arial" w:eastAsia="Arial" w:hAnsi="Arial"/>
          <w:sz w:val="15"/>
          <w:szCs w:val="15"/>
          <w:u w:val="single" w:color="auto"/>
          <w:color w:val="auto"/>
        </w:rPr>
        <w:t>PERKINSCOIE</w:t>
      </w:r>
      <w:r>
        <w:rPr>
          <w:rFonts w:ascii="Arial" w:cs="Arial" w:eastAsia="Arial" w:hAnsi="Arial"/>
          <w:sz w:val="17"/>
          <w:szCs w:val="17"/>
          <w:u w:val="single" w:color="auto"/>
          <w:color w:val="auto"/>
        </w:rPr>
        <w:t>.</w:t>
      </w:r>
      <w:r>
        <w:rPr>
          <w:rFonts w:ascii="Arial" w:cs="Arial" w:eastAsia="Arial" w:hAnsi="Arial"/>
          <w:sz w:val="15"/>
          <w:szCs w:val="15"/>
          <w:u w:val="single" w:color="auto"/>
          <w:color w:val="auto"/>
        </w:rPr>
        <w:t>COM</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5,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2818 N. Sullivan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Spokane Valley, Washington 99216-1897</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Registration Statement on Form S-8 of Shares of Common Stock,</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par value, of Itron, Inc.</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have acted as counsel to you in connection with the preparation of a Registration Statement on Form S-8 (the “Registration Statement”) under the Securities Act of 1933, as amended (the “Act”), which you are filing with the Securities and Exchange Commission with respect to up to 600,000 shares of common stock, no par value (the “Shares”), which may be issued under the Itron, Inc. Amended and Restated 2000 Stock Incentive Plan (the “Plan”).</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examined the Registration Statement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Based upon and subject to the foregoing, we are of the opinion that any Shares that may be issued pursuant to the Plan as original issuance shares have been duly authorized and that, upon the due execution by Itron, Inc. of any certificates representing such Shares, the registration by its registrar of such Shares and the sale thereof, and the receipt of consideration therefore, by Itron, Inc. in accordance with the terms of the Plan, such shares will be validly issued, fully paid and nonassessable.</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Act.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Perkins Coie LLP</w:t>
      </w:r>
    </w:p>
    <w:p>
      <w:pPr>
        <w:sectPr>
          <w:pgSz w:w="11900" w:h="16838" w:orient="portrait"/>
          <w:cols w:equalWidth="0" w:num="1">
            <w:col w:w="11420"/>
          </w:cols>
          <w:pgMar w:left="2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171"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February 23, 2006, relating to the consolidated financial statements and financial statement schedule of Itron, Inc. and subsidiaries, and management’s report on the effectiveness of internal control over financial reporting appearing in the Annual Report on Form 10-K of Itron, Inc. and subsidiaries for the year ended December 31, 2005.</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5,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06"/>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2EB141F2"/>
    <w:multiLevelType w:val="hybridMultilevel"/>
    <w:lvl w:ilvl="0">
      <w:lvlJc w:val="left"/>
      <w:lvlText w:val="%1"/>
      <w:numFmt w:val="upperLetter"/>
      <w:start w:val="1"/>
    </w:lvl>
    <w:lvl w:ilvl="1">
      <w:lvlJc w:val="left"/>
      <w:lvlText w:val="(%2)"/>
      <w:numFmt w:val="decimal"/>
      <w:start w:val="2"/>
    </w:lvl>
  </w:abstractNum>
  <w:abstractNum w:abstractNumId="6">
    <w:nsid w:val="41B71EFB"/>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2019-12-13T15:51:45Z</dcterms:created>
  <dcterms:modified xsi:type="dcterms:W3CDTF">2019-12-13T15:51:45Z</dcterms:modified>
</cp:coreProperties>
</file>