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As filed with the Securities and Exchange Commission on June 30, 1999</w:t>
      </w:r>
    </w:p>
    <w:p>
      <w:pPr>
        <w:spacing w:after="0" w:line="7" w:lineRule="exact"/>
        <w:rPr>
          <w:sz w:val="24"/>
          <w:szCs w:val="24"/>
          <w:color w:val="auto"/>
        </w:rPr>
      </w:pPr>
    </w:p>
    <w:p>
      <w:pPr>
        <w:ind w:left="5720"/>
        <w:spacing w:after="0"/>
        <w:rPr>
          <w:sz w:val="20"/>
          <w:szCs w:val="20"/>
          <w:color w:val="auto"/>
        </w:rPr>
      </w:pPr>
      <w:r>
        <w:rPr>
          <w:rFonts w:ascii="Courier New" w:cs="Courier New" w:eastAsia="Courier New" w:hAnsi="Courier New"/>
          <w:sz w:val="17"/>
          <w:szCs w:val="17"/>
          <w:color w:val="auto"/>
        </w:rPr>
        <w:t>Registration No. 333-</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84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w:t>
            </w:r>
          </w:p>
        </w:tc>
      </w:tr>
      <w:tr>
        <w:trPr>
          <w:trHeight w:val="4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SECURITIES AND EXCHANGE COMMISSION</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Washington, D.C. 20549</w:t>
            </w:r>
          </w:p>
        </w:tc>
      </w:tr>
      <w:tr>
        <w:trPr>
          <w:trHeight w:val="200"/>
        </w:trPr>
        <w:tc>
          <w:tcPr>
            <w:tcW w:w="8420" w:type="dxa"/>
            <w:vAlign w:val="bottom"/>
            <w:gridSpan w:val="2"/>
          </w:tcPr>
          <w:p>
            <w:pPr>
              <w:jc w:val="center"/>
              <w:ind w:right="213"/>
              <w:spacing w:after="0"/>
              <w:rPr>
                <w:sz w:val="20"/>
                <w:szCs w:val="20"/>
                <w:color w:val="auto"/>
              </w:rPr>
            </w:pPr>
            <w:r>
              <w:rPr>
                <w:rFonts w:ascii="Courier New" w:cs="Courier New" w:eastAsia="Courier New" w:hAnsi="Courier New"/>
                <w:sz w:val="17"/>
                <w:szCs w:val="17"/>
                <w:color w:val="auto"/>
              </w:rPr>
              <w:t>----------------------</w:t>
            </w:r>
          </w:p>
        </w:tc>
      </w:tr>
      <w:tr>
        <w:trPr>
          <w:trHeight w:val="400"/>
        </w:trPr>
        <w:tc>
          <w:tcPr>
            <w:tcW w:w="3540" w:type="dxa"/>
            <w:vAlign w:val="bottom"/>
          </w:tcPr>
          <w:p>
            <w:pPr>
              <w:spacing w:after="0"/>
              <w:rPr>
                <w:sz w:val="24"/>
                <w:szCs w:val="24"/>
                <w:color w:val="auto"/>
              </w:rPr>
            </w:pPr>
          </w:p>
        </w:tc>
        <w:tc>
          <w:tcPr>
            <w:tcW w:w="4880" w:type="dxa"/>
            <w:vAlign w:val="bottom"/>
          </w:tcPr>
          <w:p>
            <w:pPr>
              <w:jc w:val="center"/>
              <w:ind w:right="3553"/>
              <w:spacing w:after="0"/>
              <w:rPr>
                <w:sz w:val="20"/>
                <w:szCs w:val="20"/>
                <w:color w:val="auto"/>
              </w:rPr>
            </w:pPr>
            <w:r>
              <w:rPr>
                <w:rFonts w:ascii="Courier New" w:cs="Courier New" w:eastAsia="Courier New" w:hAnsi="Courier New"/>
                <w:sz w:val="17"/>
                <w:szCs w:val="17"/>
                <w:color w:val="auto"/>
              </w:rPr>
              <w:t>FORM S-8</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REGISTRATION STATEMENT</w:t>
            </w:r>
          </w:p>
        </w:tc>
      </w:tr>
      <w:tr>
        <w:trPr>
          <w:trHeight w:val="200"/>
        </w:trPr>
        <w:tc>
          <w:tcPr>
            <w:tcW w:w="3540" w:type="dxa"/>
            <w:vAlign w:val="bottom"/>
          </w:tcPr>
          <w:p>
            <w:pPr>
              <w:spacing w:after="0"/>
              <w:rPr>
                <w:sz w:val="17"/>
                <w:szCs w:val="17"/>
                <w:color w:val="auto"/>
              </w:rPr>
            </w:pPr>
          </w:p>
        </w:tc>
        <w:tc>
          <w:tcPr>
            <w:tcW w:w="4880" w:type="dxa"/>
            <w:vAlign w:val="bottom"/>
          </w:tcPr>
          <w:p>
            <w:pPr>
              <w:jc w:val="center"/>
              <w:ind w:right="3433"/>
              <w:spacing w:after="0"/>
              <w:rPr>
                <w:sz w:val="20"/>
                <w:szCs w:val="20"/>
                <w:color w:val="auto"/>
              </w:rPr>
            </w:pPr>
            <w:r>
              <w:rPr>
                <w:rFonts w:ascii="Courier New" w:cs="Courier New" w:eastAsia="Courier New" w:hAnsi="Courier New"/>
                <w:sz w:val="17"/>
                <w:szCs w:val="17"/>
                <w:color w:val="auto"/>
              </w:rPr>
              <w:t>UNDER</w:t>
            </w:r>
          </w:p>
        </w:tc>
      </w:tr>
      <w:tr>
        <w:trPr>
          <w:trHeight w:val="200"/>
        </w:trPr>
        <w:tc>
          <w:tcPr>
            <w:tcW w:w="84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THE SECURITIES ACT OF 1933</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3540" w:type="dxa"/>
            <w:vAlign w:val="bottom"/>
          </w:tcPr>
          <w:p>
            <w:pPr>
              <w:spacing w:after="0"/>
              <w:rPr>
                <w:sz w:val="24"/>
                <w:szCs w:val="24"/>
                <w:color w:val="auto"/>
              </w:rPr>
            </w:pPr>
          </w:p>
        </w:tc>
        <w:tc>
          <w:tcPr>
            <w:tcW w:w="4880" w:type="dxa"/>
            <w:vAlign w:val="bottom"/>
          </w:tcPr>
          <w:p>
            <w:pPr>
              <w:jc w:val="center"/>
              <w:ind w:right="3453"/>
              <w:spacing w:after="0"/>
              <w:rPr>
                <w:sz w:val="20"/>
                <w:szCs w:val="20"/>
                <w:color w:val="auto"/>
              </w:rPr>
            </w:pPr>
            <w:r>
              <w:rPr>
                <w:rFonts w:ascii="Courier New" w:cs="Courier New" w:eastAsia="Courier New" w:hAnsi="Courier New"/>
                <w:sz w:val="17"/>
                <w:szCs w:val="17"/>
                <w:color w:val="auto"/>
              </w:rPr>
              <w:t>ITRON, INC.</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(Exact name of Registrant as specified in its charter)</w:t>
            </w:r>
          </w:p>
        </w:tc>
      </w:tr>
      <w:tr>
        <w:trPr>
          <w:trHeight w:val="400"/>
        </w:trPr>
        <w:tc>
          <w:tcPr>
            <w:tcW w:w="3540" w:type="dxa"/>
            <w:vAlign w:val="bottom"/>
          </w:tcPr>
          <w:p>
            <w:pPr>
              <w:ind w:left="740"/>
              <w:spacing w:after="0"/>
              <w:rPr>
                <w:sz w:val="20"/>
                <w:szCs w:val="20"/>
                <w:color w:val="auto"/>
              </w:rPr>
            </w:pPr>
            <w:r>
              <w:rPr>
                <w:rFonts w:ascii="Courier New" w:cs="Courier New" w:eastAsia="Courier New" w:hAnsi="Courier New"/>
                <w:sz w:val="17"/>
                <w:szCs w:val="17"/>
                <w:color w:val="auto"/>
              </w:rPr>
              <w:t>Washington</w:t>
            </w:r>
          </w:p>
        </w:tc>
        <w:tc>
          <w:tcPr>
            <w:tcW w:w="48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91-1011792</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(State or other jurisdiction</w:t>
            </w:r>
          </w:p>
        </w:tc>
        <w:tc>
          <w:tcPr>
            <w:tcW w:w="4880" w:type="dxa"/>
            <w:vAlign w:val="bottom"/>
          </w:tcPr>
          <w:p>
            <w:pPr>
              <w:spacing w:after="0"/>
              <w:rPr>
                <w:sz w:val="17"/>
                <w:szCs w:val="17"/>
                <w:color w:val="auto"/>
              </w:rPr>
            </w:pP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of incorporation or organization)</w:t>
            </w:r>
          </w:p>
        </w:tc>
        <w:tc>
          <w:tcPr>
            <w:tcW w:w="4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(I.R.S. Employer Identification No.)</w:t>
            </w:r>
          </w:p>
        </w:tc>
      </w:tr>
      <w:tr>
        <w:trPr>
          <w:trHeight w:val="599"/>
        </w:trPr>
        <w:tc>
          <w:tcPr>
            <w:tcW w:w="84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2818 N. Sullivan Road</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Spokane, Washington 99216-1897</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(Address of principal executive offices, including zip code)</w:t>
            </w:r>
          </w:p>
        </w:tc>
      </w:tr>
      <w:tr>
        <w:trPr>
          <w:trHeight w:val="400"/>
        </w:trPr>
        <w:tc>
          <w:tcPr>
            <w:tcW w:w="84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ITRON, INC. 1996 EMPLOYEE STOCK PURCHASE PLAN</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(Full title of the plan)</w:t>
            </w:r>
          </w:p>
        </w:tc>
      </w:tr>
      <w:tr>
        <w:trPr>
          <w:trHeight w:val="4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DAVID G. REMINGTON</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Vice President and Chief Financial Officer</w:t>
            </w:r>
          </w:p>
        </w:tc>
      </w:tr>
      <w:tr>
        <w:trPr>
          <w:trHeight w:val="200"/>
        </w:trPr>
        <w:tc>
          <w:tcPr>
            <w:tcW w:w="3540" w:type="dxa"/>
            <w:vAlign w:val="bottom"/>
          </w:tcPr>
          <w:p>
            <w:pPr>
              <w:spacing w:after="0"/>
              <w:rPr>
                <w:sz w:val="17"/>
                <w:szCs w:val="17"/>
                <w:color w:val="auto"/>
              </w:rPr>
            </w:pPr>
          </w:p>
        </w:tc>
        <w:tc>
          <w:tcPr>
            <w:tcW w:w="4880" w:type="dxa"/>
            <w:vAlign w:val="bottom"/>
          </w:tcPr>
          <w:p>
            <w:pPr>
              <w:jc w:val="center"/>
              <w:ind w:right="3453"/>
              <w:spacing w:after="0"/>
              <w:rPr>
                <w:sz w:val="20"/>
                <w:szCs w:val="20"/>
                <w:color w:val="auto"/>
              </w:rPr>
            </w:pPr>
            <w:r>
              <w:rPr>
                <w:rFonts w:ascii="Courier New" w:cs="Courier New" w:eastAsia="Courier New" w:hAnsi="Courier New"/>
                <w:sz w:val="17"/>
                <w:szCs w:val="17"/>
                <w:color w:val="auto"/>
              </w:rPr>
              <w:t>Itron, Inc.</w:t>
            </w:r>
          </w:p>
        </w:tc>
      </w:tr>
      <w:tr>
        <w:trPr>
          <w:trHeight w:val="200"/>
        </w:trPr>
        <w:tc>
          <w:tcPr>
            <w:tcW w:w="84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2818 N. Sullivan Road</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Spokane, Washington 99216-1897</w:t>
            </w:r>
          </w:p>
        </w:tc>
      </w:tr>
      <w:tr>
        <w:trPr>
          <w:trHeight w:val="200"/>
        </w:trPr>
        <w:tc>
          <w:tcPr>
            <w:tcW w:w="3540" w:type="dxa"/>
            <w:vAlign w:val="bottom"/>
          </w:tcPr>
          <w:p>
            <w:pPr>
              <w:spacing w:after="0"/>
              <w:rPr>
                <w:sz w:val="17"/>
                <w:szCs w:val="17"/>
                <w:color w:val="auto"/>
              </w:rPr>
            </w:pPr>
          </w:p>
        </w:tc>
        <w:tc>
          <w:tcPr>
            <w:tcW w:w="4880" w:type="dxa"/>
            <w:vAlign w:val="bottom"/>
          </w:tcPr>
          <w:p>
            <w:pPr>
              <w:jc w:val="right"/>
              <w:ind w:right="3233"/>
              <w:spacing w:after="0"/>
              <w:rPr>
                <w:sz w:val="20"/>
                <w:szCs w:val="20"/>
                <w:color w:val="auto"/>
              </w:rPr>
            </w:pPr>
            <w:r>
              <w:rPr>
                <w:rFonts w:ascii="Courier New" w:cs="Courier New" w:eastAsia="Courier New" w:hAnsi="Courier New"/>
                <w:sz w:val="17"/>
                <w:szCs w:val="17"/>
                <w:color w:val="auto"/>
              </w:rPr>
              <w:t>(509) 924-9900</w:t>
            </w:r>
          </w:p>
        </w:tc>
      </w:tr>
      <w:tr>
        <w:trPr>
          <w:trHeight w:val="200"/>
        </w:trPr>
        <w:tc>
          <w:tcPr>
            <w:tcW w:w="8420" w:type="dxa"/>
            <w:vAlign w:val="bottom"/>
            <w:gridSpan w:val="2"/>
          </w:tcPr>
          <w:p>
            <w:pPr>
              <w:spacing w:after="0"/>
              <w:rPr>
                <w:sz w:val="20"/>
                <w:szCs w:val="20"/>
                <w:color w:val="auto"/>
              </w:rPr>
            </w:pPr>
            <w:r>
              <w:rPr>
                <w:rFonts w:ascii="Courier New" w:cs="Courier New" w:eastAsia="Courier New" w:hAnsi="Courier New"/>
                <w:sz w:val="17"/>
                <w:szCs w:val="17"/>
                <w:color w:val="auto"/>
              </w:rPr>
              <w:t>(Name, address and telephone number, including area code, of agent for service)</w:t>
            </w:r>
          </w:p>
        </w:tc>
      </w:tr>
      <w:tr>
        <w:trPr>
          <w:trHeight w:val="200"/>
        </w:trPr>
        <w:tc>
          <w:tcPr>
            <w:tcW w:w="8420" w:type="dxa"/>
            <w:vAlign w:val="bottom"/>
            <w:gridSpan w:val="2"/>
          </w:tcPr>
          <w:p>
            <w:pPr>
              <w:jc w:val="center"/>
              <w:ind w:righ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3540" w:type="dxa"/>
            <w:vAlign w:val="bottom"/>
          </w:tcPr>
          <w:p>
            <w:pPr>
              <w:spacing w:after="0"/>
              <w:rPr>
                <w:sz w:val="17"/>
                <w:szCs w:val="17"/>
                <w:color w:val="auto"/>
              </w:rPr>
            </w:pPr>
          </w:p>
        </w:tc>
        <w:tc>
          <w:tcPr>
            <w:tcW w:w="4880" w:type="dxa"/>
            <w:vAlign w:val="bottom"/>
          </w:tcPr>
          <w:p>
            <w:pPr>
              <w:jc w:val="center"/>
              <w:ind w:right="3553"/>
              <w:spacing w:after="0"/>
              <w:rPr>
                <w:sz w:val="20"/>
                <w:szCs w:val="20"/>
                <w:color w:val="auto"/>
              </w:rPr>
            </w:pPr>
            <w:r>
              <w:rPr>
                <w:rFonts w:ascii="Courier New" w:cs="Courier New" w:eastAsia="Courier New" w:hAnsi="Courier New"/>
                <w:sz w:val="17"/>
                <w:szCs w:val="17"/>
                <w:color w:val="auto"/>
              </w:rPr>
              <w:t>Copy to:</w:t>
            </w:r>
          </w:p>
        </w:tc>
      </w:tr>
      <w:tr>
        <w:trPr>
          <w:trHeight w:val="400"/>
        </w:trPr>
        <w:tc>
          <w:tcPr>
            <w:tcW w:w="8420" w:type="dxa"/>
            <w:vAlign w:val="bottom"/>
            <w:gridSpan w:val="2"/>
          </w:tcPr>
          <w:p>
            <w:pPr>
              <w:jc w:val="center"/>
              <w:ind w:right="313"/>
              <w:spacing w:after="0"/>
              <w:rPr>
                <w:sz w:val="20"/>
                <w:szCs w:val="20"/>
                <w:color w:val="auto"/>
              </w:rPr>
            </w:pPr>
            <w:r>
              <w:rPr>
                <w:rFonts w:ascii="Courier New" w:cs="Courier New" w:eastAsia="Courier New" w:hAnsi="Courier New"/>
                <w:sz w:val="17"/>
                <w:szCs w:val="17"/>
                <w:color w:val="auto"/>
              </w:rPr>
              <w:t>LINDA A. SCHOEMAKER</w:t>
            </w:r>
          </w:p>
        </w:tc>
      </w:tr>
      <w:tr>
        <w:trPr>
          <w:trHeight w:val="200"/>
        </w:trPr>
        <w:tc>
          <w:tcPr>
            <w:tcW w:w="8420" w:type="dxa"/>
            <w:vAlign w:val="bottom"/>
            <w:gridSpan w:val="2"/>
          </w:tcPr>
          <w:p>
            <w:pPr>
              <w:ind w:left="3120"/>
              <w:spacing w:after="0"/>
              <w:rPr>
                <w:sz w:val="20"/>
                <w:szCs w:val="20"/>
                <w:color w:val="auto"/>
              </w:rPr>
            </w:pPr>
            <w:r>
              <w:rPr>
                <w:rFonts w:ascii="Courier New" w:cs="Courier New" w:eastAsia="Courier New" w:hAnsi="Courier New"/>
                <w:sz w:val="17"/>
                <w:szCs w:val="17"/>
                <w:color w:val="auto"/>
              </w:rPr>
              <w:t>Perkins Coie LLP</w:t>
            </w:r>
          </w:p>
        </w:tc>
      </w:tr>
      <w:tr>
        <w:trPr>
          <w:trHeight w:val="200"/>
        </w:trPr>
        <w:tc>
          <w:tcPr>
            <w:tcW w:w="8420" w:type="dxa"/>
            <w:vAlign w:val="bottom"/>
            <w:gridSpan w:val="2"/>
          </w:tcPr>
          <w:p>
            <w:pPr>
              <w:jc w:val="center"/>
              <w:ind w:right="313"/>
              <w:spacing w:after="0"/>
              <w:rPr>
                <w:sz w:val="20"/>
                <w:szCs w:val="20"/>
                <w:color w:val="auto"/>
              </w:rPr>
            </w:pPr>
            <w:r>
              <w:rPr>
                <w:rFonts w:ascii="Courier New" w:cs="Courier New" w:eastAsia="Courier New" w:hAnsi="Courier New"/>
                <w:sz w:val="17"/>
                <w:szCs w:val="17"/>
                <w:color w:val="auto"/>
              </w:rPr>
              <w:t>1201 Third Avenue, 40th Floor</w:t>
            </w:r>
          </w:p>
        </w:tc>
      </w:tr>
      <w:tr>
        <w:trPr>
          <w:trHeight w:val="200"/>
        </w:trPr>
        <w:tc>
          <w:tcPr>
            <w:tcW w:w="8420" w:type="dxa"/>
            <w:vAlign w:val="bottom"/>
            <w:gridSpan w:val="2"/>
          </w:tcPr>
          <w:p>
            <w:pPr>
              <w:jc w:val="center"/>
              <w:ind w:right="213"/>
              <w:spacing w:after="0"/>
              <w:rPr>
                <w:sz w:val="20"/>
                <w:szCs w:val="20"/>
                <w:color w:val="auto"/>
              </w:rPr>
            </w:pPr>
            <w:r>
              <w:rPr>
                <w:rFonts w:ascii="Courier New" w:cs="Courier New" w:eastAsia="Courier New" w:hAnsi="Courier New"/>
                <w:sz w:val="17"/>
                <w:szCs w:val="17"/>
                <w:color w:val="auto"/>
              </w:rPr>
              <w:t>Seattle, Washington 98101-3099</w:t>
            </w:r>
          </w:p>
        </w:tc>
      </w:tr>
      <w:tr>
        <w:trPr>
          <w:trHeight w:val="200"/>
        </w:trPr>
        <w:tc>
          <w:tcPr>
            <w:tcW w:w="8420" w:type="dxa"/>
            <w:vAlign w:val="bottom"/>
            <w:gridSpan w:val="2"/>
          </w:tcPr>
          <w:p>
            <w:pPr>
              <w:jc w:val="center"/>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CALCULATION OF REGISTRATION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7" w:lineRule="exact"/>
        <w:rPr>
          <w:sz w:val="24"/>
          <w:szCs w:val="24"/>
          <w:color w:val="auto"/>
        </w:rPr>
      </w:pPr>
    </w:p>
    <w:p>
      <w:pPr>
        <w:ind w:left="1140"/>
        <w:spacing w:after="0"/>
        <w:tabs>
          <w:tab w:leader="none" w:pos="4460" w:val="left"/>
          <w:tab w:leader="none" w:pos="5800" w:val="left"/>
          <w:tab w:leader="none" w:pos="7980" w:val="left"/>
          <w:tab w:leader="none" w:pos="10060" w:val="left"/>
        </w:tabs>
        <w:rPr>
          <w:sz w:val="20"/>
          <w:szCs w:val="20"/>
          <w:color w:val="auto"/>
        </w:rPr>
      </w:pPr>
      <w:r>
        <w:rPr>
          <w:rFonts w:ascii="Courier New" w:cs="Courier New" w:eastAsia="Courier New" w:hAnsi="Courier New"/>
          <w:sz w:val="17"/>
          <w:szCs w:val="17"/>
          <w:color w:val="auto"/>
        </w:rPr>
        <w:t>Title of Securities</w:t>
      </w:r>
      <w:r>
        <w:rPr>
          <w:sz w:val="20"/>
          <w:szCs w:val="20"/>
          <w:color w:val="auto"/>
        </w:rPr>
        <w:tab/>
      </w:r>
      <w:r>
        <w:rPr>
          <w:rFonts w:ascii="Courier New" w:cs="Courier New" w:eastAsia="Courier New" w:hAnsi="Courier New"/>
          <w:sz w:val="17"/>
          <w:szCs w:val="17"/>
          <w:color w:val="auto"/>
        </w:rPr>
        <w:t>Number to</w:t>
      </w:r>
      <w:r>
        <w:rPr>
          <w:sz w:val="20"/>
          <w:szCs w:val="20"/>
          <w:color w:val="auto"/>
        </w:rPr>
        <w:tab/>
      </w:r>
      <w:r>
        <w:rPr>
          <w:rFonts w:ascii="Courier New" w:cs="Courier New" w:eastAsia="Courier New" w:hAnsi="Courier New"/>
          <w:sz w:val="17"/>
          <w:szCs w:val="17"/>
          <w:color w:val="auto"/>
        </w:rPr>
        <w:t>Proposed Maximum</w:t>
      </w:r>
      <w:r>
        <w:rPr>
          <w:sz w:val="20"/>
          <w:szCs w:val="20"/>
          <w:color w:val="auto"/>
        </w:rPr>
        <w:tab/>
      </w:r>
      <w:r>
        <w:rPr>
          <w:rFonts w:ascii="Courier New" w:cs="Courier New" w:eastAsia="Courier New" w:hAnsi="Courier New"/>
          <w:sz w:val="17"/>
          <w:szCs w:val="17"/>
          <w:color w:val="auto"/>
        </w:rPr>
        <w:t>Proposed Maximum</w:t>
      </w:r>
      <w:r>
        <w:rPr>
          <w:sz w:val="20"/>
          <w:szCs w:val="20"/>
          <w:color w:val="auto"/>
        </w:rPr>
        <w:tab/>
      </w:r>
      <w:r>
        <w:rPr>
          <w:rFonts w:ascii="Courier New" w:cs="Courier New" w:eastAsia="Courier New" w:hAnsi="Courier New"/>
          <w:sz w:val="17"/>
          <w:szCs w:val="17"/>
          <w:color w:val="auto"/>
        </w:rPr>
        <w:t>Amount of</w:t>
      </w:r>
    </w:p>
    <w:p>
      <w:pPr>
        <w:spacing w:after="0" w:line="7" w:lineRule="exact"/>
        <w:rPr>
          <w:sz w:val="24"/>
          <w:szCs w:val="24"/>
          <w:color w:val="auto"/>
        </w:rPr>
      </w:pPr>
    </w:p>
    <w:p>
      <w:pPr>
        <w:ind w:left="1260"/>
        <w:spacing w:after="0"/>
        <w:tabs>
          <w:tab w:leader="none" w:pos="4860" w:val="left"/>
          <w:tab w:leader="none" w:pos="5700" w:val="left"/>
          <w:tab w:leader="none" w:pos="8300" w:val="left"/>
          <w:tab w:leader="none" w:pos="9960" w:val="left"/>
        </w:tabs>
        <w:rPr>
          <w:sz w:val="20"/>
          <w:szCs w:val="20"/>
          <w:color w:val="auto"/>
        </w:rPr>
      </w:pPr>
      <w:r>
        <w:rPr>
          <w:rFonts w:ascii="Courier New" w:cs="Courier New" w:eastAsia="Courier New" w:hAnsi="Courier New"/>
          <w:sz w:val="17"/>
          <w:szCs w:val="17"/>
          <w:color w:val="auto"/>
        </w:rPr>
        <w:t>to Be Registered</w:t>
      </w:r>
      <w:r>
        <w:rPr>
          <w:sz w:val="20"/>
          <w:szCs w:val="20"/>
          <w:color w:val="auto"/>
        </w:rPr>
        <w:tab/>
      </w:r>
      <w:r>
        <w:rPr>
          <w:rFonts w:ascii="Courier New" w:cs="Courier New" w:eastAsia="Courier New" w:hAnsi="Courier New"/>
          <w:sz w:val="17"/>
          <w:szCs w:val="17"/>
          <w:color w:val="auto"/>
        </w:rPr>
        <w:t>Be</w:t>
      </w:r>
      <w:r>
        <w:rPr>
          <w:sz w:val="20"/>
          <w:szCs w:val="20"/>
          <w:color w:val="auto"/>
        </w:rPr>
        <w:tab/>
      </w:r>
      <w:r>
        <w:rPr>
          <w:rFonts w:ascii="Courier New" w:cs="Courier New" w:eastAsia="Courier New" w:hAnsi="Courier New"/>
          <w:sz w:val="17"/>
          <w:szCs w:val="17"/>
          <w:color w:val="auto"/>
        </w:rPr>
        <w:t>Offering Price Per</w:t>
      </w:r>
      <w:r>
        <w:rPr>
          <w:sz w:val="20"/>
          <w:szCs w:val="20"/>
          <w:color w:val="auto"/>
        </w:rPr>
        <w:tab/>
      </w:r>
      <w:r>
        <w:rPr>
          <w:rFonts w:ascii="Courier New" w:cs="Courier New" w:eastAsia="Courier New" w:hAnsi="Courier New"/>
          <w:sz w:val="17"/>
          <w:szCs w:val="17"/>
          <w:color w:val="auto"/>
        </w:rPr>
        <w:t>Aggregate</w:t>
      </w:r>
      <w:r>
        <w:rPr>
          <w:sz w:val="20"/>
          <w:szCs w:val="20"/>
          <w:color w:val="auto"/>
        </w:rPr>
        <w:tab/>
      </w:r>
      <w:r>
        <w:rPr>
          <w:rFonts w:ascii="Courier New" w:cs="Courier New" w:eastAsia="Courier New" w:hAnsi="Courier New"/>
          <w:sz w:val="17"/>
          <w:szCs w:val="17"/>
          <w:color w:val="auto"/>
        </w:rPr>
        <w:t>Registration</w:t>
      </w:r>
    </w:p>
    <w:p>
      <w:pPr>
        <w:spacing w:after="0" w:line="7" w:lineRule="exact"/>
        <w:rPr>
          <w:sz w:val="24"/>
          <w:szCs w:val="24"/>
          <w:color w:val="auto"/>
        </w:rPr>
      </w:pPr>
    </w:p>
    <w:p>
      <w:pPr>
        <w:ind w:left="4480"/>
        <w:spacing w:after="0"/>
        <w:tabs>
          <w:tab w:leader="none" w:pos="6420" w:val="left"/>
          <w:tab w:leader="none" w:pos="8100" w:val="left"/>
          <w:tab w:leader="none" w:pos="10380" w:val="left"/>
        </w:tabs>
        <w:rPr>
          <w:sz w:val="20"/>
          <w:szCs w:val="20"/>
          <w:color w:val="auto"/>
        </w:rPr>
      </w:pPr>
      <w:r>
        <w:rPr>
          <w:rFonts w:ascii="Courier New" w:cs="Courier New" w:eastAsia="Courier New" w:hAnsi="Courier New"/>
          <w:sz w:val="17"/>
          <w:szCs w:val="17"/>
          <w:color w:val="auto"/>
        </w:rPr>
        <w:t>Registered(1)</w:t>
      </w:r>
      <w:r>
        <w:rPr>
          <w:sz w:val="20"/>
          <w:szCs w:val="20"/>
          <w:color w:val="auto"/>
        </w:rPr>
        <w:tab/>
      </w:r>
      <w:r>
        <w:rPr>
          <w:rFonts w:ascii="Courier New" w:cs="Courier New" w:eastAsia="Courier New" w:hAnsi="Courier New"/>
          <w:sz w:val="17"/>
          <w:szCs w:val="17"/>
          <w:color w:val="auto"/>
        </w:rPr>
        <w:t>Share</w:t>
      </w:r>
      <w:r>
        <w:rPr>
          <w:sz w:val="20"/>
          <w:szCs w:val="20"/>
          <w:color w:val="auto"/>
        </w:rPr>
        <w:tab/>
      </w:r>
      <w:r>
        <w:rPr>
          <w:rFonts w:ascii="Courier New" w:cs="Courier New" w:eastAsia="Courier New" w:hAnsi="Courier New"/>
          <w:sz w:val="17"/>
          <w:szCs w:val="17"/>
          <w:color w:val="auto"/>
        </w:rPr>
        <w:t>Offering Price</w:t>
      </w:r>
      <w:r>
        <w:rPr>
          <w:sz w:val="20"/>
          <w:szCs w:val="20"/>
          <w:color w:val="auto"/>
        </w:rPr>
        <w:tab/>
      </w:r>
      <w:r>
        <w:rPr>
          <w:rFonts w:ascii="Courier New" w:cs="Courier New" w:eastAsia="Courier New" w:hAnsi="Courier New"/>
          <w:sz w:val="16"/>
          <w:szCs w:val="16"/>
          <w:color w:val="auto"/>
        </w:rPr>
        <w:t>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207" w:lineRule="exact"/>
        <w:rPr>
          <w:sz w:val="24"/>
          <w:szCs w:val="24"/>
          <w:color w:val="auto"/>
        </w:rPr>
      </w:pPr>
    </w:p>
    <w:p>
      <w:pPr>
        <w:spacing w:after="0"/>
        <w:tabs>
          <w:tab w:leader="none" w:pos="4560" w:val="left"/>
          <w:tab w:leader="none" w:pos="6120" w:val="left"/>
          <w:tab w:leader="none" w:pos="7980" w:val="left"/>
          <w:tab w:leader="none" w:pos="10160" w:val="left"/>
        </w:tabs>
        <w:rPr>
          <w:sz w:val="20"/>
          <w:szCs w:val="20"/>
          <w:color w:val="auto"/>
        </w:rPr>
      </w:pPr>
      <w:r>
        <w:rPr>
          <w:rFonts w:ascii="Courier New" w:cs="Courier New" w:eastAsia="Courier New" w:hAnsi="Courier New"/>
          <w:sz w:val="17"/>
          <w:szCs w:val="17"/>
          <w:color w:val="auto"/>
        </w:rPr>
        <w:t>Common Stock, no par value, under the</w:t>
      </w:r>
      <w:r>
        <w:rPr>
          <w:sz w:val="20"/>
          <w:szCs w:val="20"/>
          <w:color w:val="auto"/>
        </w:rPr>
        <w:tab/>
      </w:r>
      <w:r>
        <w:rPr>
          <w:rFonts w:ascii="Courier New" w:cs="Courier New" w:eastAsia="Courier New" w:hAnsi="Courier New"/>
          <w:sz w:val="17"/>
          <w:szCs w:val="17"/>
          <w:color w:val="auto"/>
        </w:rPr>
        <w:t>250,000</w:t>
      </w:r>
      <w:r>
        <w:rPr>
          <w:sz w:val="20"/>
          <w:szCs w:val="20"/>
          <w:color w:val="auto"/>
        </w:rPr>
        <w:tab/>
      </w:r>
      <w:r>
        <w:rPr>
          <w:rFonts w:ascii="Courier New" w:cs="Courier New" w:eastAsia="Courier New" w:hAnsi="Courier New"/>
          <w:sz w:val="17"/>
          <w:szCs w:val="17"/>
          <w:color w:val="auto"/>
        </w:rPr>
        <w:t>$7.4532(2)</w:t>
      </w:r>
      <w:r>
        <w:rPr>
          <w:sz w:val="20"/>
          <w:szCs w:val="20"/>
          <w:color w:val="auto"/>
        </w:rPr>
        <w:tab/>
      </w:r>
      <w:r>
        <w:rPr>
          <w:rFonts w:ascii="Courier New" w:cs="Courier New" w:eastAsia="Courier New" w:hAnsi="Courier New"/>
          <w:sz w:val="17"/>
          <w:szCs w:val="17"/>
          <w:color w:val="auto"/>
        </w:rPr>
        <w:t>$1,863,300.00(2)</w:t>
      </w:r>
      <w:r>
        <w:rPr>
          <w:sz w:val="20"/>
          <w:szCs w:val="20"/>
          <w:color w:val="auto"/>
        </w:rPr>
        <w:tab/>
      </w:r>
      <w:r>
        <w:rPr>
          <w:rFonts w:ascii="Courier New" w:cs="Courier New" w:eastAsia="Courier New" w:hAnsi="Courier New"/>
          <w:sz w:val="17"/>
          <w:szCs w:val="17"/>
          <w:color w:val="auto"/>
        </w:rPr>
        <w:t>$518.00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Itron, Inc. 1996 Employee Stock Purchase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Plan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200" w:lineRule="exact"/>
        <w:rPr>
          <w:sz w:val="24"/>
          <w:szCs w:val="24"/>
          <w:color w:val="auto"/>
        </w:rPr>
      </w:pPr>
    </w:p>
    <w:p>
      <w:pPr>
        <w:spacing w:after="0" w:line="207" w:lineRule="exact"/>
        <w:rPr>
          <w:sz w:val="24"/>
          <w:szCs w:val="24"/>
          <w:color w:val="auto"/>
        </w:rPr>
      </w:pPr>
    </w:p>
    <w:p>
      <w:pPr>
        <w:jc w:val="both"/>
        <w:ind w:left="940" w:right="3200" w:hanging="933"/>
        <w:spacing w:after="0" w:line="249" w:lineRule="auto"/>
        <w:tabs>
          <w:tab w:leader="none" w:pos="9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Together with an indeterminate number of additional shares that may be necessary to adjust the number of shares reserved for issuance pursuant to such employee benefit plans as the result of any future stock split, stock dividend or similar adjustment of the Registrant's outstanding Common Stock.</w:t>
      </w:r>
    </w:p>
    <w:p>
      <w:pPr>
        <w:spacing w:after="0" w:line="199" w:lineRule="exact"/>
        <w:rPr>
          <w:rFonts w:ascii="Courier New" w:cs="Courier New" w:eastAsia="Courier New" w:hAnsi="Courier New"/>
          <w:sz w:val="17"/>
          <w:szCs w:val="17"/>
          <w:color w:val="auto"/>
        </w:rPr>
      </w:pPr>
    </w:p>
    <w:p>
      <w:pPr>
        <w:ind w:left="940" w:right="3200" w:hanging="933"/>
        <w:spacing w:after="0" w:line="248" w:lineRule="auto"/>
        <w:tabs>
          <w:tab w:leader="none" w:pos="9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pursuant to Rule 457(c) under the Securities Act of 1933, as amended. The price per share is estimated to be $7.4532, based on the average of the high ($7.75) and low ($7.1563) prices for the Common Stock</w:t>
      </w:r>
    </w:p>
    <w:p>
      <w:pPr>
        <w:spacing w:after="0" w:line="3"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on June 28, 1999, as reported on the Nasdaq National Market.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3860"/>
        <w:spacing w:after="0"/>
        <w:rPr>
          <w:sz w:val="20"/>
          <w:szCs w:val="20"/>
          <w:color w:val="auto"/>
        </w:rPr>
      </w:pPr>
      <w:r>
        <w:rPr>
          <w:rFonts w:ascii="Courier New" w:cs="Courier New" w:eastAsia="Courier New" w:hAnsi="Courier New"/>
          <w:sz w:val="17"/>
          <w:szCs w:val="17"/>
          <w:color w:val="auto"/>
        </w:rPr>
        <w:t>PART II</w:t>
      </w:r>
    </w:p>
    <w:p>
      <w:pPr>
        <w:sectPr>
          <w:pgSz w:w="11900" w:h="16838" w:orient="portrait"/>
          <w:cols w:equalWidth="0" w:num="1">
            <w:col w:w="11520"/>
          </w:cols>
          <w:pgMar w:left="240" w:top="248" w:right="139" w:bottom="0" w:gutter="0" w:footer="0" w:header="0"/>
        </w:sectPr>
      </w:pPr>
    </w:p>
    <w:bookmarkStart w:id="1" w:name="page2"/>
    <w:bookmarkEnd w:id="1"/>
    <w:p>
      <w:pPr>
        <w:ind w:left="1780"/>
        <w:spacing w:after="0"/>
        <w:rPr>
          <w:sz w:val="20"/>
          <w:szCs w:val="20"/>
          <w:color w:val="auto"/>
        </w:rPr>
      </w:pPr>
      <w:r>
        <w:rPr>
          <w:rFonts w:ascii="Courier New" w:cs="Courier New" w:eastAsia="Courier New" w:hAnsi="Courier New"/>
          <w:sz w:val="17"/>
          <w:szCs w:val="17"/>
          <w:color w:val="auto"/>
        </w:rPr>
        <w:t>INFORMATION REQUIRED IN REGISTRATION STATEMENT</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INCORPORATION OF CERTAIN DOCUMENTS BY REFERENCE</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firstLine="935"/>
        <w:spacing w:after="0" w:line="250" w:lineRule="auto"/>
        <w:rPr>
          <w:sz w:val="20"/>
          <w:szCs w:val="20"/>
          <w:color w:val="auto"/>
        </w:rPr>
      </w:pPr>
      <w:r>
        <w:rPr>
          <w:rFonts w:ascii="Courier New" w:cs="Courier New" w:eastAsia="Courier New" w:hAnsi="Courier New"/>
          <w:sz w:val="17"/>
          <w:szCs w:val="17"/>
          <w:color w:val="auto"/>
        </w:rPr>
        <w:t>The following documents filed Commission (the "Commission") are hereby Registration Statement: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899"/>
        <w:spacing w:after="0" w:line="251" w:lineRule="auto"/>
        <w:rPr>
          <w:sz w:val="20"/>
          <w:szCs w:val="20"/>
          <w:color w:val="auto"/>
        </w:rPr>
      </w:pPr>
      <w:r>
        <w:rPr>
          <w:rFonts w:ascii="Courier New" w:cs="Courier New" w:eastAsia="Courier New" w:hAnsi="Courier New"/>
          <w:sz w:val="17"/>
          <w:szCs w:val="17"/>
          <w:color w:val="auto"/>
        </w:rPr>
        <w:t>with  the  Securities  and  Exchange incorporated  by  reference in this</w:t>
      </w:r>
    </w:p>
    <w:p>
      <w:pPr>
        <w:spacing w:after="0" w:line="395" w:lineRule="exact"/>
        <w:rPr>
          <w:sz w:val="20"/>
          <w:szCs w:val="20"/>
          <w:color w:val="auto"/>
        </w:rPr>
      </w:pPr>
    </w:p>
    <w:p>
      <w:pPr>
        <w:sectPr>
          <w:pgSz w:w="11900" w:h="16838" w:orient="portrait"/>
          <w:cols w:equalWidth="0" w:num="2">
            <w:col w:w="4480" w:space="100"/>
            <w:col w:w="5639"/>
          </w:cols>
          <w:pgMar w:left="240" w:top="142" w:right="1440" w:bottom="0" w:gutter="0" w:footer="0" w:header="0"/>
          <w:type w:val="continuous"/>
        </w:sectPr>
      </w:pPr>
    </w:p>
    <w:p>
      <w:pPr>
        <w:jc w:val="both"/>
        <w:ind w:right="1899" w:firstLine="1877"/>
        <w:spacing w:after="0" w:line="249" w:lineRule="auto"/>
        <w:tabs>
          <w:tab w:leader="none" w:pos="228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Annual Report on Form 10-K for the year ended December 31, 1998, filed on March 30, 1999, which contains audited financial statements for the most recent fiscal year for which such statements have been filed;</w:t>
      </w:r>
    </w:p>
    <w:p>
      <w:pPr>
        <w:spacing w:after="0" w:line="199" w:lineRule="exact"/>
        <w:rPr>
          <w:rFonts w:ascii="Courier New" w:cs="Courier New" w:eastAsia="Courier New" w:hAnsi="Courier New"/>
          <w:sz w:val="17"/>
          <w:szCs w:val="17"/>
          <w:color w:val="auto"/>
        </w:rPr>
      </w:pPr>
    </w:p>
    <w:p>
      <w:pPr>
        <w:jc w:val="both"/>
        <w:ind w:right="1899" w:firstLine="1877"/>
        <w:spacing w:after="0" w:line="249" w:lineRule="auto"/>
        <w:tabs>
          <w:tab w:leader="none" w:pos="228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by the Registrant pursuant to Section 13(a) or 15(d) of the Securities Exchange Act of 1934, as amended (the "Exchange Act"), since the end of the fiscal year covered by the Annual Report on Form 10-K referred to in (a) above; and</w:t>
      </w:r>
    </w:p>
    <w:p>
      <w:pPr>
        <w:spacing w:after="0" w:line="199" w:lineRule="exact"/>
        <w:rPr>
          <w:rFonts w:ascii="Courier New" w:cs="Courier New" w:eastAsia="Courier New" w:hAnsi="Courier New"/>
          <w:sz w:val="17"/>
          <w:szCs w:val="17"/>
          <w:color w:val="auto"/>
        </w:rPr>
      </w:pPr>
    </w:p>
    <w:p>
      <w:pPr>
        <w:jc w:val="both"/>
        <w:ind w:right="1899" w:firstLine="1877"/>
        <w:spacing w:after="0" w:line="249" w:lineRule="auto"/>
        <w:tabs>
          <w:tab w:leader="none" w:pos="228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Registrant's Common Stock contained in the Registration Statement on Form 8-A filed on September 18, 1993, under Section 12(g) of the Exchange Act, including any amendments or reports filed for the purpose of updating such description.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All documents filed by the Registrant pursuant to Section 13(a), 13(c), 14 or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DESCRIPTION OF SECURITIES</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 applicable.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INTERESTS OF NAMED EXPERTS AND COUNSEL</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None.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INDEMNIFICATION OF DIRECTORS AND OFFICERS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Sections 23B.08.500 through 23B.08.600 of the Washington Business Corporation Act authorize a court to award, or a corporation's board of directors to grant, indemnification to directors and officers on terms sufficiently broad to permit indemnification under certain circumstances for liabilities arising under the Securities Act of 1933, as amended (the "Securities Act"). Section 10 of the Registrant's Restated Bylaws provides for indemnification of the Registrant's directors, officers, employees and agents to the maximum extent permitted by Washington law. Certain of the directors of the Registrant, who are affiliated with principal shareholders of the Registrant, also may be indemnified by such shareholders against liability they may incur in their capacity as a director of the Registrant, including pursuant to a liability insurance policy for such purpose.</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Section 23B.08.320 of the Washington Business Corporation Act authorizes a corporation to limit a director's liability to the corporation or its shareholders for monetary damages for acts or omissions as a director, except in certain circumstances involving intentional misconduct, self-dealing or illegal corporate loans or distributions, or any transactions from which the director personally receives a benefit in money, property or services to which the director is not entitled. Article 9 of the Registrant's Restated Articles of Incorporation contains provisions implementing, to the fullest extent permitted by Washington law, such limitations on a director's liability to the Registrant and its shareholders.</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Registrant has entered into an Indemnification Agreement with each of its executive officers and directors in which the Registrant agrees to hold harmless and indemnify the officer or director to the fullest extent permitted by Washington law. In addition, the Registrant agrees to indemnify the officer or director against any and all losses, claims, damages, liabilities or expenses incurred in connection with any actual, pending or threatened action, suit, claim or proceeding, whether civil, criminal, administrative or investigative and whether formal or informal, in which the officer or director is, was or becomes involved by reason of the fact that the officer or director is or was a director, officer, employee or agent of the Registrant, or that being or having been such a director, officer, employee or agent, such director is or was serving at the request of the Registrant as a director, officer, employee, trustee or agent of another corporation or of a partnership, joint venture, trust or other enterprise, including service with respect to an employee benefit plan, whether the basis of such proceeding is alleged action (or inaction) by the officer or director in an official capacity as a director, officer, employee, trustee or agent or in any other capacity while serving as a director,</w:t>
      </w:r>
    </w:p>
    <w:p>
      <w:pPr>
        <w:sectPr>
          <w:pgSz w:w="11900" w:h="16838" w:orient="portrait"/>
          <w:cols w:equalWidth="0" w:num="1">
            <w:col w:w="10219"/>
          </w:cols>
          <w:pgMar w:left="240" w:top="142" w:right="1440" w:bottom="0" w:gutter="0" w:footer="0" w:header="0"/>
          <w:type w:val="continuous"/>
        </w:sectPr>
      </w:pPr>
    </w:p>
    <w:bookmarkStart w:id="2" w:name="page3"/>
    <w:bookmarkEnd w:id="2"/>
    <w:p>
      <w:pPr>
        <w:jc w:val="both"/>
        <w:ind w:right="1899"/>
        <w:spacing w:after="0" w:line="249" w:lineRule="auto"/>
        <w:rPr>
          <w:sz w:val="20"/>
          <w:szCs w:val="20"/>
          <w:color w:val="auto"/>
        </w:rPr>
      </w:pPr>
      <w:r>
        <w:rPr>
          <w:rFonts w:ascii="Courier New" w:cs="Courier New" w:eastAsia="Courier New" w:hAnsi="Courier New"/>
          <w:sz w:val="17"/>
          <w:szCs w:val="17"/>
          <w:color w:val="auto"/>
        </w:rPr>
        <w:t>officer, employee, trustee or agent. The officer or director is not indemnified for any action, suit, claim or proceeding instituted by or at the direction of the officer or director unless such action, suit, claim or proceeding is or was authorized by the Registrant's Board of Directors or unless the action is to enforce the provisions of the Indemnification Agreement.</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No indemnity pursuant to the Indemnification Agreements may be provided by the Registrant on account of any suit in which a final, unappealable judgment is rendered against an officer or director for an accounting of profits made from the purchase or sale by the officer or director of securities of the Registrant in violation of the provisions of Section 16(b) of the Exchange Act, and amendments thereto, or for damages that have been paid directly to the executive officer or director by an insurance carrier under a policy of directors' and officers' liability insurance maintained by the Registrant.</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Officers and directors of the Registrant are covered by insurance (with certain exceptions and certain limitations) that indemnifies them against losses and liabilities arising from certain alleged "wrongful acts," including alleged errors or misstatements, or certain other alleged wrongful acts or omissions constituting neglect or breach of duty.</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EXEMPTION FROM REGISTRATION CLAIMED</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 applicable.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Item 8.  EXHIBITS</w:t>
            </w:r>
          </w:p>
        </w:tc>
        <w:tc>
          <w:tcPr>
            <w:tcW w:w="6140" w:type="dxa"/>
            <w:vAlign w:val="bottom"/>
          </w:tcPr>
          <w:p>
            <w:pPr>
              <w:spacing w:after="0"/>
              <w:rPr>
                <w:sz w:val="16"/>
                <w:szCs w:val="16"/>
                <w:color w:val="auto"/>
              </w:rPr>
            </w:pPr>
          </w:p>
        </w:tc>
      </w:tr>
      <w:tr>
        <w:trPr>
          <w:trHeight w:val="400"/>
        </w:trPr>
        <w:tc>
          <w:tcPr>
            <w:tcW w:w="1980" w:type="dxa"/>
            <w:vAlign w:val="bottom"/>
          </w:tcPr>
          <w:p>
            <w:pPr>
              <w:ind w:left="640"/>
              <w:spacing w:after="0"/>
              <w:rPr>
                <w:sz w:val="20"/>
                <w:szCs w:val="20"/>
                <w:color w:val="auto"/>
              </w:rPr>
            </w:pPr>
            <w:r>
              <w:rPr>
                <w:rFonts w:ascii="Courier New" w:cs="Courier New" w:eastAsia="Courier New" w:hAnsi="Courier New"/>
                <w:sz w:val="17"/>
                <w:szCs w:val="17"/>
                <w:color w:val="auto"/>
              </w:rPr>
              <w:t>Exhibit</w:t>
            </w:r>
          </w:p>
        </w:tc>
        <w:tc>
          <w:tcPr>
            <w:tcW w:w="6140" w:type="dxa"/>
            <w:vAlign w:val="bottom"/>
          </w:tcPr>
          <w:p>
            <w:pPr>
              <w:spacing w:after="0"/>
              <w:rPr>
                <w:sz w:val="24"/>
                <w:szCs w:val="24"/>
                <w:color w:val="auto"/>
              </w:rPr>
            </w:pPr>
          </w:p>
        </w:tc>
      </w:tr>
      <w:tr>
        <w:trPr>
          <w:trHeight w:val="200"/>
        </w:trPr>
        <w:tc>
          <w:tcPr>
            <w:tcW w:w="1980" w:type="dxa"/>
            <w:vAlign w:val="bottom"/>
          </w:tcPr>
          <w:p>
            <w:pPr>
              <w:ind w:left="640"/>
              <w:spacing w:after="0"/>
              <w:rPr>
                <w:sz w:val="20"/>
                <w:szCs w:val="20"/>
                <w:color w:val="auto"/>
              </w:rPr>
            </w:pPr>
            <w:r>
              <w:rPr>
                <w:rFonts w:ascii="Courier New" w:cs="Courier New" w:eastAsia="Courier New" w:hAnsi="Courier New"/>
                <w:sz w:val="17"/>
                <w:szCs w:val="17"/>
                <w:color w:val="auto"/>
              </w:rPr>
              <w:t>Number</w:t>
            </w:r>
          </w:p>
        </w:tc>
        <w:tc>
          <w:tcPr>
            <w:tcW w:w="6140" w:type="dxa"/>
            <w:vAlign w:val="bottom"/>
          </w:tcPr>
          <w:p>
            <w:pPr>
              <w:ind w:left="2900"/>
              <w:spacing w:after="0"/>
              <w:rPr>
                <w:sz w:val="20"/>
                <w:szCs w:val="20"/>
                <w:color w:val="auto"/>
              </w:rPr>
            </w:pPr>
            <w:r>
              <w:rPr>
                <w:rFonts w:ascii="Courier New" w:cs="Courier New" w:eastAsia="Courier New" w:hAnsi="Courier New"/>
                <w:sz w:val="17"/>
                <w:szCs w:val="17"/>
                <w:color w:val="auto"/>
              </w:rPr>
              <w:t>Description</w:t>
            </w:r>
          </w:p>
        </w:tc>
      </w:tr>
      <w:tr>
        <w:trPr>
          <w:trHeight w:val="400"/>
        </w:trPr>
        <w:tc>
          <w:tcPr>
            <w:tcW w:w="19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5.1</w:t>
            </w:r>
          </w:p>
        </w:tc>
        <w:tc>
          <w:tcPr>
            <w:tcW w:w="6140" w:type="dxa"/>
            <w:vAlign w:val="bottom"/>
          </w:tcPr>
          <w:p>
            <w:pPr>
              <w:ind w:left="200"/>
              <w:spacing w:after="0"/>
              <w:rPr>
                <w:sz w:val="20"/>
                <w:szCs w:val="20"/>
                <w:color w:val="auto"/>
              </w:rPr>
            </w:pPr>
            <w:r>
              <w:rPr>
                <w:rFonts w:ascii="Courier New" w:cs="Courier New" w:eastAsia="Courier New" w:hAnsi="Courier New"/>
                <w:sz w:val="17"/>
                <w:szCs w:val="17"/>
                <w:color w:val="auto"/>
              </w:rPr>
              <w:t>Opinion of Perkins Coie LLP regarding legality of the</w:t>
            </w:r>
          </w:p>
        </w:tc>
      </w:tr>
      <w:tr>
        <w:trPr>
          <w:trHeight w:val="200"/>
        </w:trPr>
        <w:tc>
          <w:tcPr>
            <w:tcW w:w="1980" w:type="dxa"/>
            <w:vAlign w:val="bottom"/>
          </w:tcPr>
          <w:p>
            <w:pPr>
              <w:spacing w:after="0"/>
              <w:rPr>
                <w:sz w:val="17"/>
                <w:szCs w:val="17"/>
                <w:color w:val="auto"/>
              </w:rPr>
            </w:pPr>
          </w:p>
        </w:tc>
        <w:tc>
          <w:tcPr>
            <w:tcW w:w="6140" w:type="dxa"/>
            <w:vAlign w:val="bottom"/>
          </w:tcPr>
          <w:p>
            <w:pPr>
              <w:ind w:left="200"/>
              <w:spacing w:after="0"/>
              <w:rPr>
                <w:sz w:val="20"/>
                <w:szCs w:val="20"/>
                <w:color w:val="auto"/>
              </w:rPr>
            </w:pPr>
            <w:r>
              <w:rPr>
                <w:rFonts w:ascii="Courier New" w:cs="Courier New" w:eastAsia="Courier New" w:hAnsi="Courier New"/>
                <w:sz w:val="17"/>
                <w:szCs w:val="17"/>
                <w:color w:val="auto"/>
              </w:rPr>
              <w:t>Common Stock being registered</w:t>
            </w:r>
          </w:p>
        </w:tc>
      </w:tr>
      <w:tr>
        <w:trPr>
          <w:trHeight w:val="400"/>
        </w:trPr>
        <w:tc>
          <w:tcPr>
            <w:tcW w:w="19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23.1</w:t>
            </w:r>
          </w:p>
        </w:tc>
        <w:tc>
          <w:tcPr>
            <w:tcW w:w="6140" w:type="dxa"/>
            <w:vAlign w:val="bottom"/>
          </w:tcPr>
          <w:p>
            <w:pPr>
              <w:ind w:left="20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400"/>
        </w:trPr>
        <w:tc>
          <w:tcPr>
            <w:tcW w:w="19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23.2</w:t>
            </w:r>
          </w:p>
        </w:tc>
        <w:tc>
          <w:tcPr>
            <w:tcW w:w="6140" w:type="dxa"/>
            <w:vAlign w:val="bottom"/>
          </w:tcPr>
          <w:p>
            <w:pPr>
              <w:ind w:left="200"/>
              <w:spacing w:after="0"/>
              <w:rPr>
                <w:sz w:val="20"/>
                <w:szCs w:val="20"/>
                <w:color w:val="auto"/>
              </w:rPr>
            </w:pPr>
            <w:r>
              <w:rPr>
                <w:rFonts w:ascii="Courier New" w:cs="Courier New" w:eastAsia="Courier New" w:hAnsi="Courier New"/>
                <w:sz w:val="17"/>
                <w:szCs w:val="17"/>
                <w:color w:val="auto"/>
              </w:rPr>
              <w:t>Consent of Perkins Coie LLP (included in opinion filed as</w:t>
            </w:r>
          </w:p>
        </w:tc>
      </w:tr>
      <w:tr>
        <w:trPr>
          <w:trHeight w:val="200"/>
        </w:trPr>
        <w:tc>
          <w:tcPr>
            <w:tcW w:w="1980" w:type="dxa"/>
            <w:vAlign w:val="bottom"/>
          </w:tcPr>
          <w:p>
            <w:pPr>
              <w:spacing w:after="0"/>
              <w:rPr>
                <w:sz w:val="17"/>
                <w:szCs w:val="17"/>
                <w:color w:val="auto"/>
              </w:rPr>
            </w:pPr>
          </w:p>
        </w:tc>
        <w:tc>
          <w:tcPr>
            <w:tcW w:w="6140" w:type="dxa"/>
            <w:vAlign w:val="bottom"/>
          </w:tcPr>
          <w:p>
            <w:pPr>
              <w:ind w:left="200"/>
              <w:spacing w:after="0"/>
              <w:rPr>
                <w:sz w:val="20"/>
                <w:szCs w:val="20"/>
                <w:color w:val="auto"/>
              </w:rPr>
            </w:pPr>
            <w:r>
              <w:rPr>
                <w:rFonts w:ascii="Courier New" w:cs="Courier New" w:eastAsia="Courier New" w:hAnsi="Courier New"/>
                <w:sz w:val="17"/>
                <w:szCs w:val="17"/>
                <w:color w:val="auto"/>
              </w:rPr>
              <w:t>Exhibit 5.1)</w:t>
            </w:r>
          </w:p>
        </w:tc>
      </w:tr>
      <w:tr>
        <w:trPr>
          <w:trHeight w:val="400"/>
        </w:trPr>
        <w:tc>
          <w:tcPr>
            <w:tcW w:w="19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24.1</w:t>
            </w:r>
          </w:p>
        </w:tc>
        <w:tc>
          <w:tcPr>
            <w:tcW w:w="6140" w:type="dxa"/>
            <w:vAlign w:val="bottom"/>
          </w:tcPr>
          <w:p>
            <w:pPr>
              <w:ind w:left="200"/>
              <w:spacing w:after="0"/>
              <w:rPr>
                <w:sz w:val="20"/>
                <w:szCs w:val="20"/>
                <w:color w:val="auto"/>
              </w:rPr>
            </w:pPr>
            <w:r>
              <w:rPr>
                <w:rFonts w:ascii="Courier New" w:cs="Courier New" w:eastAsia="Courier New" w:hAnsi="Courier New"/>
                <w:sz w:val="17"/>
                <w:szCs w:val="17"/>
                <w:color w:val="auto"/>
              </w:rPr>
              <w:t>Power of Attorney (see signature page)</w:t>
            </w:r>
          </w:p>
        </w:tc>
      </w:tr>
      <w:tr>
        <w:trPr>
          <w:trHeight w:val="400"/>
        </w:trPr>
        <w:tc>
          <w:tcPr>
            <w:tcW w:w="19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99.1</w:t>
            </w:r>
          </w:p>
        </w:tc>
        <w:tc>
          <w:tcPr>
            <w:tcW w:w="6140" w:type="dxa"/>
            <w:vAlign w:val="bottom"/>
          </w:tcPr>
          <w:p>
            <w:pPr>
              <w:ind w:left="200"/>
              <w:spacing w:after="0"/>
              <w:rPr>
                <w:sz w:val="20"/>
                <w:szCs w:val="20"/>
                <w:color w:val="auto"/>
              </w:rPr>
            </w:pPr>
            <w:r>
              <w:rPr>
                <w:rFonts w:ascii="Courier New" w:cs="Courier New" w:eastAsia="Courier New" w:hAnsi="Courier New"/>
                <w:sz w:val="17"/>
                <w:szCs w:val="17"/>
                <w:color w:val="auto"/>
              </w:rPr>
              <w:t>Itron, Inc. 1996 Employee Stock Purchase Plan</w:t>
            </w:r>
          </w:p>
        </w:tc>
      </w:tr>
    </w:tbl>
    <w:p>
      <w:pPr>
        <w:spacing w:after="0" w:line="205" w:lineRule="exact"/>
        <w:rPr>
          <w:sz w:val="20"/>
          <w:szCs w:val="20"/>
          <w:color w:val="auto"/>
        </w:rPr>
      </w:pPr>
    </w:p>
    <w:p>
      <w:pPr>
        <w:ind w:left="120"/>
        <w:spacing w:after="0"/>
        <w:tabs>
          <w:tab w:leader="none" w:pos="1020" w:val="left"/>
        </w:tabs>
        <w:rPr>
          <w:sz w:val="20"/>
          <w:szCs w:val="20"/>
          <w:color w:val="auto"/>
        </w:rPr>
      </w:pPr>
      <w:r>
        <w:rPr>
          <w:rFonts w:ascii="Courier New" w:cs="Courier New" w:eastAsia="Courier New" w:hAnsi="Courier New"/>
          <w:sz w:val="17"/>
          <w:szCs w:val="17"/>
          <w:color w:val="auto"/>
        </w:rPr>
        <w:t>Item 9.</w:t>
        <w:tab/>
        <w:t>UNDERTAKINGS</w:t>
      </w:r>
    </w:p>
    <w:p>
      <w:pPr>
        <w:spacing w:after="0" w:line="207" w:lineRule="exact"/>
        <w:rPr>
          <w:sz w:val="20"/>
          <w:szCs w:val="20"/>
          <w:color w:val="auto"/>
        </w:rPr>
      </w:pPr>
    </w:p>
    <w:p>
      <w:pPr>
        <w:ind w:left="940" w:hanging="933"/>
        <w:spacing w:after="0"/>
        <w:tabs>
          <w:tab w:leader="none" w:pos="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07" w:lineRule="exact"/>
        <w:rPr>
          <w:rFonts w:ascii="Courier New" w:cs="Courier New" w:eastAsia="Courier New" w:hAnsi="Courier New"/>
          <w:sz w:val="17"/>
          <w:szCs w:val="17"/>
          <w:color w:val="auto"/>
        </w:rPr>
      </w:pPr>
    </w:p>
    <w:p>
      <w:pPr>
        <w:ind w:right="1899" w:firstLine="942"/>
        <w:spacing w:after="0" w:line="251" w:lineRule="auto"/>
        <w:tabs>
          <w:tab w:leader="none" w:pos="1351"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6" w:lineRule="exact"/>
        <w:rPr>
          <w:rFonts w:ascii="Courier New" w:cs="Courier New" w:eastAsia="Courier New" w:hAnsi="Courier New"/>
          <w:sz w:val="17"/>
          <w:szCs w:val="17"/>
          <w:color w:val="auto"/>
        </w:rPr>
      </w:pPr>
    </w:p>
    <w:p>
      <w:pPr>
        <w:ind w:left="3020" w:hanging="1143"/>
        <w:spacing w:after="0"/>
        <w:tabs>
          <w:tab w:leader="none" w:pos="3020" w:val="left"/>
        </w:tabs>
        <w:numPr>
          <w:ilvl w:val="2"/>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of the Securities Act;</w:t>
      </w:r>
    </w:p>
    <w:p>
      <w:pPr>
        <w:spacing w:after="0" w:line="207" w:lineRule="exact"/>
        <w:rPr>
          <w:rFonts w:ascii="Courier New" w:cs="Courier New" w:eastAsia="Courier New" w:hAnsi="Courier New"/>
          <w:sz w:val="17"/>
          <w:szCs w:val="17"/>
          <w:color w:val="auto"/>
        </w:rPr>
      </w:pPr>
    </w:p>
    <w:p>
      <w:pPr>
        <w:jc w:val="both"/>
        <w:ind w:right="1899" w:firstLine="1877"/>
        <w:spacing w:after="0" w:line="249" w:lineRule="auto"/>
        <w:tabs>
          <w:tab w:leader="none" w:pos="2389" w:val="left"/>
        </w:tabs>
        <w:numPr>
          <w:ilvl w:val="2"/>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99" w:lineRule="exact"/>
        <w:rPr>
          <w:rFonts w:ascii="Courier New" w:cs="Courier New" w:eastAsia="Courier New" w:hAnsi="Courier New"/>
          <w:sz w:val="17"/>
          <w:szCs w:val="17"/>
          <w:color w:val="auto"/>
        </w:rPr>
      </w:pPr>
    </w:p>
    <w:p>
      <w:pPr>
        <w:jc w:val="both"/>
        <w:ind w:right="1899" w:firstLine="1877"/>
        <w:spacing w:after="0" w:line="250" w:lineRule="auto"/>
        <w:tabs>
          <w:tab w:leader="none" w:pos="2493" w:val="left"/>
        </w:tabs>
        <w:numPr>
          <w:ilvl w:val="2"/>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provided, however, that paragraphs (1)(i) and (1)(ii) above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00" w:lineRule="exact"/>
        <w:rPr>
          <w:sz w:val="20"/>
          <w:szCs w:val="20"/>
          <w:color w:val="auto"/>
        </w:rPr>
      </w:pPr>
    </w:p>
    <w:p>
      <w:pPr>
        <w:jc w:val="both"/>
        <w:ind w:right="1899" w:firstLine="942"/>
        <w:spacing w:after="0" w:line="249" w:lineRule="auto"/>
        <w:tabs>
          <w:tab w:leader="none" w:pos="1351"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jc w:val="both"/>
        <w:ind w:right="1899" w:firstLine="942"/>
        <w:spacing w:after="0" w:line="250" w:lineRule="auto"/>
        <w:tabs>
          <w:tab w:leader="none" w:pos="1351"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7" w:lineRule="exact"/>
        <w:rPr>
          <w:rFonts w:ascii="Courier New" w:cs="Courier New" w:eastAsia="Courier New" w:hAnsi="Courier New"/>
          <w:sz w:val="17"/>
          <w:szCs w:val="17"/>
          <w:color w:val="auto"/>
        </w:rPr>
      </w:pPr>
    </w:p>
    <w:p>
      <w:pPr>
        <w:jc w:val="both"/>
        <w:ind w:right="1899" w:firstLine="7"/>
        <w:spacing w:after="0" w:line="249"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w:t>
      </w:r>
    </w:p>
    <w:p>
      <w:pPr>
        <w:sectPr>
          <w:pgSz w:w="11900" w:h="16838" w:orient="portrait"/>
          <w:cols w:equalWidth="0" w:num="1">
            <w:col w:w="10219"/>
          </w:cols>
          <w:pgMar w:left="240" w:top="142" w:right="1440" w:bottom="0" w:gutter="0" w:footer="0" w:header="0"/>
        </w:sectPr>
      </w:pPr>
    </w:p>
    <w:bookmarkStart w:id="3" w:name="page4"/>
    <w:bookmarkEnd w:id="3"/>
    <w:p>
      <w:pPr>
        <w:jc w:val="both"/>
        <w:ind w:right="1899"/>
        <w:spacing w:after="0" w:line="249" w:lineRule="auto"/>
        <w:rPr>
          <w:sz w:val="20"/>
          <w:szCs w:val="20"/>
          <w:color w:val="auto"/>
        </w:rPr>
      </w:pPr>
      <w:r>
        <w:rPr>
          <w:rFonts w:ascii="Courier New" w:cs="Courier New" w:eastAsia="Courier New" w:hAnsi="Courier New"/>
          <w:sz w:val="17"/>
          <w:szCs w:val="17"/>
          <w:color w:val="auto"/>
        </w:rPr>
        <w:t>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142" w:right="1440" w:bottom="1440" w:gutter="0" w:footer="0" w:header="0"/>
        </w:sectPr>
      </w:pPr>
    </w:p>
    <w:bookmarkStart w:id="4" w:name="page5"/>
    <w:bookmarkEnd w:id="4"/>
    <w:p>
      <w:pPr>
        <w:ind w:left="3640"/>
        <w:spacing w:after="0"/>
        <w:rPr>
          <w:sz w:val="20"/>
          <w:szCs w:val="20"/>
          <w:color w:val="auto"/>
        </w:rPr>
      </w:pPr>
      <w:r>
        <w:rPr>
          <w:rFonts w:ascii="Courier New" w:cs="Courier New" w:eastAsia="Courier New" w:hAnsi="Courier New"/>
          <w:sz w:val="17"/>
          <w:szCs w:val="17"/>
          <w:color w:val="auto"/>
        </w:rPr>
        <w:t>SIGNATURES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as amended, the Registrant certifies that it has reasonable grounds to believe that it meets all the requirements for filing on Form S-8 and has duly caused this Registration Statement to be signed on its behalf by the undersigned, thereunto duly authorized, in the City of Spokane, State of Washington, on the 28th day of June, 1999.</w:t>
      </w:r>
    </w:p>
    <w:p>
      <w:pPr>
        <w:spacing w:after="0" w:line="200"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ITRON, INC.</w:t>
      </w: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/s/ DAVID G. REMINGTON</w:t>
      </w:r>
    </w:p>
    <w:p>
      <w:pPr>
        <w:spacing w:after="0" w:line="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860"/>
        <w:spacing w:after="0"/>
        <w:tabs>
          <w:tab w:leader="none" w:pos="45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David G. Remington</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Vice President and</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Chief Financial Officer</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Each person whose signature appears below authorizes David G. Remington and Johnny M. Humphreys,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200"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as amended, this Registration Statement has been signed by the following persons in the capacities indicated below on the 28th day of June, 1999.</w:t>
      </w:r>
    </w:p>
    <w:p>
      <w:pPr>
        <w:sectPr>
          <w:pgSz w:w="11900" w:h="16838" w:orient="portrait"/>
          <w:cols w:equalWidth="0" w:num="1">
            <w:col w:w="10219"/>
          </w:cols>
          <w:pgMar w:left="240" w:top="1114" w:right="1440" w:bottom="781" w:gutter="0" w:footer="0" w:header="0"/>
        </w:sectPr>
      </w:pPr>
    </w:p>
    <w:p>
      <w:pPr>
        <w:spacing w:after="0" w:line="19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ectPr>
          <w:pgSz w:w="11900" w:h="16838" w:orient="portrait"/>
          <w:cols w:equalWidth="0" w:num="2">
            <w:col w:w="4900" w:space="720"/>
            <w:col w:w="4599"/>
          </w:cols>
          <w:pgMar w:left="240" w:top="1114" w:right="1440" w:bottom="781" w:gutter="0" w:footer="0" w:header="0"/>
          <w:type w:val="continuous"/>
        </w:sectPr>
      </w:pP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 MICHAEL J. CHESSER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7" w:lineRule="exact"/>
        <w:rPr>
          <w:sz w:val="20"/>
          <w:szCs w:val="20"/>
          <w:color w:val="auto"/>
        </w:rPr>
      </w:pPr>
    </w:p>
    <w:p>
      <w:pPr>
        <w:sectPr>
          <w:pgSz w:w="11900" w:h="16838" w:orient="portrait"/>
          <w:cols w:equalWidth="0" w:num="2">
            <w:col w:w="3140" w:space="720"/>
            <w:col w:w="6359"/>
          </w:cols>
          <w:pgMar w:left="240" w:top="1114" w:right="1440" w:bottom="781" w:gutter="0" w:footer="0" w:header="0"/>
          <w:type w:val="continuous"/>
        </w:sectPr>
      </w:pPr>
    </w:p>
    <w:p>
      <w:pPr>
        <w:ind w:left="840" w:right="3139" w:hanging="833"/>
        <w:spacing w:after="0" w:line="251" w:lineRule="auto"/>
        <w:tabs>
          <w:tab w:leader="none" w:pos="21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(Principal Executive Officer) Michael J. Chesser</w:t>
      </w:r>
    </w:p>
    <w:p>
      <w:pPr>
        <w:spacing w:after="0" w:line="197" w:lineRule="exact"/>
        <w:rPr>
          <w:sz w:val="20"/>
          <w:szCs w:val="20"/>
          <w:color w:val="auto"/>
        </w:rPr>
      </w:pPr>
    </w:p>
    <w:p>
      <w:pPr>
        <w:ind w:left="420"/>
        <w:spacing w:after="0"/>
        <w:tabs>
          <w:tab w:leader="none" w:pos="3840" w:val="left"/>
        </w:tabs>
        <w:rPr>
          <w:sz w:val="20"/>
          <w:szCs w:val="20"/>
          <w:color w:val="auto"/>
        </w:rPr>
      </w:pPr>
      <w:r>
        <w:rPr>
          <w:rFonts w:ascii="Courier New" w:cs="Courier New" w:eastAsia="Courier New" w:hAnsi="Courier New"/>
          <w:sz w:val="17"/>
          <w:szCs w:val="17"/>
          <w:color w:val="auto"/>
        </w:rPr>
        <w:t>/s/ DAVID G. REMINGTON</w:t>
      </w:r>
      <w:r>
        <w:rPr>
          <w:sz w:val="20"/>
          <w:szCs w:val="20"/>
          <w:color w:val="auto"/>
        </w:rPr>
        <w:tab/>
      </w:r>
      <w:r>
        <w:rPr>
          <w:rFonts w:ascii="Courier New" w:cs="Courier New" w:eastAsia="Courier New" w:hAnsi="Courier New"/>
          <w:sz w:val="17"/>
          <w:szCs w:val="17"/>
          <w:color w:val="auto"/>
        </w:rPr>
        <w:t>Vice President and Chief Financial Officer</w:t>
      </w:r>
    </w:p>
    <w:p>
      <w:pPr>
        <w:spacing w:after="0" w:line="7" w:lineRule="exact"/>
        <w:rPr>
          <w:sz w:val="20"/>
          <w:szCs w:val="20"/>
          <w:color w:val="auto"/>
        </w:rPr>
      </w:pPr>
    </w:p>
    <w:p>
      <w:pPr>
        <w:ind w:left="840" w:right="1699" w:hanging="833"/>
        <w:spacing w:after="0" w:line="251" w:lineRule="auto"/>
        <w:tabs>
          <w:tab w:leader="none" w:pos="21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(Principal Financial and Accounting Officer) David G. Remington</w:t>
      </w:r>
    </w:p>
    <w:p>
      <w:pPr>
        <w:spacing w:after="0" w:line="19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MICHAEL B. BRACY</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Michael B. Bracy</w:t>
      </w:r>
    </w:p>
    <w:p>
      <w:pPr>
        <w:spacing w:after="0" w:line="20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TED C. DEMERRITT</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Ted C. DeMerritt</w:t>
      </w:r>
    </w:p>
    <w:p>
      <w:pPr>
        <w:spacing w:after="0" w:line="20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JON E. ELIASSEN</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Jon E. Eliassen</w:t>
      </w:r>
    </w:p>
    <w:p>
      <w:pPr>
        <w:spacing w:after="0" w:line="20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JOHNNY M. HUMPHREYS</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Johnny M. Humphreys</w:t>
      </w:r>
    </w:p>
    <w:p>
      <w:pPr>
        <w:spacing w:after="0" w:line="20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MARY ANN PETERS</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Mary Ann Peters</w:t>
      </w:r>
    </w:p>
    <w:p>
      <w:pPr>
        <w:spacing w:after="0" w:line="200" w:lineRule="exact"/>
        <w:rPr>
          <w:sz w:val="20"/>
          <w:szCs w:val="20"/>
          <w:color w:val="auto"/>
        </w:rPr>
      </w:pPr>
    </w:p>
    <w:p>
      <w:pPr>
        <w:spacing w:after="0" w:line="20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PAUL A. REDMOND</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A. Redmond</w:t>
      </w:r>
    </w:p>
    <w:p>
      <w:pPr>
        <w:spacing w:after="0" w:line="20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GRAHAM M. WILSON</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Graham M. Wilson</w:t>
      </w:r>
    </w:p>
    <w:p>
      <w:pPr>
        <w:spacing w:after="0" w:line="207" w:lineRule="exact"/>
        <w:rPr>
          <w:sz w:val="20"/>
          <w:szCs w:val="20"/>
          <w:color w:val="auto"/>
        </w:rPr>
      </w:pPr>
    </w:p>
    <w:p>
      <w:pPr>
        <w:ind w:left="420"/>
        <w:spacing w:after="0"/>
        <w:tabs>
          <w:tab w:leader="none" w:pos="5380" w:val="left"/>
        </w:tabs>
        <w:rPr>
          <w:sz w:val="20"/>
          <w:szCs w:val="20"/>
          <w:color w:val="auto"/>
        </w:rPr>
      </w:pPr>
      <w:r>
        <w:rPr>
          <w:rFonts w:ascii="Courier New" w:cs="Courier New" w:eastAsia="Courier New" w:hAnsi="Courier New"/>
          <w:sz w:val="17"/>
          <w:szCs w:val="17"/>
          <w:color w:val="auto"/>
        </w:rPr>
        <w:t>/s/ STUART EDWARD WHITE</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Stuart Edward White</w:t>
      </w:r>
    </w:p>
    <w:p>
      <w:pPr>
        <w:sectPr>
          <w:pgSz w:w="11900" w:h="16838" w:orient="portrait"/>
          <w:cols w:equalWidth="0" w:num="1">
            <w:col w:w="10219"/>
          </w:cols>
          <w:pgMar w:left="240" w:top="1114" w:right="1440" w:bottom="781"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4"/>
        </w:trPr>
        <w:tc>
          <w:tcPr>
            <w:tcW w:w="1140" w:type="dxa"/>
            <w:vAlign w:val="bottom"/>
          </w:tcPr>
          <w:p>
            <w:pPr>
              <w:spacing w:after="0"/>
              <w:rPr>
                <w:sz w:val="16"/>
                <w:szCs w:val="16"/>
                <w:color w:val="auto"/>
              </w:rPr>
            </w:pPr>
          </w:p>
        </w:tc>
        <w:tc>
          <w:tcPr>
            <w:tcW w:w="6340" w:type="dxa"/>
            <w:vAlign w:val="bottom"/>
          </w:tcPr>
          <w:p>
            <w:pPr>
              <w:ind w:left="1560"/>
              <w:spacing w:after="0"/>
              <w:rPr>
                <w:sz w:val="20"/>
                <w:szCs w:val="20"/>
                <w:color w:val="auto"/>
              </w:rPr>
            </w:pPr>
            <w:r>
              <w:rPr>
                <w:rFonts w:ascii="Courier New" w:cs="Courier New" w:eastAsia="Courier New" w:hAnsi="Courier New"/>
                <w:sz w:val="17"/>
                <w:szCs w:val="17"/>
                <w:color w:val="auto"/>
              </w:rPr>
              <w:t>INDEX TO EXHIBITS</w:t>
            </w: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340" w:type="dxa"/>
            <w:vAlign w:val="bottom"/>
          </w:tcPr>
          <w:p>
            <w:pPr>
              <w:spacing w:after="0"/>
              <w:rPr>
                <w:sz w:val="24"/>
                <w:szCs w:val="24"/>
                <w:color w:val="auto"/>
              </w:rPr>
            </w:pPr>
          </w:p>
        </w:tc>
      </w:tr>
      <w:tr>
        <w:trPr>
          <w:trHeight w:val="2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6340" w:type="dxa"/>
            <w:vAlign w:val="bottom"/>
          </w:tcPr>
          <w:p>
            <w:pPr>
              <w:ind w:left="3840"/>
              <w:spacing w:after="0"/>
              <w:rPr>
                <w:sz w:val="20"/>
                <w:szCs w:val="20"/>
                <w:color w:val="auto"/>
              </w:rPr>
            </w:pPr>
            <w:r>
              <w:rPr>
                <w:rFonts w:ascii="Courier New" w:cs="Courier New" w:eastAsia="Courier New" w:hAnsi="Courier New"/>
                <w:sz w:val="17"/>
                <w:szCs w:val="17"/>
                <w:color w:val="auto"/>
              </w:rPr>
              <w:t>Description</w:t>
            </w:r>
          </w:p>
        </w:tc>
      </w:tr>
      <w:tr>
        <w:trPr>
          <w:trHeight w:val="400"/>
        </w:trPr>
        <w:tc>
          <w:tcPr>
            <w:tcW w:w="11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5.1</w:t>
            </w:r>
          </w:p>
        </w:tc>
        <w:tc>
          <w:tcPr>
            <w:tcW w:w="6340" w:type="dxa"/>
            <w:vAlign w:val="bottom"/>
          </w:tcPr>
          <w:p>
            <w:pPr>
              <w:ind w:left="400"/>
              <w:spacing w:after="0"/>
              <w:rPr>
                <w:sz w:val="20"/>
                <w:szCs w:val="20"/>
                <w:color w:val="auto"/>
              </w:rPr>
            </w:pPr>
            <w:r>
              <w:rPr>
                <w:rFonts w:ascii="Courier New" w:cs="Courier New" w:eastAsia="Courier New" w:hAnsi="Courier New"/>
                <w:sz w:val="17"/>
                <w:szCs w:val="17"/>
                <w:color w:val="auto"/>
              </w:rPr>
              <w:t>Opinion of Perkins Coie LLP regarding legality of the</w:t>
            </w:r>
          </w:p>
        </w:tc>
      </w:tr>
      <w:tr>
        <w:trPr>
          <w:trHeight w:val="200"/>
        </w:trPr>
        <w:tc>
          <w:tcPr>
            <w:tcW w:w="1140" w:type="dxa"/>
            <w:vAlign w:val="bottom"/>
          </w:tcPr>
          <w:p>
            <w:pPr>
              <w:spacing w:after="0"/>
              <w:rPr>
                <w:sz w:val="17"/>
                <w:szCs w:val="17"/>
                <w:color w:val="auto"/>
              </w:rPr>
            </w:pPr>
          </w:p>
        </w:tc>
        <w:tc>
          <w:tcPr>
            <w:tcW w:w="6340" w:type="dxa"/>
            <w:vAlign w:val="bottom"/>
          </w:tcPr>
          <w:p>
            <w:pPr>
              <w:ind w:left="400"/>
              <w:spacing w:after="0"/>
              <w:rPr>
                <w:sz w:val="20"/>
                <w:szCs w:val="20"/>
                <w:color w:val="auto"/>
              </w:rPr>
            </w:pPr>
            <w:r>
              <w:rPr>
                <w:rFonts w:ascii="Courier New" w:cs="Courier New" w:eastAsia="Courier New" w:hAnsi="Courier New"/>
                <w:sz w:val="17"/>
                <w:szCs w:val="17"/>
                <w:color w:val="auto"/>
              </w:rPr>
              <w:t>Common Stock being registered</w:t>
            </w:r>
          </w:p>
        </w:tc>
      </w:tr>
      <w:tr>
        <w:trPr>
          <w:trHeight w:val="400"/>
        </w:trPr>
        <w:tc>
          <w:tcPr>
            <w:tcW w:w="11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3"/>
              </w:rPr>
              <w:t>23.1</w:t>
            </w:r>
          </w:p>
        </w:tc>
        <w:tc>
          <w:tcPr>
            <w:tcW w:w="6340" w:type="dxa"/>
            <w:vAlign w:val="bottom"/>
          </w:tcPr>
          <w:p>
            <w:pPr>
              <w:ind w:left="40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400"/>
        </w:trPr>
        <w:tc>
          <w:tcPr>
            <w:tcW w:w="11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3"/>
              </w:rPr>
              <w:t>23.2</w:t>
            </w:r>
          </w:p>
        </w:tc>
        <w:tc>
          <w:tcPr>
            <w:tcW w:w="6340" w:type="dxa"/>
            <w:vAlign w:val="bottom"/>
          </w:tcPr>
          <w:p>
            <w:pPr>
              <w:ind w:left="400"/>
              <w:spacing w:after="0"/>
              <w:rPr>
                <w:sz w:val="20"/>
                <w:szCs w:val="20"/>
                <w:color w:val="auto"/>
              </w:rPr>
            </w:pPr>
            <w:r>
              <w:rPr>
                <w:rFonts w:ascii="Courier New" w:cs="Courier New" w:eastAsia="Courier New" w:hAnsi="Courier New"/>
                <w:sz w:val="17"/>
                <w:szCs w:val="17"/>
                <w:color w:val="auto"/>
              </w:rPr>
              <w:t>Consent of Perkins Coie LLP (included in opinion filed as</w:t>
            </w:r>
          </w:p>
        </w:tc>
      </w:tr>
      <w:tr>
        <w:trPr>
          <w:trHeight w:val="200"/>
        </w:trPr>
        <w:tc>
          <w:tcPr>
            <w:tcW w:w="1140" w:type="dxa"/>
            <w:vAlign w:val="bottom"/>
          </w:tcPr>
          <w:p>
            <w:pPr>
              <w:spacing w:after="0"/>
              <w:rPr>
                <w:sz w:val="17"/>
                <w:szCs w:val="17"/>
                <w:color w:val="auto"/>
              </w:rPr>
            </w:pPr>
          </w:p>
        </w:tc>
        <w:tc>
          <w:tcPr>
            <w:tcW w:w="6340" w:type="dxa"/>
            <w:vAlign w:val="bottom"/>
          </w:tcPr>
          <w:p>
            <w:pPr>
              <w:ind w:left="400"/>
              <w:spacing w:after="0"/>
              <w:rPr>
                <w:sz w:val="20"/>
                <w:szCs w:val="20"/>
                <w:color w:val="auto"/>
              </w:rPr>
            </w:pPr>
            <w:r>
              <w:rPr>
                <w:rFonts w:ascii="Courier New" w:cs="Courier New" w:eastAsia="Courier New" w:hAnsi="Courier New"/>
                <w:sz w:val="17"/>
                <w:szCs w:val="17"/>
                <w:color w:val="auto"/>
              </w:rPr>
              <w:t>Exhibit 5.1)</w:t>
            </w:r>
          </w:p>
        </w:tc>
      </w:tr>
      <w:tr>
        <w:trPr>
          <w:trHeight w:val="400"/>
        </w:trPr>
        <w:tc>
          <w:tcPr>
            <w:tcW w:w="11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3"/>
              </w:rPr>
              <w:t>24.1</w:t>
            </w:r>
          </w:p>
        </w:tc>
        <w:tc>
          <w:tcPr>
            <w:tcW w:w="6340" w:type="dxa"/>
            <w:vAlign w:val="bottom"/>
          </w:tcPr>
          <w:p>
            <w:pPr>
              <w:ind w:left="400"/>
              <w:spacing w:after="0"/>
              <w:rPr>
                <w:sz w:val="20"/>
                <w:szCs w:val="20"/>
                <w:color w:val="auto"/>
              </w:rPr>
            </w:pPr>
            <w:r>
              <w:rPr>
                <w:rFonts w:ascii="Courier New" w:cs="Courier New" w:eastAsia="Courier New" w:hAnsi="Courier New"/>
                <w:sz w:val="17"/>
                <w:szCs w:val="17"/>
                <w:color w:val="auto"/>
              </w:rPr>
              <w:t>Power of Attorney (see signature page)</w:t>
            </w:r>
          </w:p>
        </w:tc>
      </w:tr>
      <w:tr>
        <w:trPr>
          <w:trHeight w:val="400"/>
        </w:trPr>
        <w:tc>
          <w:tcPr>
            <w:tcW w:w="11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3"/>
              </w:rPr>
              <w:t>99.1</w:t>
            </w:r>
          </w:p>
        </w:tc>
        <w:tc>
          <w:tcPr>
            <w:tcW w:w="6340" w:type="dxa"/>
            <w:vAlign w:val="bottom"/>
          </w:tcPr>
          <w:p>
            <w:pPr>
              <w:ind w:left="400"/>
              <w:spacing w:after="0"/>
              <w:rPr>
                <w:sz w:val="20"/>
                <w:szCs w:val="20"/>
                <w:color w:val="auto"/>
              </w:rPr>
            </w:pPr>
            <w:r>
              <w:rPr>
                <w:rFonts w:ascii="Courier New" w:cs="Courier New" w:eastAsia="Courier New" w:hAnsi="Courier New"/>
                <w:sz w:val="17"/>
                <w:szCs w:val="17"/>
                <w:color w:val="auto"/>
              </w:rPr>
              <w:t>Itron, Inc. 1996 Employee Stock Purchase Plan</w:t>
            </w:r>
          </w:p>
        </w:tc>
      </w:tr>
    </w:tbl>
    <w:p>
      <w:pPr>
        <w:sectPr>
          <w:pgSz w:w="11900" w:h="16838" w:orient="portrait"/>
          <w:cols w:equalWidth="0" w:num="1">
            <w:col w:w="9579"/>
          </w:cols>
          <w:pgMar w:left="880" w:top="1114" w:right="1440" w:bottom="1440" w:gutter="0" w:footer="0" w:header="0"/>
        </w:sectPr>
      </w:pPr>
    </w:p>
    <w:bookmarkStart w:id="6" w:name="page7"/>
    <w:bookmarkEnd w:id="6"/>
    <w:p>
      <w:pPr>
        <w:ind w:left="7080"/>
        <w:spacing w:after="0"/>
        <w:rPr>
          <w:sz w:val="20"/>
          <w:szCs w:val="20"/>
          <w:color w:val="auto"/>
        </w:rPr>
      </w:pPr>
      <w:r>
        <w:rPr>
          <w:rFonts w:ascii="Courier New" w:cs="Courier New" w:eastAsia="Courier New" w:hAnsi="Courier New"/>
          <w:sz w:val="17"/>
          <w:szCs w:val="17"/>
          <w:color w:val="auto"/>
        </w:rPr>
        <w:t>EXHIBIT 5.1</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PERKINS COIE LLP</w:t>
      </w:r>
    </w:p>
    <w:p>
      <w:pPr>
        <w:spacing w:after="0" w:line="207" w:lineRule="exact"/>
        <w:rPr>
          <w:sz w:val="20"/>
          <w:szCs w:val="20"/>
          <w:color w:val="auto"/>
        </w:rPr>
      </w:pPr>
    </w:p>
    <w:p>
      <w:pPr>
        <w:jc w:val="center"/>
        <w:ind w:left="440" w:right="840"/>
        <w:spacing w:after="0" w:line="250" w:lineRule="auto"/>
        <w:rPr>
          <w:sz w:val="20"/>
          <w:szCs w:val="20"/>
          <w:color w:val="auto"/>
        </w:rPr>
      </w:pPr>
      <w:r>
        <w:rPr>
          <w:rFonts w:ascii="Courier New" w:cs="Courier New" w:eastAsia="Courier New" w:hAnsi="Courier New"/>
          <w:sz w:val="17"/>
          <w:szCs w:val="17"/>
          <w:color w:val="auto"/>
        </w:rPr>
        <w:t>A LAW PARTNERSHIP INCLUDING PROFESSIONAL CORPORATIONS 1201 THIRD AVENUE, 40TH FLOOR, SEATTLE, WASHINGTON 98101-3099 TELEPHONE: 206 583-8888 FACSIMILE: 206 583-8500</w:t>
      </w:r>
    </w:p>
    <w:p>
      <w:pPr>
        <w:spacing w:after="0" w:line="19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June 28, 1999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Itron,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2818 N. Sullivan Road</w:t>
      </w:r>
    </w:p>
    <w:p>
      <w:pPr>
        <w:spacing w:after="0" w:line="7"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Spokane, Washington</w:t>
        <w:tab/>
        <w:t>99216-1897</w:t>
      </w:r>
    </w:p>
    <w:p>
      <w:pPr>
        <w:sectPr>
          <w:pgSz w:w="11900" w:h="16838" w:orient="portrait"/>
          <w:cols w:equalWidth="0" w:num="1">
            <w:col w:w="10219"/>
          </w:cols>
          <w:pgMar w:left="240" w:top="741" w:right="1440" w:bottom="1440" w:gutter="0" w:footer="0" w:header="0"/>
        </w:sectPr>
      </w:pP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Registration Statement on Form S-8 of Shares of Common Stock, No Par Value, of Itron, Inc.</w:t>
      </w:r>
    </w:p>
    <w:p>
      <w:pPr>
        <w:spacing w:after="0" w:line="197" w:lineRule="exact"/>
        <w:rPr>
          <w:sz w:val="20"/>
          <w:szCs w:val="20"/>
          <w:color w:val="auto"/>
        </w:rPr>
      </w:pPr>
    </w:p>
    <w:p>
      <w:pPr>
        <w:sectPr>
          <w:pgSz w:w="11900" w:h="16838" w:orient="portrait"/>
          <w:cols w:equalWidth="0" w:num="2">
            <w:col w:w="1260" w:space="620"/>
            <w:col w:w="8339"/>
          </w:cols>
          <w:pgMar w:left="240" w:top="74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have acted as counsel to Itron, Inc. (the "Company") in connection with the preparation of a Registration Statement on Form S-8 (the "Registration Statement") under the Securities Act of 1933, as amended (the "Act"), which the Company is filing with the Securities and Exchange Commission with respect to up to 250,000 shares of Common Stock, no par value (the "Shares"), which may be issued pursuant to the Itron, Inc. 1996 Employee Stock Purchase Plan (the "Plan").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We have examined the Registration Statement and such documents and records of the Company and other documents as we have deemed relevant and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Based on and subject to the foregoing, we are of the opinion that any Shares that may be issued pursuant to the Plan have been duly authorized and that, upon the due execution by the Company and the registration by its registrar of such Shares, issuance thereof by the Company in accordance with the terms of the Plan, and the receipt of consideration therefor in accordance with the terms of the Plan, such Shares will be validly issued, fully paid and nonassessable.</w:t>
      </w:r>
    </w:p>
    <w:p>
      <w:pPr>
        <w:spacing w:after="0" w:line="400"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97"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Very truly yours,</w:t>
      </w:r>
    </w:p>
    <w:p>
      <w:pPr>
        <w:spacing w:after="0" w:line="207"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/s/ Perkins Coie LLP</w:t>
      </w:r>
    </w:p>
    <w:p>
      <w:pPr>
        <w:sectPr>
          <w:pgSz w:w="11900" w:h="16838" w:orient="portrait"/>
          <w:cols w:equalWidth="0" w:num="1">
            <w:col w:w="10219"/>
          </w:cols>
          <w:pgMar w:left="240" w:top="741" w:right="1440" w:bottom="1440" w:gutter="0" w:footer="0" w:header="0"/>
          <w:type w:val="continuous"/>
        </w:sectPr>
      </w:pPr>
    </w:p>
    <w:bookmarkStart w:id="7" w:name="page8"/>
    <w:bookmarkEnd w:id="7"/>
    <w:p>
      <w:pPr>
        <w:ind w:left="6860"/>
        <w:spacing w:after="0"/>
        <w:rPr>
          <w:sz w:val="20"/>
          <w:szCs w:val="20"/>
          <w:color w:val="auto"/>
        </w:rPr>
      </w:pPr>
      <w:r>
        <w:rPr>
          <w:rFonts w:ascii="Courier New" w:cs="Courier New" w:eastAsia="Courier New" w:hAnsi="Courier New"/>
          <w:sz w:val="17"/>
          <w:szCs w:val="17"/>
          <w:color w:val="auto"/>
        </w:rPr>
        <w:t>EXHIBIT 23.1</w:t>
      </w: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20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We consent to the incorporation by reference in this registration statement on Form S-8 of our report dated February 17, 1999, included in Itron, Inc.'s Annual Report on Form 10-K for the year ended December 31, 1998.</w:t>
      </w:r>
    </w:p>
    <w:p>
      <w:pPr>
        <w:spacing w:after="0" w:line="197"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/s/ 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Seattle, Washington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28, 1999</w:t>
      </w:r>
    </w:p>
    <w:p>
      <w:pPr>
        <w:sectPr>
          <w:pgSz w:w="11900" w:h="16838" w:orient="portrait"/>
          <w:cols w:equalWidth="0" w:num="1">
            <w:col w:w="10219"/>
          </w:cols>
          <w:pgMar w:left="240" w:top="941"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ITRON, INC.</w:t>
      </w: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1996 EMPLOYEE STOCK PURCHASE PLAN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As amended by Board on February 23, 1999</w:t>
      </w:r>
    </w:p>
    <w:p>
      <w:pPr>
        <w:spacing w:after="0" w:line="200" w:lineRule="exact"/>
        <w:rPr>
          <w:sz w:val="20"/>
          <w:szCs w:val="20"/>
          <w:color w:val="auto"/>
        </w:rPr>
      </w:pP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SECTION 1. PURPOSE</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purposes of the Itron, Inc. 1996 Employee Stock Purchase Plan (the "Plan") are to (a) assist employees of Itron, Inc., a Washington corporation (the "Company"), and its parent and subsidiary corporations in acquiring a stock ownership interest in the Company pursuant to a plan that is intended to qualify as an "employee stock purchase plan" under Section 423 of the Internal Revenue Code of 1986, as amended (the "Code"), and (b) help employees provide for their future security and to encourage them to remain in the employment of the Company and its subsidiary corporations.</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SECTION 2. DEFINITIONS</w:t>
      </w:r>
    </w:p>
    <w:p>
      <w:pPr>
        <w:spacing w:after="0" w:line="207" w:lineRule="exact"/>
        <w:rPr>
          <w:sz w:val="20"/>
          <w:szCs w:val="20"/>
          <w:color w:val="auto"/>
        </w:rPr>
      </w:pPr>
    </w:p>
    <w:p>
      <w:pPr>
        <w:jc w:val="both"/>
        <w:ind w:right="1899" w:firstLine="935"/>
        <w:spacing w:after="0" w:line="251" w:lineRule="auto"/>
        <w:rPr>
          <w:sz w:val="20"/>
          <w:szCs w:val="20"/>
          <w:color w:val="auto"/>
        </w:rPr>
      </w:pPr>
      <w:r>
        <w:rPr>
          <w:rFonts w:ascii="Courier New" w:cs="Courier New" w:eastAsia="Courier New" w:hAnsi="Courier New"/>
          <w:sz w:val="17"/>
          <w:szCs w:val="17"/>
          <w:color w:val="auto"/>
        </w:rPr>
        <w:t>For purposes of the Plan, the following terms shall be defined as set forth below.</w:t>
      </w:r>
    </w:p>
    <w:p>
      <w:pPr>
        <w:spacing w:after="0" w:line="19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"Board" means the Board of Directors of the Company.</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"Change Notice Date" has the meaning set forth in Section 9.2.</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"Code" means the Internal Revenue Code of 1986, as amended.</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"Company" means Itron, Inc., a Washington corporation.</w:t>
      </w:r>
    </w:p>
    <w:p>
      <w:pPr>
        <w:spacing w:after="0" w:line="207" w:lineRule="exact"/>
        <w:rPr>
          <w:sz w:val="20"/>
          <w:szCs w:val="20"/>
          <w:color w:val="auto"/>
        </w:rPr>
      </w:pPr>
    </w:p>
    <w:p>
      <w:pPr>
        <w:jc w:val="both"/>
        <w:ind w:right="1899" w:firstLine="935"/>
        <w:spacing w:after="0" w:line="251" w:lineRule="auto"/>
        <w:rPr>
          <w:sz w:val="20"/>
          <w:szCs w:val="20"/>
          <w:color w:val="auto"/>
        </w:rPr>
      </w:pPr>
      <w:r>
        <w:rPr>
          <w:rFonts w:ascii="Courier New" w:cs="Courier New" w:eastAsia="Courier New" w:hAnsi="Courier New"/>
          <w:sz w:val="17"/>
          <w:szCs w:val="17"/>
          <w:color w:val="auto"/>
        </w:rPr>
        <w:t>"Designated Corporation" has the meaning set forth under the definition of "Eligible Employee" in this Section 2.</w:t>
      </w:r>
    </w:p>
    <w:p>
      <w:pPr>
        <w:spacing w:after="0" w:line="19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"Eligible Compensation" means all regular cash compensation, including overtime, cash bonuses and commissions. Regular cash compensation does not include severance pay, hiring and relocation bonuses, pay in lieu of vacations, sick leave or any other special payments.</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"Eligible Employee" means any employee of the Company (or any Parent Corporation or Subsidiary Corporation designated by the Plan Administrator (a "Designated Corporation")) who is in the employ of the Company (or any such Designated Corporation) on one or more Offering Dates and who meets the following criteria:</w:t>
      </w:r>
    </w:p>
    <w:p>
      <w:pPr>
        <w:spacing w:after="0" w:line="200" w:lineRule="exact"/>
        <w:rPr>
          <w:sz w:val="20"/>
          <w:szCs w:val="20"/>
          <w:color w:val="auto"/>
        </w:rPr>
      </w:pPr>
    </w:p>
    <w:p>
      <w:pPr>
        <w:jc w:val="both"/>
        <w:ind w:left="1880" w:right="1899" w:hanging="938"/>
        <w:spacing w:after="0" w:line="249" w:lineRule="auto"/>
        <w:tabs>
          <w:tab w:leader="none" w:pos="188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 does not, immediately after the Option is granted, own stock (as defined by Code Sections 423(b)(3) and 424(d)) possessing 5% or more of the total combined voting power or value of all classes of stock of the Company or of a Parent Corporation or Subsidiary Corporation of the Company;</w:t>
      </w:r>
    </w:p>
    <w:p>
      <w:pPr>
        <w:spacing w:after="0" w:line="199" w:lineRule="exact"/>
        <w:rPr>
          <w:rFonts w:ascii="Courier New" w:cs="Courier New" w:eastAsia="Courier New" w:hAnsi="Courier New"/>
          <w:sz w:val="17"/>
          <w:szCs w:val="17"/>
          <w:color w:val="auto"/>
        </w:rPr>
      </w:pPr>
    </w:p>
    <w:p>
      <w:pPr>
        <w:ind w:left="1880" w:right="2099" w:hanging="938"/>
        <w:spacing w:after="0" w:line="251" w:lineRule="auto"/>
        <w:tabs>
          <w:tab w:leader="none" w:pos="188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employee's customary employment is not 20 hours or fewer per week;</w:t>
      </w:r>
    </w:p>
    <w:p>
      <w:pPr>
        <w:spacing w:after="0" w:line="196" w:lineRule="exact"/>
        <w:rPr>
          <w:rFonts w:ascii="Courier New" w:cs="Courier New" w:eastAsia="Courier New" w:hAnsi="Courier New"/>
          <w:sz w:val="17"/>
          <w:szCs w:val="17"/>
          <w:color w:val="auto"/>
        </w:rPr>
      </w:pPr>
    </w:p>
    <w:p>
      <w:pPr>
        <w:ind w:left="1880" w:right="2419" w:hanging="938"/>
        <w:spacing w:after="0" w:line="251" w:lineRule="auto"/>
        <w:tabs>
          <w:tab w:leader="none" w:pos="188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employee's customary employment is for more than five months in any calendar year; and</w:t>
      </w:r>
    </w:p>
    <w:p>
      <w:pPr>
        <w:spacing w:after="0" w:line="196" w:lineRule="exact"/>
        <w:rPr>
          <w:rFonts w:ascii="Courier New" w:cs="Courier New" w:eastAsia="Courier New" w:hAnsi="Courier New"/>
          <w:sz w:val="17"/>
          <w:szCs w:val="17"/>
          <w:color w:val="auto"/>
        </w:rPr>
      </w:pPr>
    </w:p>
    <w:p>
      <w:pPr>
        <w:ind w:left="1360" w:hanging="418"/>
        <w:spacing w:after="0"/>
        <w:tabs>
          <w:tab w:leader="none" w:pos="13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 has been employed for at least three months.</w:t>
      </w:r>
    </w:p>
    <w:p>
      <w:pPr>
        <w:spacing w:after="0" w:line="20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If the Company permits any employee of a Designated Corporation to participate in the Plan, then all employees of that Designated Corporation who meet the requirements of this paragraph shall also be considered Eligible Employees.</w:t>
      </w:r>
    </w:p>
    <w:p>
      <w:pPr>
        <w:spacing w:after="0" w:line="19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"ESPP Broker" has the meaning set forth in Section 10.</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"Exchange Act" means the Securities Exchange Act of 1934, as amended.</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"Offering" has the meaning set forth in Section 5.1.</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"Offering Date" means the first day of an Offering.</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"Offering Period" has the meaning set forth in Section 5.1.</w:t>
      </w:r>
    </w:p>
    <w:p>
      <w:pPr>
        <w:spacing w:after="0" w:line="207" w:lineRule="exact"/>
        <w:rPr>
          <w:sz w:val="20"/>
          <w:szCs w:val="20"/>
          <w:color w:val="auto"/>
        </w:rPr>
      </w:pPr>
    </w:p>
    <w:p>
      <w:pPr>
        <w:jc w:val="both"/>
        <w:ind w:right="1899" w:firstLine="935"/>
        <w:spacing w:after="0" w:line="251" w:lineRule="auto"/>
        <w:rPr>
          <w:sz w:val="20"/>
          <w:szCs w:val="20"/>
          <w:color w:val="auto"/>
        </w:rPr>
      </w:pPr>
      <w:r>
        <w:rPr>
          <w:rFonts w:ascii="Courier New" w:cs="Courier New" w:eastAsia="Courier New" w:hAnsi="Courier New"/>
          <w:sz w:val="17"/>
          <w:szCs w:val="17"/>
          <w:color w:val="auto"/>
        </w:rPr>
        <w:t>"Option" means an option granted under the Plan to an Eligible Employee to purchase shares of Stock.</w:t>
      </w:r>
    </w:p>
    <w:p>
      <w:pPr>
        <w:spacing w:after="0" w:line="197" w:lineRule="exact"/>
        <w:rPr>
          <w:sz w:val="20"/>
          <w:szCs w:val="20"/>
          <w:color w:val="auto"/>
        </w:rPr>
      </w:pPr>
    </w:p>
    <w:p>
      <w:pPr>
        <w:jc w:val="right"/>
        <w:ind w:right="1899"/>
        <w:spacing w:after="0"/>
        <w:tabs>
          <w:tab w:leader="none" w:pos="2680" w:val="left"/>
        </w:tabs>
        <w:rPr>
          <w:sz w:val="20"/>
          <w:szCs w:val="20"/>
          <w:color w:val="auto"/>
        </w:rPr>
      </w:pPr>
      <w:r>
        <w:rPr>
          <w:rFonts w:ascii="Courier New" w:cs="Courier New" w:eastAsia="Courier New" w:hAnsi="Courier New"/>
          <w:sz w:val="17"/>
          <w:szCs w:val="17"/>
          <w:color w:val="auto"/>
        </w:rPr>
        <w:t>"Parent Corporation" means any corporation,</w:t>
        <w:tab/>
        <w:t>other than the Company, in</w:t>
      </w:r>
    </w:p>
    <w:p>
      <w:pPr>
        <w:sectPr>
          <w:pgSz w:w="11900" w:h="16838" w:orient="portrait"/>
          <w:cols w:equalWidth="0" w:num="1">
            <w:col w:w="10219"/>
          </w:cols>
          <w:pgMar w:left="240" w:top="941" w:right="1440" w:bottom="0" w:gutter="0" w:footer="0" w:header="0"/>
        </w:sectPr>
      </w:pPr>
    </w:p>
    <w:bookmarkStart w:id="9" w:name="page10"/>
    <w:bookmarkEnd w:id="9"/>
    <w:p>
      <w:pPr>
        <w:jc w:val="both"/>
        <w:ind w:right="1899"/>
        <w:spacing w:after="0" w:line="249" w:lineRule="auto"/>
        <w:rPr>
          <w:sz w:val="20"/>
          <w:szCs w:val="20"/>
          <w:color w:val="auto"/>
        </w:rPr>
      </w:pPr>
      <w:r>
        <w:rPr>
          <w:rFonts w:ascii="Courier New" w:cs="Courier New" w:eastAsia="Courier New" w:hAnsi="Courier New"/>
          <w:sz w:val="17"/>
          <w:szCs w:val="17"/>
          <w:color w:val="auto"/>
        </w:rPr>
        <w:t>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"Participant" means any Eligible Employee who has elected to participate in an Offering in accordance with the procedures set forth in Section 6.1 and who has not withdrawn from the Offering or whose participation in the Offering is not terminated.</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"Plan" means the Itron, Inc. 1996 Employee Stock Purchase Plan.</w:t>
      </w:r>
    </w:p>
    <w:p>
      <w:pPr>
        <w:spacing w:after="0" w:line="207" w:lineRule="exact"/>
        <w:rPr>
          <w:sz w:val="20"/>
          <w:szCs w:val="20"/>
          <w:color w:val="auto"/>
        </w:rPr>
      </w:pPr>
    </w:p>
    <w:p>
      <w:pPr>
        <w:jc w:val="both"/>
        <w:ind w:right="1899" w:firstLine="935"/>
        <w:spacing w:after="0" w:line="251" w:lineRule="auto"/>
        <w:rPr>
          <w:sz w:val="20"/>
          <w:szCs w:val="20"/>
          <w:color w:val="auto"/>
        </w:rPr>
      </w:pPr>
      <w:r>
        <w:rPr>
          <w:rFonts w:ascii="Courier New" w:cs="Courier New" w:eastAsia="Courier New" w:hAnsi="Courier New"/>
          <w:sz w:val="17"/>
          <w:szCs w:val="17"/>
          <w:color w:val="auto"/>
        </w:rPr>
        <w:t>"Plan Administrator" means any committee of the Board designated to administer the Plan under Section 3.1.</w:t>
      </w:r>
    </w:p>
    <w:p>
      <w:pPr>
        <w:spacing w:after="0" w:line="19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"Purchase Date" means the last day of each Purchase Period.</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"Purchase Period" has the meaning set forth in Section 5.2.</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"Purchase Price" has the meaning set forth in Section 8.</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"Stock" means the Common Stock, no par value, of the Company.</w:t>
      </w:r>
    </w:p>
    <w:p>
      <w:pPr>
        <w:spacing w:after="0" w:line="207" w:lineRule="exact"/>
        <w:rPr>
          <w:sz w:val="20"/>
          <w:szCs w:val="20"/>
          <w:color w:val="auto"/>
        </w:rPr>
      </w:pPr>
    </w:p>
    <w:p>
      <w:pPr>
        <w:ind w:right="2319" w:firstLine="935"/>
        <w:spacing w:after="0" w:line="251" w:lineRule="auto"/>
        <w:rPr>
          <w:sz w:val="20"/>
          <w:szCs w:val="20"/>
          <w:color w:val="auto"/>
        </w:rPr>
      </w:pPr>
      <w:r>
        <w:rPr>
          <w:rFonts w:ascii="Courier New" w:cs="Courier New" w:eastAsia="Courier New" w:hAnsi="Courier New"/>
          <w:sz w:val="17"/>
          <w:szCs w:val="17"/>
          <w:color w:val="auto"/>
        </w:rPr>
        <w:t>"Subscription Date" means the last regular business day prior to an Offering Date.</w:t>
      </w:r>
    </w:p>
    <w:p>
      <w:pPr>
        <w:spacing w:after="0" w:line="19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"Subsidiary Corporation" means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SECTION 3. ADMINISTRATION</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Plan Administrator</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Plan shall be administered by the Compensation Committee of the Board, except to the extent that the Board appoints another committee or committees (which term includes subcommittees) consisting of one or more members of the Board to administer the Plan. Committee members shall serve for such terms as the Board may determine, subject to removal by the Board at any time. The administration of the Plan with respect to officers and directors of the Company who are subject to Section 16 of the Exchange Act with respect to securities of the Company shall comply with the requirements of Rule 16b-3 under Section 16(b) of the Exchange Act as then in effect.</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Administration and Interpretation by the Plan Administrator</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Subject to the provisions of the Plan, the Plan Administrator shall have exclusive authority, in its discretion, to determine all matters relating to Options granted under the Plan, including all terms, conditions, restrictions and limitations of Options; provided, however, that all Participants granted Options pursuant to the Plan shall have the same rights and privileges within the meaning of Code Section 423(b)(5). The Plan Administrator shall also have exclusive authority to interpret the Plan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200"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SECTION 4. STOCK SUBJECT TO PLAN</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Subject to adjustment from time to time as provided in Section 21, a maximum of 430,000 shares of Stock shall be available for issuance under the Plan. Shares issued under the Plan shall be drawn from authorized and unissued shares or shares now held or subsequently acquired by the Company. Any shares of Stock that have been made subject to an Option that cease to be subject to the Option (other than by reason of exercise of the Option), including, without limitation, in connection with the cancellation or termination of the Option, shall again be available for issuance in connection with future grants of Options under the Plan.</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SECTION 5. OFFERING DATES</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Offering Periods</w:t>
      </w:r>
    </w:p>
    <w:p>
      <w:pPr>
        <w:spacing w:after="0" w:line="207"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Except as otherwise set forth below, the Plan shall be implemented by a series of Offerings (each, an "Offering"). Offerings shall commence on January 1 and July 1 of each year and end on the next June 30 and December 31,</w:t>
      </w:r>
    </w:p>
    <w:p>
      <w:pPr>
        <w:sectPr>
          <w:pgSz w:w="11900" w:h="16838" w:orient="portrait"/>
          <w:cols w:equalWidth="0" w:num="1">
            <w:col w:w="10219"/>
          </w:cols>
          <w:pgMar w:left="240" w:top="142" w:right="1440" w:bottom="0" w:gutter="0" w:footer="0" w:header="0"/>
        </w:sectPr>
      </w:pPr>
    </w:p>
    <w:bookmarkStart w:id="10" w:name="page11"/>
    <w:bookmarkEnd w:id="10"/>
    <w:p>
      <w:pPr>
        <w:ind w:right="1899"/>
        <w:spacing w:after="0" w:line="248" w:lineRule="auto"/>
        <w:rPr>
          <w:sz w:val="20"/>
          <w:szCs w:val="20"/>
          <w:color w:val="auto"/>
        </w:rPr>
      </w:pPr>
      <w:r>
        <w:rPr>
          <w:rFonts w:ascii="Courier New" w:cs="Courier New" w:eastAsia="Courier New" w:hAnsi="Courier New"/>
          <w:sz w:val="17"/>
          <w:szCs w:val="17"/>
          <w:color w:val="auto"/>
        </w:rPr>
        <w:t>respectively, occurring thereafter. Notwithstanding the foregoing, the Plan Administrator may establish (a) a different term for one or more Offerings and</w:t>
      </w:r>
    </w:p>
    <w:p>
      <w:pPr>
        <w:spacing w:after="0" w:line="2" w:lineRule="exact"/>
        <w:rPr>
          <w:sz w:val="20"/>
          <w:szCs w:val="20"/>
          <w:color w:val="auto"/>
        </w:rPr>
      </w:pPr>
    </w:p>
    <w:p>
      <w:pPr>
        <w:jc w:val="both"/>
        <w:ind w:right="1899" w:firstLine="7"/>
        <w:spacing w:after="0" w:line="249" w:lineRule="auto"/>
        <w:tabs>
          <w:tab w:leader="none" w:pos="416"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different commencing and ending dates for such Offerings; provided, however, that an Offering Period (the "Offering Period") may not exceed five years; and provided further that if the Purchase Price may be less than 85% of the fair market value of the Stock on the Purchase Date, the Offering Period may not exceed 27 months. An employee who becomes eligible to participate in the Plan after an Offering Period has commenced shall not be eligible to participate in such Offering but may participate in any subsequent Offering, provided that such employee is still an Eligible Employee as of the commencement of any such subsequent Offering. Eligible Employees may not participate in more than one Offering at a time. In the event the first or the last day of an Offering Period is not a regular business day, then the first day of the Offering Period shall be deemed to be the next regular business day and the last day of the Offering Period shall be deemed to be the last preceding regular business day.</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Purchase Periods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Each Offering Period shall consist of two consecutive Purchase Periods (each, a "Purchase Period"). The last day of each Purchase Period shall be the Purchase Date for such Purchase Period. Purchase Periods commencing on January 1, April 1, July 1 and October 1 shall end on the next March 31, June 30, September 30 and December 31, respectively. Notwithstanding the foregoing, the Plan Administrator may establish (a) a different term for one or more Purchase Periods and (b) different commencing dates and Purchase Dates for any such Purchase Period. In the event the first or last day of a Purchase Period is not a regular business day, then the first day of the Purchase Period shall be deemed to be the next regular business day and the last day of the Purchase Period shall be deemed to be the last preceding regular business day.</w:t>
      </w:r>
    </w:p>
    <w:p>
      <w:pPr>
        <w:spacing w:after="0" w:line="20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SECTION 6. PARTICIPATION IN THE PLAN</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7"/>
          <w:szCs w:val="17"/>
          <w:color w:val="auto"/>
        </w:rPr>
        <w:t>Initial Participation</w:t>
      </w:r>
    </w:p>
    <w:p>
      <w:pPr>
        <w:spacing w:after="0" w:line="207" w:lineRule="exact"/>
        <w:rPr>
          <w:sz w:val="20"/>
          <w:szCs w:val="20"/>
          <w:color w:val="auto"/>
        </w:rPr>
      </w:pPr>
    </w:p>
    <w:p>
      <w:pPr>
        <w:jc w:val="both"/>
        <w:ind w:right="1899" w:firstLine="935"/>
        <w:spacing w:after="0" w:line="248" w:lineRule="auto"/>
        <w:rPr>
          <w:sz w:val="20"/>
          <w:szCs w:val="20"/>
          <w:color w:val="auto"/>
        </w:rPr>
      </w:pPr>
      <w:r>
        <w:rPr>
          <w:rFonts w:ascii="Courier New" w:cs="Courier New" w:eastAsia="Courier New" w:hAnsi="Courier New"/>
          <w:sz w:val="17"/>
          <w:szCs w:val="17"/>
          <w:color w:val="auto"/>
        </w:rPr>
        <w:t>An Eligible Employee shall become a Participant on the first Offering Date after satisfying the eligibility requirements and delivering to the Company's payroll office not later than the last business day before such Offering Date (the "Subscription Date") a subscription agreement indicating the Eligible Employee's election to participate in the Plan and authorizing payroll deductions. An Eligible Employee who does not deliver a subscription agreement to the Company's payroll office on or before the Subscription Date shall not participate in the Plan for that Offering Period or for any subsequent Offering Period, unless such Eligible Employee subsequently enrolls in the Plan by filing</w:t>
      </w:r>
    </w:p>
    <w:p>
      <w:pPr>
        <w:spacing w:after="0" w:line="7" w:lineRule="exact"/>
        <w:rPr>
          <w:sz w:val="20"/>
          <w:szCs w:val="20"/>
          <w:color w:val="auto"/>
        </w:rPr>
      </w:pPr>
    </w:p>
    <w:p>
      <w:pPr>
        <w:jc w:val="both"/>
        <w:ind w:right="1899" w:firstLine="7"/>
        <w:spacing w:after="0" w:line="249" w:lineRule="auto"/>
        <w:tabs>
          <w:tab w:leader="none" w:pos="3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subscription agreement with the Company by the Subscription Date for such subsequent Offering Period. The Plan Administrator may, from time to time, change the Subscription Date as deemed advisable by the Plan Administrator in its sole discretion for the proper administration of the Plan.</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Continued Participation</w:t>
      </w:r>
    </w:p>
    <w:p>
      <w:pPr>
        <w:spacing w:after="0" w:line="207" w:lineRule="exact"/>
        <w:rPr>
          <w:sz w:val="20"/>
          <w:szCs w:val="20"/>
          <w:color w:val="auto"/>
        </w:rPr>
      </w:pPr>
    </w:p>
    <w:p>
      <w:pPr>
        <w:jc w:val="both"/>
        <w:ind w:right="1899" w:firstLine="942"/>
        <w:spacing w:after="0" w:line="249" w:lineRule="auto"/>
        <w:tabs>
          <w:tab w:leader="none" w:pos="124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 shall automatically participate in the next Offering Period until such time as such Participant withdraws from the Plan pursuant to Section 11.2 or terminates employment as provided in Section 13. If a Participant withdraws from an Offering pursuant to Section 11.1, the Participant is not required to file any additional subscription agreements for the next subsequent Offering in order to continue participation in the Plan. If a Participant is automatically withdrawn from an Offering at the end of a Purchase Period pursuant to Section 12, then the Participant shall automatically participate in the Offering Period commencing on the next regular business day.</w:t>
      </w:r>
    </w:p>
    <w:p>
      <w:pPr>
        <w:spacing w:after="0" w:line="200"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SECTION 7. LIMITATIONS ON RIGHT TO PURCHASE SHARES</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$25,000 Limitation</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No Participant shall be entitled to purchase Stock under the Plan (or any other employee stock purchase plan that is intended to meet the requirements of Code Section 423 sponsored by the Company, a Parent Corporation or a Subsidiary Corporation) at a rate that exceeds $25,000 in fair market value, determined as of the Offering Date for each Offering Period (or such other limit as may be imposed by the Code), for each calendar year in which a Participant participates in the Plan (or any other employee stock purchase plan described in this Section 7.1).</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Pro Rata Allocation</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In the event the number of shares of Stock that might be purchased by all Participants in the Plan exceeds the number of shares of Stock available in the Plan, the Plan Administrator shall make a pro rata allocation of the remaining whole shares of Stock in as uniform a manner as shall be practicable and as the Plan Administrator shall determine to be equitable. In no event shall fractional shares be issued.</w:t>
      </w:r>
    </w:p>
    <w:p>
      <w:pPr>
        <w:sectPr>
          <w:pgSz w:w="11900" w:h="16838" w:orient="portrait"/>
          <w:cols w:equalWidth="0" w:num="1">
            <w:col w:w="10219"/>
          </w:cols>
          <w:pgMar w:left="240" w:top="142" w:right="1440" w:bottom="0" w:gutter="0" w:footer="0" w:header="0"/>
        </w:sectPr>
      </w:pPr>
    </w:p>
    <w:bookmarkStart w:id="11" w:name="page12"/>
    <w:bookmarkEnd w:id="11"/>
    <w:p>
      <w:pPr>
        <w:ind w:left="2920"/>
        <w:spacing w:after="0"/>
        <w:rPr>
          <w:sz w:val="20"/>
          <w:szCs w:val="20"/>
          <w:color w:val="auto"/>
        </w:rPr>
      </w:pPr>
      <w:r>
        <w:rPr>
          <w:rFonts w:ascii="Courier New" w:cs="Courier New" w:eastAsia="Courier New" w:hAnsi="Courier New"/>
          <w:sz w:val="17"/>
          <w:szCs w:val="17"/>
          <w:color w:val="auto"/>
        </w:rPr>
        <w:t>SECTION 8. PURCHASE PRICE</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purchase price (the "Purchase Price") at which Stock may be acquired in an Offering pursuant to the exercise of all or any portion of an Option granted under the Plan shall be 85% of the lesser of (a) the fair market value of the Stock on the Offering Date of such Offering and (b) the fair market value of the Stock on the Purchase Date. Notwithstanding the foregoing, the Plan Administrator may establish a different Purchase Price for any Offering, which shall not be less than the Purchase Price set forth in the preceding sentence. The fair market value of the Stock on the Offering Date or on the Purchase Date shall be the closing price of the Stock as reported by the Nasdaq National Market (or any national stock exchange (an "exchange") on which the Stock is at the time listed or admitted to trading) for a single trading day. If no sales of the Stock were made on the Nasdaq National Market (or an exchange) on the transaction date, fair market value shall mean the closing price of a share of the Stock as reported for the next preceding day on which sales of the Stock were made on the Nasdaq National Market (or an exchange).</w:t>
      </w:r>
    </w:p>
    <w:p>
      <w:pPr>
        <w:spacing w:after="0" w:line="20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SECTION 9. PAYMENT OF PURCHASE PRICE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9.1</w:t>
      </w:r>
      <w:r>
        <w:rPr>
          <w:sz w:val="20"/>
          <w:szCs w:val="20"/>
          <w:color w:val="auto"/>
        </w:rPr>
        <w:tab/>
      </w:r>
      <w:r>
        <w:rPr>
          <w:rFonts w:ascii="Courier New" w:cs="Courier New" w:eastAsia="Courier New" w:hAnsi="Courier New"/>
          <w:sz w:val="17"/>
          <w:szCs w:val="17"/>
          <w:color w:val="auto"/>
        </w:rPr>
        <w:t>General Rules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Stock that is acquired pursuant to the exercise of all or any portion of an Option may be paid for only by means of payroll deductions from the Participant's Eligible Compensation. Except as set forth in this Section 9, the amount of compensation to be withheld from a Participant's Eligible Compensation during each pay period shall be determined by the Participant's subscription agreement.</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7"/>
          <w:szCs w:val="17"/>
          <w:color w:val="auto"/>
        </w:rPr>
        <w:t>Change Notices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During an Offering Period, a Participant may elect to decrease the amount withheld from his or her compensation by filing an amended subscription agreement with the Company's payroll office on or before the seventh day prior to the end of the pay period for which such election is to be effective (the "Change Notice Date"); provided, however, that the Plan Administrator may change such Change Notice Date from time to time.</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9.3</w:t>
      </w:r>
      <w:r>
        <w:rPr>
          <w:sz w:val="20"/>
          <w:szCs w:val="20"/>
          <w:color w:val="auto"/>
        </w:rPr>
        <w:tab/>
      </w:r>
      <w:r>
        <w:rPr>
          <w:rFonts w:ascii="Courier New" w:cs="Courier New" w:eastAsia="Courier New" w:hAnsi="Courier New"/>
          <w:sz w:val="17"/>
          <w:szCs w:val="17"/>
          <w:color w:val="auto"/>
        </w:rPr>
        <w:t>Percent Withheld</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amount of payroll withholding with respect to the Plan for any Participant during any pay period shall be at least 1% of the Participant's Eligible Compensation for such pay period, but shall not exceed 10% of the Participant's Eligible Compensation for such pay period. Amounts shall be withheld in only whole percentages.</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9.4</w:t>
      </w:r>
      <w:r>
        <w:rPr>
          <w:sz w:val="20"/>
          <w:szCs w:val="20"/>
          <w:color w:val="auto"/>
        </w:rPr>
        <w:tab/>
      </w:r>
      <w:r>
        <w:rPr>
          <w:rFonts w:ascii="Courier New" w:cs="Courier New" w:eastAsia="Courier New" w:hAnsi="Courier New"/>
          <w:sz w:val="17"/>
          <w:szCs w:val="17"/>
          <w:color w:val="auto"/>
        </w:rPr>
        <w:t>Payroll Deductions</w:t>
      </w:r>
    </w:p>
    <w:p>
      <w:pPr>
        <w:spacing w:after="0" w:line="207"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Payroll deductions shall commence on the first payday following the Offering Date and shall continue to the end of the Offering Period unless sooner altered or terminated as provided in the Plan.</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9.5</w:t>
      </w:r>
      <w:r>
        <w:rPr>
          <w:sz w:val="20"/>
          <w:szCs w:val="20"/>
          <w:color w:val="auto"/>
        </w:rPr>
        <w:tab/>
      </w:r>
      <w:r>
        <w:rPr>
          <w:rFonts w:ascii="Courier New" w:cs="Courier New" w:eastAsia="Courier New" w:hAnsi="Courier New"/>
          <w:sz w:val="17"/>
          <w:szCs w:val="17"/>
          <w:color w:val="auto"/>
        </w:rPr>
        <w:t>Memorandum Accounts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Individual accounts shall be maintained for each Participant for memorandum purposes only. All payroll deductions from a Participant's compensation shall be credited to such account, but shall be deposited with the general funds of the Company. All payroll deductions received or held by the Company may be used by the Company for any corporate purpose.</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9.6</w:t>
      </w:r>
      <w:r>
        <w:rPr>
          <w:sz w:val="20"/>
          <w:szCs w:val="20"/>
          <w:color w:val="auto"/>
        </w:rPr>
        <w:tab/>
      </w:r>
      <w:r>
        <w:rPr>
          <w:rFonts w:ascii="Courier New" w:cs="Courier New" w:eastAsia="Courier New" w:hAnsi="Courier New"/>
          <w:sz w:val="17"/>
          <w:szCs w:val="17"/>
          <w:color w:val="auto"/>
        </w:rPr>
        <w:t>No Interest</w:t>
      </w:r>
    </w:p>
    <w:p>
      <w:pPr>
        <w:spacing w:after="0" w:line="207" w:lineRule="exact"/>
        <w:rPr>
          <w:sz w:val="20"/>
          <w:szCs w:val="20"/>
          <w:color w:val="auto"/>
        </w:rPr>
      </w:pPr>
    </w:p>
    <w:p>
      <w:pPr>
        <w:jc w:val="both"/>
        <w:ind w:right="1899" w:firstLine="935"/>
        <w:spacing w:after="0" w:line="251" w:lineRule="auto"/>
        <w:rPr>
          <w:sz w:val="20"/>
          <w:szCs w:val="20"/>
          <w:color w:val="auto"/>
        </w:rPr>
      </w:pPr>
      <w:r>
        <w:rPr>
          <w:rFonts w:ascii="Courier New" w:cs="Courier New" w:eastAsia="Courier New" w:hAnsi="Courier New"/>
          <w:sz w:val="17"/>
          <w:szCs w:val="17"/>
          <w:color w:val="auto"/>
        </w:rPr>
        <w:t>Interest shall not be paid on sums withheld from a Participant's compensation.</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9.7</w:t>
      </w:r>
      <w:r>
        <w:rPr>
          <w:sz w:val="20"/>
          <w:szCs w:val="20"/>
          <w:color w:val="auto"/>
        </w:rPr>
        <w:tab/>
      </w:r>
      <w:r>
        <w:rPr>
          <w:rFonts w:ascii="Courier New" w:cs="Courier New" w:eastAsia="Courier New" w:hAnsi="Courier New"/>
          <w:sz w:val="17"/>
          <w:szCs w:val="17"/>
          <w:color w:val="auto"/>
        </w:rPr>
        <w:t>Acquisition of Stock</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On each Purchase Date of an Offering Period, each Participant shall automatically acquire, pursuant to the exercise of the Participant's Option, the number of whole shares of Stock arrived at by dividing the total amount of the Participant's accumulated payroll deductions for the Purchase Period by the Purchase Price; provided, however, that in no event shall the number of shares of Stock purchased by the Participant exceed the number of shares of Stock subject to the Participant's Option. In no event shall fractional shares be issued.</w:t>
      </w:r>
    </w:p>
    <w:p>
      <w:pPr>
        <w:spacing w:after="0" w:line="4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9.8</w:t>
      </w:r>
      <w:r>
        <w:rPr>
          <w:sz w:val="20"/>
          <w:szCs w:val="20"/>
          <w:color w:val="auto"/>
        </w:rPr>
        <w:tab/>
      </w:r>
      <w:r>
        <w:rPr>
          <w:rFonts w:ascii="Courier New" w:cs="Courier New" w:eastAsia="Courier New" w:hAnsi="Courier New"/>
          <w:sz w:val="17"/>
          <w:szCs w:val="17"/>
          <w:color w:val="auto"/>
        </w:rPr>
        <w:t>Refund of Excess Amounts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Any cash balance remaining in the Participant's account shall be refunded to the Participant as soon as practical after the Purchase Date. In the event the cash to be returned to a Participant pursuant to the preceding sentence is in an amount less than the amount necessary to purchase a whole</w:t>
      </w:r>
    </w:p>
    <w:p>
      <w:pPr>
        <w:sectPr>
          <w:pgSz w:w="11900" w:h="16838" w:orient="portrait"/>
          <w:cols w:equalWidth="0" w:num="1">
            <w:col w:w="10219"/>
          </w:cols>
          <w:pgMar w:left="240" w:top="142" w:right="1440" w:bottom="0" w:gutter="0" w:footer="0" w:header="0"/>
        </w:sectPr>
      </w:pPr>
    </w:p>
    <w:bookmarkStart w:id="12" w:name="page13"/>
    <w:bookmarkEnd w:id="12"/>
    <w:p>
      <w:pPr>
        <w:jc w:val="both"/>
        <w:ind w:right="1899"/>
        <w:spacing w:after="0" w:line="250" w:lineRule="auto"/>
        <w:rPr>
          <w:sz w:val="20"/>
          <w:szCs w:val="20"/>
          <w:color w:val="auto"/>
        </w:rPr>
      </w:pPr>
      <w:r>
        <w:rPr>
          <w:rFonts w:ascii="Courier New" w:cs="Courier New" w:eastAsia="Courier New" w:hAnsi="Courier New"/>
          <w:sz w:val="17"/>
          <w:szCs w:val="17"/>
          <w:color w:val="auto"/>
        </w:rPr>
        <w:t>share of Stock, the Company may establish procedures whereby such cash is maintained in the Participant's account and applied to the purchase of Stock in the subsequent Purchase Period or Offering Period.</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9.9</w:t>
      </w:r>
      <w:r>
        <w:rPr>
          <w:sz w:val="20"/>
          <w:szCs w:val="20"/>
          <w:color w:val="auto"/>
        </w:rPr>
        <w:tab/>
      </w:r>
      <w:r>
        <w:rPr>
          <w:rFonts w:ascii="Courier New" w:cs="Courier New" w:eastAsia="Courier New" w:hAnsi="Courier New"/>
          <w:sz w:val="17"/>
          <w:szCs w:val="17"/>
          <w:color w:val="auto"/>
        </w:rPr>
        <w:t>Withholding Obligations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At the time the Option is exercised, in whole or in part, or at the time some or all of the Stock is disposed of, the Participant shall make adequate provision for federal and state withholding obligations of the Company, if any, that arise upon exercise of the Option or upon disposition of the Stock. The Company may, but shall not be obligated to, withhold from the Participant's compensation the amount necessary to meet such withholding obligations.</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9.10</w:t>
      </w:r>
      <w:r>
        <w:rPr>
          <w:sz w:val="20"/>
          <w:szCs w:val="20"/>
          <w:color w:val="auto"/>
        </w:rPr>
        <w:tab/>
      </w:r>
      <w:r>
        <w:rPr>
          <w:rFonts w:ascii="Courier New" w:cs="Courier New" w:eastAsia="Courier New" w:hAnsi="Courier New"/>
          <w:sz w:val="17"/>
          <w:szCs w:val="17"/>
          <w:color w:val="auto"/>
        </w:rPr>
        <w:t>Termination of Participation</w:t>
      </w:r>
    </w:p>
    <w:p>
      <w:pPr>
        <w:spacing w:after="0" w:line="207"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No Stock shall be purchased on behalf of a Participant on a Purchase Date whose participation in the Offering or the Plan has terminated on or before such Purchase Date.</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9.11</w:t>
      </w:r>
      <w:r>
        <w:rPr>
          <w:sz w:val="20"/>
          <w:szCs w:val="20"/>
          <w:color w:val="auto"/>
        </w:rPr>
        <w:tab/>
      </w:r>
      <w:r>
        <w:rPr>
          <w:rFonts w:ascii="Courier New" w:cs="Courier New" w:eastAsia="Courier New" w:hAnsi="Courier New"/>
          <w:sz w:val="17"/>
          <w:szCs w:val="17"/>
          <w:color w:val="auto"/>
        </w:rPr>
        <w:t>Procedural Matters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Plan Administrator may, from time to time, establish (a) limitations on the frequency and/or number of changes in the amount withheld during an Offering, (b) an exchange ratio applicable to amounts withheld in a currency other than U.S. dollars, (c) payroll withholding in excess of the amount designated by a Participant in order to adjust for delays or mistakes in the Company's processing of properly completed withholding elections, and (d) such other limitations or procedures as deemed advisable by the Plan Administrator in the Plan Administrator's sole discretion that are consistent with the Plan and in accordance with the requirements of Code Section 423.</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9.12</w:t>
      </w:r>
      <w:r>
        <w:rPr>
          <w:sz w:val="20"/>
          <w:szCs w:val="20"/>
          <w:color w:val="auto"/>
        </w:rPr>
        <w:tab/>
      </w:r>
      <w:r>
        <w:rPr>
          <w:rFonts w:ascii="Courier New" w:cs="Courier New" w:eastAsia="Courier New" w:hAnsi="Courier New"/>
          <w:sz w:val="17"/>
          <w:szCs w:val="17"/>
          <w:color w:val="auto"/>
        </w:rPr>
        <w:t>Leaves of Absence</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During leaves of absence approved by the Company and meeting the requirements of Treasury Regulations Section 1.421-7(h)(2), a Participant may continue participation in the Plan by delivering cash payments to the Company's payroll office on the Participant's normal paydays equal to the amount of his or her payroll deduction under the Plan had the Participant not taken a leave of absence.</w:t>
      </w:r>
    </w:p>
    <w:p>
      <w:pPr>
        <w:spacing w:after="0" w:line="20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SECTION 10. EVIDENCE OF STOCK OWNERSHIP</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in the absence of such a disposition, the shares of Stock must remain in the Participant's account at the ESPP Broker until the holding period set forth in Code Section 423(a) has been satisfied. With respect to shares of Stock for which the Code Section 423(a) holding periods have been satisfied, the Participant may move those shares of Stock to another brokerage account of the Participant's choosing or request that a stock certificate be issued and delivered to him or her. A Participant who is not subject to payment of U.S. income taxes may move his or her shares of Stock to another brokerage account of his or her choosing or request that a stock certificate be delivered to him or her at any time, without regard to the Code Section 423(a) holding period.</w:t>
      </w:r>
    </w:p>
    <w:p>
      <w:pPr>
        <w:spacing w:after="0" w:line="200"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SECTION 11. VOLUNTARY WITHDRAWAL</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7"/>
          <w:szCs w:val="17"/>
          <w:color w:val="auto"/>
        </w:rPr>
        <w:t>Withdrawal From an Offering</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A Participant may withdraw from an Offering by signing and delivering to the Company's payroll office a written notice of withdrawal on a form provided by the Plan Administrator for such purpose. Such withdrawal may be elected at any time prior to the end of an Offering Period; provided, however, that if a Participant withdraws after the Purchase Date for a Purchase Period of an Offering, the withdrawal shall not affect Stock acquired by the Participant in the earlier Purchase Periods. Unless otherwise indicated, withdrawal from an Offering shall not result in a withdrawal from the Plan or any succeeding Offering therein. A Participant is prohibited from again participating in the same Offering at any time upon withdrawal from such Offering. The Company may, from time to time, impose a requirement that the notice of withdrawal be on file with the Company's payroll office for a reasonable period prior to the effectiveness of the Participant's withdrawal.</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7"/>
          <w:szCs w:val="17"/>
          <w:color w:val="auto"/>
        </w:rPr>
        <w:t>Withdrawal From the Plan</w:t>
      </w:r>
    </w:p>
    <w:p>
      <w:pPr>
        <w:spacing w:after="0" w:line="207"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A Participant may withdraw from the Plan by signing a written notice of withdrawal on a form provided by the Plan Administrator for such purpose and delivering such notice to the Company's payroll office. In the event a</w:t>
      </w:r>
    </w:p>
    <w:p>
      <w:pPr>
        <w:sectPr>
          <w:pgSz w:w="11900" w:h="16838" w:orient="portrait"/>
          <w:cols w:equalWidth="0" w:num="1">
            <w:col w:w="10219"/>
          </w:cols>
          <w:pgMar w:left="240" w:top="142" w:right="1440" w:bottom="0" w:gutter="0" w:footer="0" w:header="0"/>
        </w:sectPr>
      </w:pPr>
    </w:p>
    <w:bookmarkStart w:id="13" w:name="page14"/>
    <w:bookmarkEnd w:id="13"/>
    <w:p>
      <w:pPr>
        <w:jc w:val="both"/>
        <w:ind w:right="1899"/>
        <w:spacing w:after="0" w:line="249" w:lineRule="auto"/>
        <w:rPr>
          <w:sz w:val="20"/>
          <w:szCs w:val="20"/>
          <w:color w:val="auto"/>
        </w:rPr>
      </w:pPr>
      <w:r>
        <w:rPr>
          <w:rFonts w:ascii="Courier New" w:cs="Courier New" w:eastAsia="Courier New" w:hAnsi="Courier New"/>
          <w:sz w:val="17"/>
          <w:szCs w:val="17"/>
          <w:color w:val="auto"/>
        </w:rPr>
        <w:t>Participant voluntarily elects to withdraw from the Plan, the withdrawing Participant may not resume participation in the Plan during the same Offering Period, but may participate in any subsequent Offering under the Plan by again satisfying the definition of Participant. The Company may, from time to time, impose a requirement that the notice of withdrawal be on file with the Company's payroll office for a reasonable period prior to the effectiveness of the Participant's withdrawal.</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7"/>
          <w:szCs w:val="17"/>
          <w:color w:val="auto"/>
        </w:rPr>
        <w:t>Return of Payroll Deductions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Upon withdrawal from an Offering pursuant to Section 11.1 or from the Plan pursuant to Section 11.2, the withdrawing Participant's accumulated payroll deductions that have not been applied to the purchase of Stock shall be returned as soon as practical after the withdrawal, without the payment of any interest, to the Participant, and the Participant's interest in the Offering shall terminate. Such accumulated payroll deductions may not be applied to any other Offering under the Plan.</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SECTION 12. AUTOMATIC WITHDRAWAL FROM AN OFFERING</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If the fair market value of the Stock on a Purchase Date of an Offering (other than the final Purchase Date of such Offering) is less than the fair market value of the shares on the Offering Date for such Offering and the Plan Administrator has established that the Purchase Price for the Offering may be the lesser of the fair market value (or a percentage thereof) of the Stock on the Offering Date and the fair market value of the Stock on the Purchase Date, then every Participant shall automatically (a) be withdrawn from such Offering at the close of such Purchase Date and (b) after the acquisition of Stock for such Purchase Period, be enrolled in the Offering commencing on the first business day subsequent to such Purchase Period.</w:t>
      </w:r>
    </w:p>
    <w:p>
      <w:pPr>
        <w:spacing w:after="0" w:line="20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SECTION 13. TERMINATION OF EMPLOYMENT</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Termination of a Participant's employment with the Company for any reason, including retirement, death or the failure of a Participant to remain an Eligible Employee, shall immediately terminate the Participant's participation in the Plan. In such event, the payroll deductions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13.</w:t>
      </w:r>
    </w:p>
    <w:p>
      <w:pPr>
        <w:spacing w:after="0" w:line="200"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SECTION 14. RESTRICTIONS UPON ASSIGNMENT</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An Option granted under the Plan shall not be transferable otherwise than by will or the laws of descent and distribution, and is exercisable during the Participant's lifetime only by the Participant. The Plan Administrator will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20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SECTION 15. EXCHANGE ACT HOLDING PERIOD</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Disposition of the shares of Stock obtained upon exercise of the Option within six months of the Purchase Date by persons required to file Forms 3, 4 and 5 pursuant to Section 16 of the Exchange Act could result in short-swing liability under Section 16(b) of the Exchange Act.</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16. NO RIGHTS OF SHAREHOLDER UNTIL CERTIFICATE ISSUED</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have been issued following exercise of the Participant's Option.</w:t>
      </w:r>
    </w:p>
    <w:p>
      <w:pPr>
        <w:spacing w:after="0" w:line="200"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SECTION 17. AMENDMENT OF THE PLAN</w:t>
      </w:r>
    </w:p>
    <w:p>
      <w:pPr>
        <w:spacing w:after="0" w:line="207" w:lineRule="exact"/>
        <w:rPr>
          <w:sz w:val="20"/>
          <w:szCs w:val="20"/>
          <w:color w:val="auto"/>
        </w:rPr>
      </w:pPr>
    </w:p>
    <w:p>
      <w:pPr>
        <w:jc w:val="both"/>
        <w:ind w:right="1899" w:firstLine="935"/>
        <w:spacing w:after="0" w:line="248" w:lineRule="auto"/>
        <w:rPr>
          <w:sz w:val="20"/>
          <w:szCs w:val="20"/>
          <w:color w:val="auto"/>
        </w:rPr>
      </w:pPr>
      <w:r>
        <w:rPr>
          <w:rFonts w:ascii="Courier New" w:cs="Courier New" w:eastAsia="Courier New" w:hAnsi="Courier New"/>
          <w:sz w:val="17"/>
          <w:szCs w:val="17"/>
          <w:color w:val="auto"/>
        </w:rPr>
        <w:t>The Board may amend the Plan in such respects as it shall deem advisable; provided, however, that to the extent required for compliance with Rule 16b-3 under the Exchange Act, Code Section 423 or any applicable law or regulation, shareholder approval will be required for any amendment that will</w:t>
      </w:r>
    </w:p>
    <w:p>
      <w:pPr>
        <w:spacing w:after="0" w:line="3" w:lineRule="exact"/>
        <w:rPr>
          <w:sz w:val="20"/>
          <w:szCs w:val="20"/>
          <w:color w:val="auto"/>
        </w:rPr>
      </w:pPr>
    </w:p>
    <w:p>
      <w:pPr>
        <w:jc w:val="both"/>
        <w:ind w:right="1899" w:firstLine="7"/>
        <w:spacing w:after="0" w:line="249" w:lineRule="auto"/>
        <w:tabs>
          <w:tab w:leader="none" w:pos="416"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total number of shares as to which Options may be granted under the Plan, (b) materially modify the class of persons eligible to receive Options, (c) materially increase the benefits accruing to Participants under the Plan, (d) decrease the Purchase Price below a price computed in the manner stated in Section 8, or (e) otherwise require shareholder approval under any applicable law or regulation.</w:t>
      </w:r>
    </w:p>
    <w:p>
      <w:pPr>
        <w:spacing w:after="0" w:line="200"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SECTION 18. TERMINATION OF THE PLAN</w:t>
      </w:r>
    </w:p>
    <w:p>
      <w:pPr>
        <w:sectPr>
          <w:pgSz w:w="11900" w:h="16838" w:orient="portrait"/>
          <w:cols w:equalWidth="0" w:num="1">
            <w:col w:w="10219"/>
          </w:cols>
          <w:pgMar w:left="240" w:top="142" w:right="1440" w:bottom="0" w:gutter="0" w:footer="0" w:header="0"/>
        </w:sectPr>
      </w:pPr>
    </w:p>
    <w:bookmarkStart w:id="14" w:name="page15"/>
    <w:bookmarkEnd w:id="14"/>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Company's shareholders or the Board may suspend or terminate the Plan at any time. Unless the Plan shall theretofore have been terminated by the Company's shareholders or the Board, the Plan shall terminate on, and no Options shall be made after April 30, 2006, except that such termination shall have no effect on Options made prior thereto. No Options shall be granted during any period of suspension of the Plan.</w:t>
      </w:r>
    </w:p>
    <w:p>
      <w:pPr>
        <w:spacing w:after="0" w:line="20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SECTION 19. NO RIGHTS AS AN EMPLOYEE</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Nothing in the Plan shall be construed to give any person (including any Eligible Employee or Participant) the right to remain in the employ of the Company or a Parent Corporation or Subsidiary Corporation or to affect the right of the Company and the Parent Corporations and Subsidiary Corporations to terminate the employment of any person (including any Eligible Employee or Participant) at any time with or without cause.</w:t>
      </w:r>
    </w:p>
    <w:p>
      <w:pPr>
        <w:spacing w:after="0" w:line="200"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SECTION 20. EFFECT UPON OTHER PLANS</w:t>
      </w:r>
    </w:p>
    <w:p>
      <w:pPr>
        <w:spacing w:after="0" w:line="207" w:lineRule="exact"/>
        <w:rPr>
          <w:sz w:val="20"/>
          <w:szCs w:val="20"/>
          <w:color w:val="auto"/>
        </w:rPr>
      </w:pPr>
    </w:p>
    <w:p>
      <w:pPr>
        <w:jc w:val="both"/>
        <w:ind w:right="1899" w:firstLine="935"/>
        <w:spacing w:after="0" w:line="248" w:lineRule="auto"/>
        <w:rPr>
          <w:sz w:val="20"/>
          <w:szCs w:val="20"/>
          <w:color w:val="auto"/>
        </w:rPr>
      </w:pPr>
      <w:r>
        <w:rPr>
          <w:rFonts w:ascii="Courier New" w:cs="Courier New" w:eastAsia="Courier New" w:hAnsi="Courier New"/>
          <w:sz w:val="17"/>
          <w:szCs w:val="17"/>
          <w:color w:val="auto"/>
        </w:rPr>
        <w:t>The adoption of the Plan shall not affect any other compensation or incentive plans in effect for the Company or any Parent Corporation or Subsidiary Corporation. Nothing in the Plan shall be construed to limit the right of the Company, any Parent Corporation or any Subsidiary Corporation to</w:t>
      </w:r>
    </w:p>
    <w:p>
      <w:pPr>
        <w:spacing w:after="0" w:line="3" w:lineRule="exact"/>
        <w:rPr>
          <w:sz w:val="20"/>
          <w:szCs w:val="20"/>
          <w:color w:val="auto"/>
        </w:rPr>
      </w:pPr>
    </w:p>
    <w:p>
      <w:pPr>
        <w:jc w:val="both"/>
        <w:ind w:right="1899" w:firstLine="7"/>
        <w:spacing w:after="0" w:line="249" w:lineRule="auto"/>
        <w:tabs>
          <w:tab w:leader="none" w:pos="41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any other forms of incentives or compensation for employees of the Company, any Parent Corporation or any Subsidiary Corporation or (b)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SECTION 21. ADJUSTMENTS</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21.1</w:t>
      </w:r>
      <w:r>
        <w:rPr>
          <w:sz w:val="20"/>
          <w:szCs w:val="20"/>
          <w:color w:val="auto"/>
        </w:rPr>
        <w:tab/>
      </w:r>
      <w:r>
        <w:rPr>
          <w:rFonts w:ascii="Courier New" w:cs="Courier New" w:eastAsia="Courier New" w:hAnsi="Courier New"/>
          <w:sz w:val="17"/>
          <w:szCs w:val="17"/>
          <w:color w:val="auto"/>
        </w:rPr>
        <w:t>Adjustment of Shares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in its sole discretion, shall make such equitable adjustments as it shall deem appropriate in the circumstances in the maximum number of shares of Stock subject to the Plan as set forth in Section 4. The determination by the Plan Administrator as to the terms of any of the foregoing adjustments shall be conclusive and binding.</w:t>
      </w:r>
    </w:p>
    <w:p>
      <w:pPr>
        <w:spacing w:after="0" w:line="4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7"/>
          <w:szCs w:val="17"/>
          <w:color w:val="auto"/>
        </w:rPr>
        <w:t>Limitations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grant of Options will in no way affect the Company's right to adjust, reclassify, reorganize or otherwise change its capital or business structure or to merge, consolidate, dissolve, liquidate or sell or transfer all or any part of its business or assets.</w:t>
      </w:r>
    </w:p>
    <w:p>
      <w:pPr>
        <w:spacing w:after="0" w:line="200"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SECTION 22. GENERAL</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22.1</w:t>
      </w:r>
      <w:r>
        <w:rPr>
          <w:sz w:val="20"/>
          <w:szCs w:val="20"/>
          <w:color w:val="auto"/>
        </w:rPr>
        <w:tab/>
      </w:r>
      <w:r>
        <w:rPr>
          <w:rFonts w:ascii="Courier New" w:cs="Courier New" w:eastAsia="Courier New" w:hAnsi="Courier New"/>
          <w:sz w:val="17"/>
          <w:szCs w:val="17"/>
          <w:color w:val="auto"/>
        </w:rPr>
        <w:t>Registration; Certificates for Shares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Company shall be under no obligation to any Participant to register for offering or resale under the Securities Act of 1933, as amended, or register or qualify under state securities laws, any shares of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22.2</w:t>
      </w:r>
      <w:r>
        <w:rPr>
          <w:sz w:val="20"/>
          <w:szCs w:val="20"/>
          <w:color w:val="auto"/>
        </w:rPr>
        <w:tab/>
      </w:r>
      <w:r>
        <w:rPr>
          <w:rFonts w:ascii="Courier New" w:cs="Courier New" w:eastAsia="Courier New" w:hAnsi="Courier New"/>
          <w:sz w:val="17"/>
          <w:szCs w:val="17"/>
          <w:color w:val="auto"/>
        </w:rPr>
        <w:t>Compliance With Rule 16b-3</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It is the Company's intention that, so long as any of the Company's equity securities are registered pursuant to Section 12(b) or 12(g) of the Exchange Act, the Plan shall comply in all respects with Rule 16b-3 under the Exchange Act, and if any Plan provision is later found not to be in compliance with such Rule, the provision shall be deemed null and void, and in all events the Plan shall be construed in favor of its meeting the requirements of Rule 16b-3.</w:t>
      </w:r>
    </w:p>
    <w:p>
      <w:pPr>
        <w:spacing w:after="0" w:line="200"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SECTION 23. EFFECTIVE DATE</w:t>
      </w:r>
    </w:p>
    <w:p>
      <w:pPr>
        <w:spacing w:after="0" w:line="207" w:lineRule="exact"/>
        <w:rPr>
          <w:sz w:val="20"/>
          <w:szCs w:val="20"/>
          <w:color w:val="auto"/>
        </w:rPr>
      </w:pPr>
    </w:p>
    <w:p>
      <w:pPr>
        <w:jc w:val="right"/>
        <w:ind w:right="1899"/>
        <w:spacing w:after="0"/>
        <w:tabs>
          <w:tab w:leader="none" w:pos="6120" w:val="left"/>
          <w:tab w:leader="none" w:pos="4960" w:val="left"/>
          <w:tab w:leader="none" w:pos="1540" w:val="left"/>
        </w:tabs>
        <w:rPr>
          <w:sz w:val="20"/>
          <w:szCs w:val="20"/>
          <w:color w:val="auto"/>
        </w:rPr>
      </w:pPr>
      <w:r>
        <w:rPr>
          <w:rFonts w:ascii="Courier New" w:cs="Courier New" w:eastAsia="Courier New" w:hAnsi="Courier New"/>
          <w:sz w:val="17"/>
          <w:szCs w:val="17"/>
          <w:color w:val="auto"/>
        </w:rPr>
        <w:t>The Plan's</w:t>
        <w:tab/>
        <w:t>effective</w:t>
        <w:tab/>
        <w:t>date is the date on which it is</w:t>
        <w:tab/>
        <w:t>approved by the</w:t>
      </w:r>
    </w:p>
    <w:p>
      <w:pPr>
        <w:sectPr>
          <w:pgSz w:w="11900" w:h="16838" w:orient="portrait"/>
          <w:cols w:equalWidth="0" w:num="1">
            <w:col w:w="10219"/>
          </w:cols>
          <w:pgMar w:left="240" w:top="342"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Company's shareholders.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Adopted by the Board on January 29, 1996 and approved by the Company's shareholders on April 30, 1996. Amended and restated by the Board on February 23, 1999 and amendment and restatement approved by the Company's shareholders on May 5, 1999.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140E0F76"/>
    <w:multiLevelType w:val="hybridMultilevel"/>
    <w:lvl w:ilvl="0">
      <w:lvlJc w:val="left"/>
      <w:lvlText w:val="%1"/>
      <w:numFmt w:val="upperLetter"/>
      <w:start w:val="1"/>
    </w:lvl>
    <w:lvl w:ilvl="1">
      <w:lvlJc w:val="left"/>
      <w:lvlText w:val="(%2)"/>
      <w:numFmt w:val="decimal"/>
      <w:start w:val="2"/>
    </w:lvl>
  </w:abstractNum>
  <w:abstractNum w:abstractNumId="4">
    <w:nsid w:val="3352255A"/>
    <w:multiLevelType w:val="hybridMultilevel"/>
    <w:lvl w:ilvl="0">
      <w:lvlJc w:val="left"/>
      <w:lvlText w:val="%1."/>
      <w:numFmt w:val="upperLetter"/>
      <w:start w:val="2"/>
    </w:lvl>
    <w:lvl w:ilvl="1">
      <w:lvlJc w:val="left"/>
      <w:lvlText w:val="%2"/>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a"/>
      <w:numFmt w:val="bullet"/>
      <w:start w:val="1"/>
    </w:lvl>
  </w:abstractNum>
  <w:abstractNum w:abstractNumId="18">
    <w:nsid w:val="62BBD95A"/>
    <w:multiLevelType w:val="hybridMultilevel"/>
    <w:lvl w:ilvl="0">
      <w:lvlJc w:val="left"/>
      <w:lvlText w:val="A"/>
      <w:numFmt w:val="bullet"/>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2019-12-13T15:52:36Z</dcterms:created>
  <dcterms:modified xsi:type="dcterms:W3CDTF">2019-12-13T15:52:36Z</dcterms:modified>
</cp:coreProperties>
</file>