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Form 8-K</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CURRENT REPORT</w:t>
      </w:r>
    </w:p>
    <w:p>
      <w:pPr>
        <w:spacing w:after="0" w:line="171" w:lineRule="exact"/>
        <w:rPr>
          <w:sz w:val="24"/>
          <w:szCs w:val="24"/>
          <w:color w:val="auto"/>
        </w:rPr>
      </w:pPr>
    </w:p>
    <w:p>
      <w:pPr>
        <w:ind w:left="1869"/>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27"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45"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March 31, 2000</w:t>
      </w:r>
    </w:p>
    <w:p>
      <w:pPr>
        <w:spacing w:after="0" w:line="27"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(Date of Report)</w:t>
      </w:r>
    </w:p>
    <w:p>
      <w:pPr>
        <w:spacing w:after="0" w:line="145"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ITRON, INC.</w:t>
      </w:r>
    </w:p>
    <w:p>
      <w:pPr>
        <w:spacing w:after="0" w:line="27"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Charter)</w:t>
      </w:r>
    </w:p>
    <w:p>
      <w:pPr>
        <w:spacing w:after="0" w:line="145" w:lineRule="exact"/>
        <w:rPr>
          <w:sz w:val="24"/>
          <w:szCs w:val="24"/>
          <w:color w:val="auto"/>
        </w:rPr>
      </w:pPr>
    </w:p>
    <w:tbl>
      <w:tblPr>
        <w:tblLayout w:type="fixed"/>
        <w:tblInd w:w="9" w:type="dxa"/>
        <w:tblCellMar>
          <w:top w:w="0" w:type="dxa"/>
          <w:left w:w="0" w:type="dxa"/>
          <w:bottom w:w="0" w:type="dxa"/>
          <w:right w:w="0" w:type="dxa"/>
        </w:tblCellMar>
      </w:tblPr>
      <w:tr>
        <w:trPr>
          <w:trHeight w:val="171"/>
        </w:trPr>
        <w:tc>
          <w:tcPr>
            <w:tcW w:w="2740" w:type="dxa"/>
            <w:vAlign w:val="bottom"/>
          </w:tcPr>
          <w:p>
            <w:pPr>
              <w:ind w:left="700"/>
              <w:spacing w:after="0"/>
              <w:rPr>
                <w:sz w:val="20"/>
                <w:szCs w:val="20"/>
                <w:color w:val="auto"/>
              </w:rPr>
            </w:pPr>
            <w:r>
              <w:rPr>
                <w:rFonts w:ascii="Courier New" w:cs="Courier New" w:eastAsia="Courier New" w:hAnsi="Courier New"/>
                <w:sz w:val="15"/>
                <w:szCs w:val="15"/>
                <w:color w:val="auto"/>
              </w:rPr>
              <w:t>Washington</w:t>
            </w:r>
          </w:p>
        </w:tc>
        <w:tc>
          <w:tcPr>
            <w:tcW w:w="23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000-22418</w:t>
            </w:r>
          </w:p>
        </w:tc>
        <w:tc>
          <w:tcPr>
            <w:tcW w:w="2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91-1011792</w:t>
            </w:r>
          </w:p>
        </w:tc>
        <w:tc>
          <w:tcPr>
            <w:tcW w:w="0" w:type="dxa"/>
            <w:vAlign w:val="bottom"/>
          </w:tcPr>
          <w:p>
            <w:pPr>
              <w:spacing w:after="0"/>
              <w:rPr>
                <w:sz w:val="1"/>
                <w:szCs w:val="1"/>
                <w:color w:val="auto"/>
              </w:rPr>
            </w:pPr>
          </w:p>
        </w:tc>
      </w:tr>
      <w:tr>
        <w:trPr>
          <w:trHeight w:val="171"/>
        </w:trPr>
        <w:tc>
          <w:tcPr>
            <w:tcW w:w="2740" w:type="dxa"/>
            <w:vAlign w:val="bottom"/>
            <w:vMerge w:val="restart"/>
          </w:tcPr>
          <w:p>
            <w:pPr>
              <w:spacing w:after="0"/>
              <w:rPr>
                <w:sz w:val="20"/>
                <w:szCs w:val="20"/>
                <w:color w:val="auto"/>
              </w:rPr>
            </w:pPr>
            <w:r>
              <w:rPr>
                <w:rFonts w:ascii="Courier New" w:cs="Courier New" w:eastAsia="Courier New" w:hAnsi="Courier New"/>
                <w:sz w:val="19"/>
                <w:szCs w:val="19"/>
                <w:color w:val="auto"/>
                <w:w w:val="71"/>
                <w:vertAlign w:val="subscript"/>
              </w:rPr>
              <w:t>(State</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orOtherJurisdiction</w:t>
            </w:r>
          </w:p>
        </w:tc>
        <w:tc>
          <w:tcPr>
            <w:tcW w:w="4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 -------------------------</w:t>
            </w: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(Commission File No.)</w:t>
            </w:r>
          </w:p>
        </w:tc>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9"/>
        </w:trPr>
        <w:tc>
          <w:tcPr>
            <w:tcW w:w="2740" w:type="dxa"/>
            <w:vAlign w:val="bottom"/>
          </w:tcPr>
          <w:p>
            <w:pPr>
              <w:spacing w:after="0"/>
              <w:rPr>
                <w:sz w:val="20"/>
                <w:szCs w:val="20"/>
                <w:color w:val="auto"/>
              </w:rPr>
            </w:pPr>
            <w:r>
              <w:rPr>
                <w:rFonts w:ascii="Courier New" w:cs="Courier New" w:eastAsia="Courier New" w:hAnsi="Courier New"/>
                <w:sz w:val="15"/>
                <w:szCs w:val="15"/>
                <w:color w:val="auto"/>
              </w:rPr>
              <w:t>of Incorporation)</w:t>
            </w:r>
          </w:p>
        </w:tc>
        <w:tc>
          <w:tcPr>
            <w:tcW w:w="2320" w:type="dxa"/>
            <w:vAlign w:val="bottom"/>
          </w:tcPr>
          <w:p>
            <w:pPr>
              <w:spacing w:after="0"/>
              <w:rPr>
                <w:sz w:val="21"/>
                <w:szCs w:val="21"/>
                <w:color w:val="auto"/>
              </w:rPr>
            </w:pPr>
          </w:p>
        </w:tc>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2818 N. Sullivan Road, Spokane, WA 99216</w:t>
      </w:r>
    </w:p>
    <w:p>
      <w:pPr>
        <w:spacing w:after="0" w:line="27"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8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(Address of Principal Executive Offices, including Zip Code)</w:t>
      </w:r>
    </w:p>
    <w:p>
      <w:pPr>
        <w:spacing w:after="0" w:line="145" w:lineRule="exact"/>
        <w:rPr>
          <w:rFonts w:ascii="Courier New" w:cs="Courier New" w:eastAsia="Courier New" w:hAnsi="Courier New"/>
          <w:sz w:val="14"/>
          <w:szCs w:val="14"/>
          <w:color w:val="auto"/>
        </w:rPr>
      </w:pPr>
    </w:p>
    <w:p>
      <w:pPr>
        <w:ind w:left="3469" w:hanging="540"/>
        <w:spacing w:after="0"/>
        <w:tabs>
          <w:tab w:leader="none" w:pos="346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924-9900</w:t>
      </w:r>
    </w:p>
    <w:p>
      <w:pPr>
        <w:spacing w:after="0" w:line="26"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2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45" w:lineRule="exact"/>
        <w:rPr>
          <w:sz w:val="24"/>
          <w:szCs w:val="24"/>
          <w:color w:val="auto"/>
        </w:rPr>
      </w:pPr>
    </w:p>
    <w:p>
      <w:pPr>
        <w:ind w:left="3369"/>
        <w:spacing w:after="0"/>
        <w:rPr>
          <w:sz w:val="20"/>
          <w:szCs w:val="20"/>
          <w:color w:val="auto"/>
        </w:rPr>
      </w:pPr>
      <w:r>
        <w:rPr>
          <w:rFonts w:ascii="Courier New" w:cs="Courier New" w:eastAsia="Courier New" w:hAnsi="Courier New"/>
          <w:sz w:val="15"/>
          <w:szCs w:val="15"/>
          <w:color w:val="auto"/>
        </w:rPr>
        <w:t>None</w:t>
      </w:r>
    </w:p>
    <w:p>
      <w:pPr>
        <w:spacing w:after="0" w:line="27"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7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(Former Name or Former Address, if Changed Since Last Report)</w:t>
      </w: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34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Completion of Duquesne project sale</w:t>
      </w:r>
    </w:p>
    <w:p>
      <w:pPr>
        <w:spacing w:after="0" w:line="171" w:lineRule="exact"/>
        <w:rPr>
          <w:sz w:val="24"/>
          <w:szCs w:val="24"/>
          <w:color w:val="auto"/>
        </w:rPr>
      </w:pPr>
    </w:p>
    <w:p>
      <w:pPr>
        <w:jc w:val="both"/>
        <w:ind w:left="9" w:right="3039" w:firstLine="799"/>
        <w:spacing w:after="0" w:line="257" w:lineRule="auto"/>
        <w:rPr>
          <w:sz w:val="20"/>
          <w:szCs w:val="20"/>
          <w:color w:val="auto"/>
        </w:rPr>
      </w:pPr>
      <w:r>
        <w:rPr>
          <w:rFonts w:ascii="Courier New" w:cs="Courier New" w:eastAsia="Courier New" w:hAnsi="Courier New"/>
          <w:sz w:val="15"/>
          <w:szCs w:val="15"/>
          <w:color w:val="auto"/>
        </w:rPr>
        <w:t>As a continuation of discussions which began in 1999, on February 8, 2000, the Company signed a memorandum of understanding with DQE, the parent of Duquesne Light Company ("Duquesne") for the purchase by Duquesne or an affiliate of our network-based system that provides AMR services to Duquesne. Negotiations for this transaction have been completed and the transaction closed March 31, 2000. The sales price was $33 million. The Company received $32 million in cash, with another $1 million held in escrow pending the completion of post-closing items.</w:t>
      </w:r>
    </w:p>
    <w:p>
      <w:pPr>
        <w:spacing w:after="0" w:line="81" w:lineRule="exact"/>
        <w:rPr>
          <w:sz w:val="24"/>
          <w:szCs w:val="24"/>
          <w:color w:val="auto"/>
        </w:rPr>
      </w:pPr>
    </w:p>
    <w:p>
      <w:pPr>
        <w:jc w:val="both"/>
        <w:ind w:left="9" w:right="3039" w:firstLine="799"/>
        <w:spacing w:after="0" w:line="259" w:lineRule="auto"/>
        <w:rPr>
          <w:sz w:val="20"/>
          <w:szCs w:val="20"/>
          <w:color w:val="auto"/>
        </w:rPr>
      </w:pPr>
      <w:r>
        <w:rPr>
          <w:rFonts w:ascii="Courier New" w:cs="Courier New" w:eastAsia="Courier New" w:hAnsi="Courier New"/>
          <w:sz w:val="15"/>
          <w:szCs w:val="15"/>
          <w:color w:val="auto"/>
        </w:rPr>
        <w:t>The Company also entered into a warranty and maintenance agreement with the purchaser, which is an affiliate of Duquesne, pursuant to which the Company will provide certain maintenance and support services for the network from closing over a term ending December 31, 2013. The Company will receive approximately $10 million over that term for those services. In connection with its performance responsibilities thereunder, the Company furnished to the purchasing affiliate of Duquesne a $5 million letter of credit.</w:t>
      </w:r>
    </w:p>
    <w:p>
      <w:pPr>
        <w:spacing w:after="0" w:line="8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Restated Fourth Quarter and Year 1999 Financial Results</w:t>
      </w:r>
    </w:p>
    <w:p>
      <w:pPr>
        <w:spacing w:after="0" w:line="171" w:lineRule="exact"/>
        <w:rPr>
          <w:sz w:val="24"/>
          <w:szCs w:val="24"/>
          <w:color w:val="auto"/>
        </w:rPr>
      </w:pPr>
    </w:p>
    <w:p>
      <w:pPr>
        <w:jc w:val="both"/>
        <w:ind w:left="9" w:right="3039" w:firstLine="799"/>
        <w:spacing w:after="0" w:line="264" w:lineRule="auto"/>
        <w:rPr>
          <w:sz w:val="20"/>
          <w:szCs w:val="20"/>
          <w:color w:val="auto"/>
        </w:rPr>
      </w:pPr>
      <w:r>
        <w:rPr>
          <w:rFonts w:ascii="Courier New" w:cs="Courier New" w:eastAsia="Courier New" w:hAnsi="Courier New"/>
          <w:sz w:val="14"/>
          <w:szCs w:val="14"/>
          <w:color w:val="auto"/>
        </w:rPr>
        <w:t>In the fourth quarter of 1999, in the course of updating its estimates of future revenues and costs concerning the Duquesne project, the Company recorded a provision for an estimated future loss on the sale of its fixed network project. The loss included the write-down of the carrying value of project fixed assets to the expected sales price, the write-off of existing contract receivables, and the estimated economics of its remaining warranty and maintenance obligations. The Company has since determined that its currently estimated net costs of the above sale and its warranty and maintenance obligations are higher than previously estimated, primarily related to ongoing maintenance and support requirements, expansion of the network to 95% of Duquesne's service territory and the replacement of certain telephone modules. The Company uses the cost-to-cost, percentage of completion method of accounting for long-term contracts. As such, it is recording an additional charge of approximately $12.6 million for the fourth quarter of 1999 to reflect the Company's current estimate of the cost of its remaining obligations that are in excess of the amounts it will receive upon the sale and over the course of the warranty and maintenance contract. This additional charge results in an after-tax loss of $64.6 million and $68.6 million for the fourth quarter and year-ended 1999, versus the previously reported $56.5 million and $60.6 million after-tax loss for the quarter and year, respectively. The revised diluted net loss per share for the fourth quarter and year is $4.32 and $4.62, respectively, versus the previously reported diluted net loss per share of $3.78 and $4.07 for the fourth quarter and year, respectively.</w:t>
      </w:r>
    </w:p>
    <w:p>
      <w:pPr>
        <w:spacing w:after="0" w:line="259" w:lineRule="exact"/>
        <w:rPr>
          <w:sz w:val="24"/>
          <w:szCs w:val="24"/>
          <w:color w:val="auto"/>
        </w:rPr>
      </w:pPr>
    </w:p>
    <w:p>
      <w:pPr>
        <w:jc w:val="both"/>
        <w:ind w:left="9" w:right="3039" w:firstLine="799"/>
        <w:spacing w:after="0" w:line="353" w:lineRule="auto"/>
        <w:rPr>
          <w:sz w:val="20"/>
          <w:szCs w:val="20"/>
          <w:color w:val="auto"/>
        </w:rPr>
      </w:pPr>
      <w:r>
        <w:rPr>
          <w:rFonts w:ascii="Courier New" w:cs="Courier New" w:eastAsia="Courier New" w:hAnsi="Courier New"/>
          <w:sz w:val="15"/>
          <w:szCs w:val="15"/>
          <w:color w:val="auto"/>
        </w:rPr>
        <w:t>Revised statements of operations and balance sheets for the fourth quarter and year ended 1999 are attached.</w:t>
      </w:r>
    </w:p>
    <w:p>
      <w:pPr>
        <w:spacing w:after="0" w:line="1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Second Amendment to Credit Agreement</w:t>
      </w:r>
    </w:p>
    <w:p>
      <w:pPr>
        <w:spacing w:after="0" w:line="171" w:lineRule="exact"/>
        <w:rPr>
          <w:sz w:val="24"/>
          <w:szCs w:val="24"/>
          <w:color w:val="auto"/>
        </w:rPr>
      </w:pPr>
    </w:p>
    <w:p>
      <w:pPr>
        <w:ind w:left="789"/>
        <w:spacing w:after="0"/>
        <w:tabs>
          <w:tab w:leader="none" w:pos="2109" w:val="left"/>
          <w:tab w:leader="none" w:pos="3709" w:val="left"/>
          <w:tab w:leader="none" w:pos="4689" w:val="left"/>
          <w:tab w:leader="none" w:pos="5749" w:val="left"/>
        </w:tabs>
        <w:rPr>
          <w:sz w:val="20"/>
          <w:szCs w:val="20"/>
          <w:color w:val="auto"/>
        </w:rPr>
      </w:pPr>
      <w:r>
        <w:rPr>
          <w:rFonts w:ascii="Courier New" w:cs="Courier New" w:eastAsia="Courier New" w:hAnsi="Courier New"/>
          <w:sz w:val="15"/>
          <w:szCs w:val="15"/>
          <w:color w:val="auto"/>
        </w:rPr>
        <w:t>In connection</w:t>
        <w:tab/>
        <w:t>with the revised</w:t>
        <w:tab/>
        <w:t>estimates</w:t>
        <w:tab/>
        <w:t>concerning</w:t>
      </w:r>
      <w:r>
        <w:rPr>
          <w:sz w:val="20"/>
          <w:szCs w:val="20"/>
          <w:color w:val="auto"/>
        </w:rPr>
        <w:tab/>
      </w:r>
      <w:r>
        <w:rPr>
          <w:rFonts w:ascii="Courier New" w:cs="Courier New" w:eastAsia="Courier New" w:hAnsi="Courier New"/>
          <w:sz w:val="14"/>
          <w:szCs w:val="14"/>
          <w:color w:val="auto"/>
        </w:rPr>
        <w:t>the sale of the</w:t>
      </w:r>
    </w:p>
    <w:p>
      <w:pPr>
        <w:sectPr>
          <w:pgSz w:w="11900" w:h="16838" w:orient="portrait"/>
          <w:cols w:equalWidth="0" w:num="1">
            <w:col w:w="10148"/>
          </w:cols>
          <w:pgMar w:left="311" w:top="206" w:right="1440" w:bottom="0" w:gutter="0" w:footer="0" w:header="0"/>
        </w:sectPr>
      </w:pPr>
    </w:p>
    <w:bookmarkStart w:id="1" w:name="page2"/>
    <w:bookmarkEnd w:id="1"/>
    <w:p>
      <w:pPr>
        <w:jc w:val="both"/>
        <w:ind w:right="3039"/>
        <w:spacing w:after="0" w:line="278" w:lineRule="auto"/>
        <w:rPr>
          <w:sz w:val="20"/>
          <w:szCs w:val="20"/>
          <w:color w:val="auto"/>
        </w:rPr>
      </w:pPr>
      <w:r>
        <w:rPr>
          <w:rFonts w:ascii="Courier New" w:cs="Courier New" w:eastAsia="Courier New" w:hAnsi="Courier New"/>
          <w:sz w:val="15"/>
          <w:szCs w:val="15"/>
          <w:color w:val="auto"/>
        </w:rPr>
        <w:t>Duquesne project and the restated fourth quarter and year 1999 financial results mentioned above, the Company has entered into a Second Amendment to Credit Agreement with General Electric Capital Corporation, effective March 30, 2000, which is attached.</w:t>
      </w:r>
    </w:p>
    <w:p>
      <w:pPr>
        <w:sectPr>
          <w:pgSz w:w="11900" w:h="16838" w:orient="portrait"/>
          <w:cols w:equalWidth="0" w:num="1">
            <w:col w:w="10139"/>
          </w:cols>
          <w:pgMar w:left="320" w:top="11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9"/>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2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43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c>
          <w:tcPr>
            <w:tcW w:w="2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Twelve Months Ended</w:t>
            </w:r>
          </w:p>
        </w:tc>
        <w:tc>
          <w:tcPr>
            <w:tcW w:w="0" w:type="dxa"/>
            <w:vAlign w:val="bottom"/>
          </w:tcPr>
          <w:p>
            <w:pPr>
              <w:spacing w:after="0"/>
              <w:rPr>
                <w:sz w:val="1"/>
                <w:szCs w:val="1"/>
                <w:color w:val="auto"/>
              </w:rPr>
            </w:pPr>
          </w:p>
        </w:tc>
      </w:tr>
      <w:tr>
        <w:trPr>
          <w:trHeight w:val="171"/>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340" w:type="dxa"/>
            <w:vAlign w:val="bottom"/>
          </w:tcPr>
          <w:p>
            <w:pPr>
              <w:ind w:left="1280"/>
              <w:spacing w:after="0"/>
              <w:rPr>
                <w:sz w:val="20"/>
                <w:szCs w:val="20"/>
                <w:color w:val="auto"/>
              </w:rPr>
            </w:pPr>
            <w:r>
              <w:rPr>
                <w:rFonts w:ascii="Courier New" w:cs="Courier New" w:eastAsia="Courier New" w:hAnsi="Courier New"/>
                <w:sz w:val="15"/>
                <w:szCs w:val="15"/>
                <w:color w:val="auto"/>
                <w:w w:val="96"/>
              </w:rPr>
              <w:t>December 31,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2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 (restated)</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2340" w:type="dxa"/>
            <w:vAlign w:val="bottom"/>
          </w:tcPr>
          <w:p>
            <w:pPr>
              <w:ind w:left="400"/>
              <w:spacing w:after="0"/>
              <w:rPr>
                <w:sz w:val="20"/>
                <w:szCs w:val="20"/>
                <w:color w:val="auto"/>
              </w:rPr>
            </w:pPr>
            <w:r>
              <w:rPr>
                <w:rFonts w:ascii="Courier New" w:cs="Courier New" w:eastAsia="Courier New" w:hAnsi="Courier New"/>
                <w:sz w:val="15"/>
                <w:szCs w:val="15"/>
                <w:color w:val="auto"/>
              </w:rPr>
              <w:t>1999 (restated)</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26,751</w:t>
            </w:r>
          </w:p>
        </w:tc>
        <w:tc>
          <w:tcPr>
            <w:tcW w:w="1640" w:type="dxa"/>
            <w:vAlign w:val="bottom"/>
            <w:gridSpan w:val="2"/>
            <w:vMerge w:val="restart"/>
          </w:tcPr>
          <w:p>
            <w:pPr>
              <w:jc w:val="right"/>
              <w:ind w:right="446"/>
              <w:spacing w:after="0"/>
              <w:rPr>
                <w:sz w:val="20"/>
                <w:szCs w:val="20"/>
                <w:color w:val="auto"/>
              </w:rPr>
            </w:pPr>
            <w:r>
              <w:rPr>
                <w:rFonts w:ascii="Courier New" w:cs="Courier New" w:eastAsia="Courier New" w:hAnsi="Courier New"/>
                <w:sz w:val="15"/>
                <w:szCs w:val="15"/>
                <w:color w:val="auto"/>
              </w:rPr>
              <w:t>$ 33,511</w:t>
            </w:r>
          </w:p>
        </w:tc>
        <w:tc>
          <w:tcPr>
            <w:tcW w:w="1560" w:type="dxa"/>
            <w:vAlign w:val="bottom"/>
            <w:gridSpan w:val="2"/>
            <w:vMerge w:val="restart"/>
          </w:tcPr>
          <w:p>
            <w:pPr>
              <w:jc w:val="right"/>
              <w:ind w:right="246"/>
              <w:spacing w:after="0"/>
              <w:rPr>
                <w:sz w:val="20"/>
                <w:szCs w:val="20"/>
                <w:color w:val="auto"/>
              </w:rPr>
            </w:pPr>
            <w:r>
              <w:rPr>
                <w:rFonts w:ascii="Courier New" w:cs="Courier New" w:eastAsia="Courier New" w:hAnsi="Courier New"/>
                <w:sz w:val="15"/>
                <w:szCs w:val="15"/>
                <w:color w:val="auto"/>
              </w:rPr>
              <w:t>$111,449</w:t>
            </w:r>
          </w:p>
        </w:tc>
        <w:tc>
          <w:tcPr>
            <w:tcW w:w="128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$164,148</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AMR systems</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Handheld systems</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18,129</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20,731</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69,557</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53,957</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Outsourcing</w:t>
            </w:r>
          </w:p>
        </w:tc>
        <w:tc>
          <w:tcPr>
            <w:tcW w:w="6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(3,167)</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7,844</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12,406</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23,297</w:t>
            </w:r>
          </w:p>
        </w:tc>
        <w:tc>
          <w:tcPr>
            <w:tcW w:w="0" w:type="dxa"/>
            <w:vAlign w:val="bottom"/>
          </w:tcPr>
          <w:p>
            <w:pPr>
              <w:spacing w:after="0"/>
              <w:rPr>
                <w:sz w:val="1"/>
                <w:szCs w:val="1"/>
                <w:color w:val="auto"/>
              </w:rPr>
            </w:pPr>
          </w:p>
        </w:tc>
      </w:tr>
      <w:tr>
        <w:trPr>
          <w:trHeight w:val="171"/>
        </w:trPr>
        <w:tc>
          <w:tcPr>
            <w:tcW w:w="51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revenues</w:t>
            </w:r>
          </w:p>
        </w:tc>
        <w:tc>
          <w:tcPr>
            <w:tcW w:w="620" w:type="dxa"/>
            <w:vAlign w:val="bottom"/>
          </w:tcPr>
          <w:p>
            <w:pPr>
              <w:ind w:left="180"/>
              <w:spacing w:after="0"/>
              <w:rPr>
                <w:sz w:val="20"/>
                <w:szCs w:val="20"/>
                <w:color w:val="auto"/>
              </w:rPr>
            </w:pPr>
            <w:r>
              <w:rPr>
                <w:rFonts w:ascii="Courier New" w:cs="Courier New" w:eastAsia="Courier New" w:hAnsi="Courier New"/>
                <w:sz w:val="7"/>
                <w:szCs w:val="7"/>
                <w:color w:val="auto"/>
                <w:w w:val="76"/>
              </w:rPr>
              <w:t>-------------</w:t>
            </w: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41,713</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1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62,086</w:t>
            </w:r>
          </w:p>
        </w:tc>
        <w:tc>
          <w:tcPr>
            <w:tcW w:w="620" w:type="dxa"/>
            <w:vAlign w:val="bottom"/>
          </w:tcPr>
          <w:p>
            <w:pPr>
              <w:spacing w:after="0"/>
              <w:rPr>
                <w:sz w:val="21"/>
                <w:szCs w:val="21"/>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193,412</w:t>
            </w:r>
          </w:p>
        </w:tc>
        <w:tc>
          <w:tcPr>
            <w:tcW w:w="480" w:type="dxa"/>
            <w:vAlign w:val="bottom"/>
          </w:tcPr>
          <w:p>
            <w:pPr>
              <w:spacing w:after="0"/>
              <w:rPr>
                <w:sz w:val="21"/>
                <w:szCs w:val="21"/>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241,402</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620" w:type="dxa"/>
            <w:vAlign w:val="bottom"/>
          </w:tcPr>
          <w:p>
            <w:pPr>
              <w:spacing w:after="0"/>
              <w:rPr>
                <w:sz w:val="22"/>
                <w:szCs w:val="22"/>
                <w:color w:val="auto"/>
              </w:rPr>
            </w:pP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22,605</w:t>
            </w:r>
          </w:p>
        </w:tc>
        <w:tc>
          <w:tcPr>
            <w:tcW w:w="540" w:type="dxa"/>
            <w:vAlign w:val="bottom"/>
          </w:tcPr>
          <w:p>
            <w:pPr>
              <w:spacing w:after="0"/>
              <w:rPr>
                <w:sz w:val="22"/>
                <w:szCs w:val="22"/>
                <w:color w:val="auto"/>
              </w:rPr>
            </w:pPr>
          </w:p>
        </w:tc>
        <w:tc>
          <w:tcPr>
            <w:tcW w:w="11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24,613</w:t>
            </w:r>
          </w:p>
        </w:tc>
        <w:tc>
          <w:tcPr>
            <w:tcW w:w="620" w:type="dxa"/>
            <w:vAlign w:val="bottom"/>
          </w:tcPr>
          <w:p>
            <w:pPr>
              <w:spacing w:after="0"/>
              <w:rPr>
                <w:sz w:val="22"/>
                <w:szCs w:val="22"/>
                <w:color w:val="auto"/>
              </w:rPr>
            </w:pP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76,826</w:t>
            </w:r>
          </w:p>
        </w:tc>
        <w:tc>
          <w:tcPr>
            <w:tcW w:w="480" w:type="dxa"/>
            <w:vAlign w:val="bottom"/>
          </w:tcPr>
          <w:p>
            <w:pPr>
              <w:spacing w:after="0"/>
              <w:rPr>
                <w:sz w:val="22"/>
                <w:szCs w:val="22"/>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5"/>
              </w:rPr>
              <w:t>117,519</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AMR systems</w:t>
            </w: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Handheld systems</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10,273</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9,820</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39,704</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27,415</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Outsourcing</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70,322</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6,644</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83,574</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19,665</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Total cost of revenues</w:t>
            </w:r>
          </w:p>
        </w:tc>
        <w:tc>
          <w:tcPr>
            <w:tcW w:w="620" w:type="dxa"/>
            <w:vAlign w:val="bottom"/>
          </w:tcPr>
          <w:p>
            <w:pPr>
              <w:spacing w:after="0"/>
              <w:rPr>
                <w:sz w:val="22"/>
                <w:szCs w:val="22"/>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103,200</w:t>
            </w:r>
          </w:p>
        </w:tc>
        <w:tc>
          <w:tcPr>
            <w:tcW w:w="540" w:type="dxa"/>
            <w:vAlign w:val="bottom"/>
          </w:tcPr>
          <w:p>
            <w:pPr>
              <w:spacing w:after="0"/>
              <w:rPr>
                <w:sz w:val="22"/>
                <w:szCs w:val="22"/>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41,077</w:t>
            </w:r>
          </w:p>
        </w:tc>
        <w:tc>
          <w:tcPr>
            <w:tcW w:w="620" w:type="dxa"/>
            <w:vAlign w:val="bottom"/>
          </w:tcPr>
          <w:p>
            <w:pPr>
              <w:spacing w:after="0"/>
              <w:rPr>
                <w:sz w:val="22"/>
                <w:szCs w:val="22"/>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200,104</w:t>
            </w:r>
          </w:p>
        </w:tc>
        <w:tc>
          <w:tcPr>
            <w:tcW w:w="480" w:type="dxa"/>
            <w:vAlign w:val="bottom"/>
          </w:tcPr>
          <w:p>
            <w:pPr>
              <w:spacing w:after="0"/>
              <w:rPr>
                <w:sz w:val="22"/>
                <w:szCs w:val="22"/>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164,599</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24"/>
                <w:szCs w:val="2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(61,487)</w:t>
            </w:r>
          </w:p>
        </w:tc>
        <w:tc>
          <w:tcPr>
            <w:tcW w:w="540" w:type="dxa"/>
            <w:vAlign w:val="bottom"/>
          </w:tcPr>
          <w:p>
            <w:pPr>
              <w:spacing w:after="0"/>
              <w:rPr>
                <w:sz w:val="24"/>
                <w:szCs w:val="2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21,009</w:t>
            </w:r>
          </w:p>
        </w:tc>
        <w:tc>
          <w:tcPr>
            <w:tcW w:w="6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(6,692)</w:t>
            </w:r>
          </w:p>
        </w:tc>
        <w:tc>
          <w:tcPr>
            <w:tcW w:w="48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76,803</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2"/>
                <w:szCs w:val="22"/>
                <w:color w:val="auto"/>
              </w:rPr>
            </w:pP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7,280</w:t>
            </w:r>
          </w:p>
        </w:tc>
        <w:tc>
          <w:tcPr>
            <w:tcW w:w="540" w:type="dxa"/>
            <w:vAlign w:val="bottom"/>
          </w:tcPr>
          <w:p>
            <w:pPr>
              <w:spacing w:after="0"/>
              <w:rPr>
                <w:sz w:val="22"/>
                <w:szCs w:val="22"/>
                <w:color w:val="auto"/>
              </w:rPr>
            </w:pPr>
          </w:p>
        </w:tc>
        <w:tc>
          <w:tcPr>
            <w:tcW w:w="11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6,457</w:t>
            </w:r>
          </w:p>
        </w:tc>
        <w:tc>
          <w:tcPr>
            <w:tcW w:w="620" w:type="dxa"/>
            <w:vAlign w:val="bottom"/>
          </w:tcPr>
          <w:p>
            <w:pPr>
              <w:spacing w:after="0"/>
              <w:rPr>
                <w:sz w:val="22"/>
                <w:szCs w:val="22"/>
                <w:color w:val="auto"/>
              </w:rPr>
            </w:pP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27,780</w:t>
            </w:r>
          </w:p>
        </w:tc>
        <w:tc>
          <w:tcPr>
            <w:tcW w:w="480" w:type="dxa"/>
            <w:vAlign w:val="bottom"/>
          </w:tcPr>
          <w:p>
            <w:pPr>
              <w:spacing w:after="0"/>
              <w:rPr>
                <w:sz w:val="22"/>
                <w:szCs w:val="22"/>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26,668</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Sales and marketing</w:t>
            </w: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Product development</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7,248</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7,139</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26,764</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33,493</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4,060</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3,411</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13,497</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12,834</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intangibles</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553</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485</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1,986</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2,261</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Restructuring charges</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6,737</w:t>
            </w: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683</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16,686</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3,930</w:t>
            </w:r>
          </w:p>
        </w:tc>
        <w:tc>
          <w:tcPr>
            <w:tcW w:w="0" w:type="dxa"/>
            <w:vAlign w:val="bottom"/>
          </w:tcPr>
          <w:p>
            <w:pPr>
              <w:spacing w:after="0"/>
              <w:rPr>
                <w:sz w:val="1"/>
                <w:szCs w:val="1"/>
                <w:color w:val="auto"/>
              </w:rPr>
            </w:pPr>
          </w:p>
        </w:tc>
      </w:tr>
      <w:tr>
        <w:trPr>
          <w:trHeight w:val="171"/>
        </w:trPr>
        <w:tc>
          <w:tcPr>
            <w:tcW w:w="51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operating expenses</w:t>
            </w:r>
          </w:p>
        </w:tc>
        <w:tc>
          <w:tcPr>
            <w:tcW w:w="620" w:type="dxa"/>
            <w:vAlign w:val="bottom"/>
          </w:tcPr>
          <w:p>
            <w:pPr>
              <w:ind w:left="180"/>
              <w:spacing w:after="0"/>
              <w:rPr>
                <w:sz w:val="20"/>
                <w:szCs w:val="20"/>
                <w:color w:val="auto"/>
              </w:rPr>
            </w:pPr>
            <w:r>
              <w:rPr>
                <w:rFonts w:ascii="Courier New" w:cs="Courier New" w:eastAsia="Courier New" w:hAnsi="Courier New"/>
                <w:sz w:val="7"/>
                <w:szCs w:val="7"/>
                <w:color w:val="auto"/>
                <w:w w:val="76"/>
              </w:rPr>
              <w:t>-------------</w:t>
            </w: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25,878</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18,713</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86,713</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79,186</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20" w:type="dxa"/>
            <w:vAlign w:val="bottom"/>
          </w:tcPr>
          <w:p>
            <w:pPr>
              <w:spacing w:after="0"/>
              <w:rPr>
                <w:sz w:val="24"/>
                <w:szCs w:val="2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(87,365)</w:t>
            </w:r>
          </w:p>
        </w:tc>
        <w:tc>
          <w:tcPr>
            <w:tcW w:w="540" w:type="dxa"/>
            <w:vAlign w:val="bottom"/>
          </w:tcPr>
          <w:p>
            <w:pPr>
              <w:spacing w:after="0"/>
              <w:rPr>
                <w:sz w:val="24"/>
                <w:szCs w:val="2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2,834</w:t>
            </w:r>
          </w:p>
        </w:tc>
        <w:tc>
          <w:tcPr>
            <w:tcW w:w="6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(93,405)</w:t>
            </w:r>
          </w:p>
        </w:tc>
        <w:tc>
          <w:tcPr>
            <w:tcW w:w="48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(2,383)</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spacing w:after="0"/>
              <w:rPr>
                <w:sz w:val="22"/>
                <w:szCs w:val="22"/>
                <w:color w:val="auto"/>
              </w:rPr>
            </w:pP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(187)</w:t>
            </w:r>
          </w:p>
        </w:tc>
        <w:tc>
          <w:tcPr>
            <w:tcW w:w="540" w:type="dxa"/>
            <w:vAlign w:val="bottom"/>
          </w:tcPr>
          <w:p>
            <w:pPr>
              <w:spacing w:after="0"/>
              <w:rPr>
                <w:sz w:val="22"/>
                <w:szCs w:val="22"/>
                <w:color w:val="auto"/>
              </w:rPr>
            </w:pPr>
          </w:p>
        </w:tc>
        <w:tc>
          <w:tcPr>
            <w:tcW w:w="11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70</w:t>
            </w:r>
          </w:p>
        </w:tc>
        <w:tc>
          <w:tcPr>
            <w:tcW w:w="620" w:type="dxa"/>
            <w:vAlign w:val="bottom"/>
          </w:tcPr>
          <w:p>
            <w:pPr>
              <w:spacing w:after="0"/>
              <w:rPr>
                <w:sz w:val="22"/>
                <w:szCs w:val="22"/>
                <w:color w:val="auto"/>
              </w:rPr>
            </w:pPr>
          </w:p>
        </w:tc>
        <w:tc>
          <w:tcPr>
            <w:tcW w:w="9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(600)</w:t>
            </w:r>
          </w:p>
        </w:tc>
        <w:tc>
          <w:tcPr>
            <w:tcW w:w="480" w:type="dxa"/>
            <w:vAlign w:val="bottom"/>
          </w:tcPr>
          <w:p>
            <w:pPr>
              <w:spacing w:after="0"/>
              <w:rPr>
                <w:sz w:val="22"/>
                <w:szCs w:val="22"/>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(1,154)</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Equity in affiliates</w:t>
            </w: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Interest, net</w:t>
            </w:r>
          </w:p>
        </w:tc>
        <w:tc>
          <w:tcPr>
            <w:tcW w:w="6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(1,680)</w:t>
            </w:r>
          </w:p>
        </w:tc>
        <w:tc>
          <w:tcPr>
            <w:tcW w:w="54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(1,897)</w:t>
            </w:r>
          </w:p>
        </w:tc>
        <w:tc>
          <w:tcPr>
            <w:tcW w:w="6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(6,261)</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(6,508)</w:t>
            </w:r>
          </w:p>
        </w:tc>
        <w:tc>
          <w:tcPr>
            <w:tcW w:w="0" w:type="dxa"/>
            <w:vAlign w:val="bottom"/>
          </w:tcPr>
          <w:p>
            <w:pPr>
              <w:spacing w:after="0"/>
              <w:rPr>
                <w:sz w:val="1"/>
                <w:szCs w:val="1"/>
                <w:color w:val="auto"/>
              </w:rPr>
            </w:pPr>
          </w:p>
        </w:tc>
      </w:tr>
      <w:tr>
        <w:trPr>
          <w:trHeight w:val="171"/>
        </w:trPr>
        <w:tc>
          <w:tcPr>
            <w:tcW w:w="51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other income (expense)</w:t>
            </w:r>
          </w:p>
        </w:tc>
        <w:tc>
          <w:tcPr>
            <w:tcW w:w="620" w:type="dxa"/>
            <w:vAlign w:val="bottom"/>
          </w:tcPr>
          <w:p>
            <w:pPr>
              <w:ind w:left="260"/>
              <w:spacing w:after="0"/>
              <w:rPr>
                <w:sz w:val="20"/>
                <w:szCs w:val="20"/>
                <w:color w:val="auto"/>
              </w:rPr>
            </w:pPr>
            <w:r>
              <w:rPr>
                <w:rFonts w:ascii="Courier New" w:cs="Courier New" w:eastAsia="Courier New" w:hAnsi="Courier New"/>
                <w:sz w:val="6"/>
                <w:szCs w:val="6"/>
                <w:color w:val="auto"/>
                <w:w w:val="72"/>
              </w:rPr>
              <w:t>-------------</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(1,867)</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(1,827)</w:t>
            </w:r>
          </w:p>
        </w:tc>
        <w:tc>
          <w:tcPr>
            <w:tcW w:w="6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(6,861)</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(7,662)</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extraordinary item</w:t>
            </w:r>
          </w:p>
        </w:tc>
        <w:tc>
          <w:tcPr>
            <w:tcW w:w="620" w:type="dxa"/>
            <w:vAlign w:val="bottom"/>
          </w:tcPr>
          <w:p>
            <w:pPr>
              <w:spacing w:after="0"/>
              <w:rPr>
                <w:sz w:val="22"/>
                <w:szCs w:val="22"/>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(89,232)</w:t>
            </w:r>
          </w:p>
        </w:tc>
        <w:tc>
          <w:tcPr>
            <w:tcW w:w="540" w:type="dxa"/>
            <w:vAlign w:val="bottom"/>
          </w:tcPr>
          <w:p>
            <w:pPr>
              <w:spacing w:after="0"/>
              <w:rPr>
                <w:sz w:val="22"/>
                <w:szCs w:val="22"/>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1,007</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(100,266)</w:t>
            </w:r>
          </w:p>
        </w:tc>
        <w:tc>
          <w:tcPr>
            <w:tcW w:w="480" w:type="dxa"/>
            <w:vAlign w:val="bottom"/>
          </w:tcPr>
          <w:p>
            <w:pPr>
              <w:spacing w:after="0"/>
              <w:rPr>
                <w:sz w:val="22"/>
                <w:szCs w:val="22"/>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(10,045)</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tax benefit(provision)</w:t>
            </w:r>
          </w:p>
        </w:tc>
        <w:tc>
          <w:tcPr>
            <w:tcW w:w="6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24,659</w:t>
            </w:r>
          </w:p>
        </w:tc>
        <w:tc>
          <w:tcPr>
            <w:tcW w:w="54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(380)</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28,010</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3,820</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620" w:type="dxa"/>
            <w:vAlign w:val="bottom"/>
          </w:tcPr>
          <w:p>
            <w:pPr>
              <w:ind w:left="260"/>
              <w:spacing w:after="0"/>
              <w:rPr>
                <w:sz w:val="20"/>
                <w:szCs w:val="20"/>
                <w:color w:val="auto"/>
              </w:rPr>
            </w:pPr>
            <w:r>
              <w:rPr>
                <w:rFonts w:ascii="Courier New" w:cs="Courier New" w:eastAsia="Courier New" w:hAnsi="Courier New"/>
                <w:sz w:val="6"/>
                <w:szCs w:val="6"/>
                <w:color w:val="auto"/>
                <w:w w:val="72"/>
              </w:rPr>
              <w:t>-------------</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7"/>
              </w:rPr>
              <w:t>(64,573)</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627</w:t>
            </w:r>
          </w:p>
        </w:tc>
        <w:tc>
          <w:tcPr>
            <w:tcW w:w="6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(72,256)</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(6,225)</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 debt,</w:t>
            </w:r>
          </w:p>
        </w:tc>
        <w:tc>
          <w:tcPr>
            <w:tcW w:w="620" w:type="dxa"/>
            <w:vAlign w:val="bottom"/>
          </w:tcPr>
          <w:p>
            <w:pPr>
              <w:spacing w:after="0"/>
              <w:rPr>
                <w:sz w:val="14"/>
                <w:szCs w:val="14"/>
                <w:color w:val="auto"/>
              </w:rPr>
            </w:pP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3,660</w:t>
            </w:r>
          </w:p>
        </w:tc>
        <w:tc>
          <w:tcPr>
            <w:tcW w:w="4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net of income taxes of $1,970</w:t>
            </w: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620" w:type="dxa"/>
            <w:vAlign w:val="bottom"/>
            <w:vMerge w:val="restart"/>
          </w:tcPr>
          <w:p>
            <w:pPr>
              <w:ind w:left="260"/>
              <w:spacing w:after="0"/>
              <w:rPr>
                <w:sz w:val="20"/>
                <w:szCs w:val="20"/>
                <w:color w:val="auto"/>
              </w:rPr>
            </w:pPr>
            <w:r>
              <w:rPr>
                <w:rFonts w:ascii="Courier New" w:cs="Courier New" w:eastAsia="Courier New" w:hAnsi="Courier New"/>
                <w:sz w:val="4"/>
                <w:szCs w:val="4"/>
                <w:color w:val="auto"/>
                <w:w w:val="99"/>
              </w:rPr>
              <w:t>-------------</w:t>
            </w:r>
            <w:r>
              <w:rPr>
                <w:rFonts w:ascii="Courier New" w:cs="Courier New" w:eastAsia="Courier New" w:hAnsi="Courier New"/>
                <w:sz w:val="7"/>
                <w:szCs w:val="7"/>
                <w:color w:val="auto"/>
                <w:w w:val="99"/>
                <w:vertAlign w:val="subscript"/>
              </w:rPr>
              <w:t>$</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7"/>
              </w:rPr>
              <w:t>(64,573)</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627</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$(68,596)</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(6,225)</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6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(4.32)</w:t>
            </w:r>
          </w:p>
        </w:tc>
        <w:tc>
          <w:tcPr>
            <w:tcW w:w="54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0.04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(4.87)</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Before extraordinary item</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6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0.25</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Basic net income (loss) per share</w:t>
            </w:r>
          </w:p>
        </w:tc>
        <w:tc>
          <w:tcPr>
            <w:tcW w:w="620" w:type="dxa"/>
            <w:vAlign w:val="bottom"/>
            <w:vMerge w:val="continue"/>
          </w:tcPr>
          <w:p>
            <w:pPr>
              <w:spacing w:after="0"/>
              <w:rPr>
                <w:sz w:val="21"/>
                <w:szCs w:val="21"/>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(4.32)</w:t>
            </w:r>
          </w:p>
        </w:tc>
        <w:tc>
          <w:tcPr>
            <w:tcW w:w="540" w:type="dxa"/>
            <w:vAlign w:val="bottom"/>
            <w:vMerge w:val="continue"/>
          </w:tcPr>
          <w:p>
            <w:pPr>
              <w:spacing w:after="0"/>
              <w:rPr>
                <w:sz w:val="21"/>
                <w:szCs w:val="21"/>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0.04</w:t>
            </w:r>
          </w:p>
        </w:tc>
        <w:tc>
          <w:tcPr>
            <w:tcW w:w="620" w:type="dxa"/>
            <w:vAlign w:val="bottom"/>
            <w:vMerge w:val="continue"/>
          </w:tcPr>
          <w:p>
            <w:pPr>
              <w:spacing w:after="0"/>
              <w:rPr>
                <w:sz w:val="21"/>
                <w:szCs w:val="21"/>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(4.62)</w:t>
            </w:r>
          </w:p>
        </w:tc>
        <w:tc>
          <w:tcPr>
            <w:tcW w:w="480" w:type="dxa"/>
            <w:vAlign w:val="bottom"/>
            <w:vMerge w:val="continue"/>
          </w:tcPr>
          <w:p>
            <w:pPr>
              <w:spacing w:after="0"/>
              <w:rPr>
                <w:sz w:val="21"/>
                <w:szCs w:val="21"/>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6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(4.32)</w:t>
            </w:r>
          </w:p>
        </w:tc>
        <w:tc>
          <w:tcPr>
            <w:tcW w:w="54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0.04</w:t>
            </w:r>
          </w:p>
        </w:tc>
        <w:tc>
          <w:tcPr>
            <w:tcW w:w="620" w:type="dxa"/>
            <w:vAlign w:val="bottom"/>
          </w:tcPr>
          <w:p>
            <w:pPr>
              <w:spacing w:after="0"/>
              <w:rPr>
                <w:sz w:val="22"/>
                <w:szCs w:val="22"/>
                <w:color w:val="auto"/>
              </w:rPr>
            </w:pPr>
          </w:p>
        </w:tc>
        <w:tc>
          <w:tcPr>
            <w:tcW w:w="9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$(4.87)</w:t>
            </w:r>
          </w:p>
        </w:tc>
        <w:tc>
          <w:tcPr>
            <w:tcW w:w="480" w:type="dxa"/>
            <w:vAlign w:val="bottom"/>
          </w:tcPr>
          <w:p>
            <w:pPr>
              <w:spacing w:after="0"/>
              <w:rPr>
                <w:sz w:val="22"/>
                <w:szCs w:val="22"/>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Before extraordinary item</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6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Diluted net income (loss) per share</w:t>
            </w:r>
          </w:p>
        </w:tc>
        <w:tc>
          <w:tcPr>
            <w:tcW w:w="620" w:type="dxa"/>
            <w:vAlign w:val="bottom"/>
            <w:vMerge w:val="continue"/>
          </w:tcPr>
          <w:p>
            <w:pPr>
              <w:spacing w:after="0"/>
              <w:rPr>
                <w:sz w:val="21"/>
                <w:szCs w:val="21"/>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(4.32)</w:t>
            </w:r>
          </w:p>
        </w:tc>
        <w:tc>
          <w:tcPr>
            <w:tcW w:w="540" w:type="dxa"/>
            <w:vAlign w:val="bottom"/>
            <w:vMerge w:val="continue"/>
          </w:tcPr>
          <w:p>
            <w:pPr>
              <w:spacing w:after="0"/>
              <w:rPr>
                <w:sz w:val="21"/>
                <w:szCs w:val="21"/>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0.04</w:t>
            </w:r>
          </w:p>
        </w:tc>
        <w:tc>
          <w:tcPr>
            <w:tcW w:w="620" w:type="dxa"/>
            <w:vAlign w:val="bottom"/>
          </w:tcPr>
          <w:p>
            <w:pPr>
              <w:spacing w:after="0"/>
              <w:rPr>
                <w:sz w:val="21"/>
                <w:szCs w:val="21"/>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$(4.62)</w:t>
            </w:r>
          </w:p>
        </w:tc>
        <w:tc>
          <w:tcPr>
            <w:tcW w:w="48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22"/>
                <w:szCs w:val="22"/>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14,953</w:t>
            </w:r>
          </w:p>
        </w:tc>
        <w:tc>
          <w:tcPr>
            <w:tcW w:w="540" w:type="dxa"/>
            <w:vAlign w:val="bottom"/>
          </w:tcPr>
          <w:p>
            <w:pPr>
              <w:spacing w:after="0"/>
              <w:rPr>
                <w:sz w:val="22"/>
                <w:szCs w:val="22"/>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14,588</w:t>
            </w:r>
          </w:p>
        </w:tc>
        <w:tc>
          <w:tcPr>
            <w:tcW w:w="620" w:type="dxa"/>
            <w:vAlign w:val="bottom"/>
          </w:tcPr>
          <w:p>
            <w:pPr>
              <w:spacing w:after="0"/>
              <w:rPr>
                <w:sz w:val="22"/>
                <w:szCs w:val="22"/>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14,851</w:t>
            </w:r>
          </w:p>
        </w:tc>
        <w:tc>
          <w:tcPr>
            <w:tcW w:w="480" w:type="dxa"/>
            <w:vAlign w:val="bottom"/>
          </w:tcPr>
          <w:p>
            <w:pPr>
              <w:spacing w:after="0"/>
              <w:rPr>
                <w:sz w:val="22"/>
                <w:szCs w:val="22"/>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14,668</w:t>
            </w:r>
          </w:p>
        </w:tc>
        <w:tc>
          <w:tcPr>
            <w:tcW w:w="0" w:type="dxa"/>
            <w:vAlign w:val="bottom"/>
          </w:tcPr>
          <w:p>
            <w:pPr>
              <w:spacing w:after="0"/>
              <w:rPr>
                <w:sz w:val="1"/>
                <w:szCs w:val="1"/>
                <w:color w:val="auto"/>
              </w:rPr>
            </w:pPr>
          </w:p>
        </w:tc>
      </w:tr>
      <w:tr>
        <w:trPr>
          <w:trHeight w:val="249"/>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21"/>
                <w:szCs w:val="21"/>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14,953</w:t>
            </w:r>
          </w:p>
        </w:tc>
        <w:tc>
          <w:tcPr>
            <w:tcW w:w="540" w:type="dxa"/>
            <w:vAlign w:val="bottom"/>
          </w:tcPr>
          <w:p>
            <w:pPr>
              <w:spacing w:after="0"/>
              <w:rPr>
                <w:sz w:val="21"/>
                <w:szCs w:val="21"/>
                <w:color w:val="auto"/>
              </w:rPr>
            </w:pPr>
          </w:p>
        </w:tc>
        <w:tc>
          <w:tcPr>
            <w:tcW w:w="11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14,877</w:t>
            </w:r>
          </w:p>
        </w:tc>
        <w:tc>
          <w:tcPr>
            <w:tcW w:w="620" w:type="dxa"/>
            <w:vAlign w:val="bottom"/>
          </w:tcPr>
          <w:p>
            <w:pPr>
              <w:spacing w:after="0"/>
              <w:rPr>
                <w:sz w:val="21"/>
                <w:szCs w:val="21"/>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14,851</w:t>
            </w:r>
          </w:p>
        </w:tc>
        <w:tc>
          <w:tcPr>
            <w:tcW w:w="480" w:type="dxa"/>
            <w:vAlign w:val="bottom"/>
          </w:tcPr>
          <w:p>
            <w:pPr>
              <w:spacing w:after="0"/>
              <w:rPr>
                <w:sz w:val="21"/>
                <w:szCs w:val="21"/>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14,668</w:t>
            </w:r>
          </w:p>
        </w:tc>
        <w:tc>
          <w:tcPr>
            <w:tcW w:w="0" w:type="dxa"/>
            <w:vAlign w:val="bottom"/>
          </w:tcPr>
          <w:p>
            <w:pPr>
              <w:spacing w:after="0"/>
              <w:rPr>
                <w:sz w:val="1"/>
                <w:szCs w:val="1"/>
                <w:color w:val="auto"/>
              </w:rPr>
            </w:pPr>
          </w:p>
        </w:tc>
      </w:tr>
    </w:tbl>
    <w:p>
      <w:pPr>
        <w:sectPr>
          <w:pgSz w:w="11900" w:h="16838" w:orient="portrait"/>
          <w:cols w:equalWidth="0" w:num="1">
            <w:col w:w="11340"/>
          </w:cols>
          <w:pgMar w:left="320" w:top="60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CONSOLIDATED BALANCE SHEETS</w:t>
            </w:r>
          </w:p>
        </w:tc>
        <w:tc>
          <w:tcPr>
            <w:tcW w:w="33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2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80" w:type="dxa"/>
            <w:vAlign w:val="bottom"/>
          </w:tcPr>
          <w:p>
            <w:pPr>
              <w:ind w:left="2840"/>
              <w:spacing w:after="0"/>
              <w:rPr>
                <w:sz w:val="20"/>
                <w:szCs w:val="20"/>
                <w:color w:val="auto"/>
              </w:rPr>
            </w:pPr>
            <w:r>
              <w:rPr>
                <w:rFonts w:ascii="Courier New" w:cs="Courier New" w:eastAsia="Courier New" w:hAnsi="Courier New"/>
                <w:sz w:val="15"/>
                <w:szCs w:val="15"/>
                <w:color w:val="auto"/>
              </w:rPr>
              <w:t>December 31,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December</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 thousands, except share</w:t>
            </w:r>
          </w:p>
        </w:tc>
        <w:tc>
          <w:tcPr>
            <w:tcW w:w="3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data)</w:t>
            </w:r>
          </w:p>
        </w:tc>
        <w:tc>
          <w:tcPr>
            <w:tcW w:w="4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40" w:type="dxa"/>
            <w:vAlign w:val="bottom"/>
            <w:vMerge w:val="continue"/>
          </w:tcPr>
          <w:p>
            <w:pPr>
              <w:spacing w:after="0"/>
              <w:rPr>
                <w:sz w:val="17"/>
                <w:szCs w:val="17"/>
                <w:color w:val="auto"/>
              </w:rPr>
            </w:pPr>
          </w:p>
        </w:tc>
        <w:tc>
          <w:tcPr>
            <w:tcW w:w="3320" w:type="dxa"/>
            <w:vAlign w:val="bottom"/>
            <w:vMerge w:val="continue"/>
          </w:tcPr>
          <w:p>
            <w:pPr>
              <w:spacing w:after="0"/>
              <w:rPr>
                <w:sz w:val="17"/>
                <w:szCs w:val="17"/>
                <w:color w:val="auto"/>
              </w:rPr>
            </w:pPr>
          </w:p>
        </w:tc>
        <w:tc>
          <w:tcPr>
            <w:tcW w:w="4080" w:type="dxa"/>
            <w:vAlign w:val="bottom"/>
          </w:tcPr>
          <w:p>
            <w:pPr>
              <w:ind w:left="2840"/>
              <w:spacing w:after="0"/>
              <w:rPr>
                <w:sz w:val="20"/>
                <w:szCs w:val="20"/>
                <w:color w:val="auto"/>
              </w:rPr>
            </w:pPr>
            <w:r>
              <w:rPr>
                <w:rFonts w:ascii="Courier New" w:cs="Courier New" w:eastAsia="Courier New" w:hAnsi="Courier New"/>
                <w:sz w:val="15"/>
                <w:szCs w:val="15"/>
                <w:color w:val="auto"/>
              </w:rPr>
              <w:t>(restated)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$1,538</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$2,743</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3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46,561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62,253</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2,579</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13,498</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Inventories, net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15,300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20,654</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Equipment held for sale, net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32,750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 asset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8,016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6,938</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1,340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2,306</w:t>
            </w:r>
          </w:p>
        </w:tc>
        <w:tc>
          <w:tcPr>
            <w:tcW w:w="0" w:type="dxa"/>
            <w:vAlign w:val="bottom"/>
          </w:tcPr>
          <w:p>
            <w:pPr>
              <w:spacing w:after="0"/>
              <w:rPr>
                <w:sz w:val="1"/>
                <w:szCs w:val="1"/>
                <w:color w:val="auto"/>
              </w:rPr>
            </w:pPr>
          </w:p>
        </w:tc>
      </w:tr>
      <w:tr>
        <w:trPr>
          <w:trHeight w:val="171"/>
        </w:trPr>
        <w:tc>
          <w:tcPr>
            <w:tcW w:w="65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current assets</w:t>
            </w:r>
          </w:p>
        </w:tc>
        <w:tc>
          <w:tcPr>
            <w:tcW w:w="3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108,084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6520" w:type="dxa"/>
            <w:vAlign w:val="bottom"/>
            <w:vMerge w:val="continue"/>
          </w:tcPr>
          <w:p>
            <w:pPr>
              <w:spacing w:after="0"/>
              <w:rPr>
                <w:sz w:val="22"/>
                <w:szCs w:val="22"/>
                <w:color w:val="auto"/>
              </w:rPr>
            </w:pPr>
          </w:p>
        </w:tc>
        <w:tc>
          <w:tcPr>
            <w:tcW w:w="3280" w:type="dxa"/>
            <w:vAlign w:val="bottom"/>
            <w:vMerge w:val="continue"/>
          </w:tcPr>
          <w:p>
            <w:pPr>
              <w:spacing w:after="0"/>
              <w:rPr>
                <w:sz w:val="22"/>
                <w:szCs w:val="22"/>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108,392</w:t>
            </w:r>
          </w:p>
        </w:tc>
        <w:tc>
          <w:tcPr>
            <w:tcW w:w="0" w:type="dxa"/>
            <w:vAlign w:val="bottom"/>
          </w:tcPr>
          <w:p>
            <w:pPr>
              <w:spacing w:after="0"/>
              <w:rPr>
                <w:sz w:val="1"/>
                <w:szCs w:val="1"/>
                <w:color w:val="auto"/>
              </w:rPr>
            </w:pPr>
          </w:p>
        </w:tc>
      </w:tr>
      <w:tr>
        <w:trPr>
          <w:trHeight w:val="249"/>
        </w:trPr>
        <w:tc>
          <w:tcPr>
            <w:tcW w:w="65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31,627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42,390</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5,951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50,746</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15,196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18,142</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23,712</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Deferred income tax asset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26,922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1,906</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2,486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2,467</w:t>
            </w:r>
          </w:p>
        </w:tc>
        <w:tc>
          <w:tcPr>
            <w:tcW w:w="0" w:type="dxa"/>
            <w:vAlign w:val="bottom"/>
          </w:tcPr>
          <w:p>
            <w:pPr>
              <w:spacing w:after="0"/>
              <w:rPr>
                <w:sz w:val="1"/>
                <w:szCs w:val="1"/>
                <w:color w:val="auto"/>
              </w:rPr>
            </w:pPr>
          </w:p>
        </w:tc>
      </w:tr>
      <w:tr>
        <w:trPr>
          <w:trHeight w:val="171"/>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3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$192,079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$247,755</w:t>
            </w:r>
          </w:p>
        </w:tc>
        <w:tc>
          <w:tcPr>
            <w:tcW w:w="0" w:type="dxa"/>
            <w:vAlign w:val="bottom"/>
          </w:tcPr>
          <w:p>
            <w:pPr>
              <w:spacing w:after="0"/>
              <w:rPr>
                <w:sz w:val="1"/>
                <w:szCs w:val="1"/>
                <w:color w:val="auto"/>
              </w:rPr>
            </w:pPr>
          </w:p>
        </w:tc>
      </w:tr>
      <w:tr>
        <w:trPr>
          <w:trHeight w:val="249"/>
        </w:trPr>
        <w:tc>
          <w:tcPr>
            <w:tcW w:w="6520" w:type="dxa"/>
            <w:vAlign w:val="bottom"/>
          </w:tcPr>
          <w:p>
            <w:pPr>
              <w:spacing w:after="0"/>
              <w:rPr>
                <w:sz w:val="21"/>
                <w:szCs w:val="21"/>
                <w:color w:val="auto"/>
              </w:rPr>
            </w:pPr>
          </w:p>
        </w:tc>
        <w:tc>
          <w:tcPr>
            <w:tcW w:w="3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$ 3,646</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$ 14,000</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Short-term borrowings</w:t>
            </w:r>
          </w:p>
        </w:tc>
        <w:tc>
          <w:tcPr>
            <w:tcW w:w="3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accrued expenses</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51,765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31,509</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Deferred revenue</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8,653</w:t>
            </w:r>
          </w:p>
        </w:tc>
        <w:tc>
          <w:tcPr>
            <w:tcW w:w="0" w:type="dxa"/>
            <w:vAlign w:val="bottom"/>
          </w:tcPr>
          <w:p>
            <w:pPr>
              <w:spacing w:after="0"/>
              <w:rPr>
                <w:sz w:val="1"/>
                <w:szCs w:val="1"/>
                <w:color w:val="auto"/>
              </w:rPr>
            </w:pPr>
          </w:p>
        </w:tc>
      </w:tr>
      <w:tr>
        <w:trPr>
          <w:trHeight w:val="171"/>
        </w:trPr>
        <w:tc>
          <w:tcPr>
            <w:tcW w:w="65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current liabilities</w:t>
            </w:r>
          </w:p>
        </w:tc>
        <w:tc>
          <w:tcPr>
            <w:tcW w:w="3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63,824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6520" w:type="dxa"/>
            <w:vAlign w:val="bottom"/>
            <w:vMerge w:val="continue"/>
          </w:tcPr>
          <w:p>
            <w:pPr>
              <w:spacing w:after="0"/>
              <w:rPr>
                <w:sz w:val="22"/>
                <w:szCs w:val="22"/>
                <w:color w:val="auto"/>
              </w:rPr>
            </w:pPr>
          </w:p>
        </w:tc>
        <w:tc>
          <w:tcPr>
            <w:tcW w:w="3280" w:type="dxa"/>
            <w:vAlign w:val="bottom"/>
            <w:vMerge w:val="continue"/>
          </w:tcPr>
          <w:p>
            <w:pPr>
              <w:spacing w:after="0"/>
              <w:rPr>
                <w:sz w:val="22"/>
                <w:szCs w:val="22"/>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54,162</w:t>
            </w:r>
          </w:p>
        </w:tc>
        <w:tc>
          <w:tcPr>
            <w:tcW w:w="0" w:type="dxa"/>
            <w:vAlign w:val="bottom"/>
          </w:tcPr>
          <w:p>
            <w:pPr>
              <w:spacing w:after="0"/>
              <w:rPr>
                <w:sz w:val="1"/>
                <w:szCs w:val="1"/>
                <w:color w:val="auto"/>
              </w:rPr>
            </w:pPr>
          </w:p>
        </w:tc>
      </w:tr>
      <w:tr>
        <w:trPr>
          <w:trHeight w:val="249"/>
        </w:trPr>
        <w:tc>
          <w:tcPr>
            <w:tcW w:w="65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57,234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63,400</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6,075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6,242</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7,216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7,722</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3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10,205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1,207</w:t>
            </w:r>
          </w:p>
        </w:tc>
        <w:tc>
          <w:tcPr>
            <w:tcW w:w="0" w:type="dxa"/>
            <w:vAlign w:val="bottom"/>
          </w:tcPr>
          <w:p>
            <w:pPr>
              <w:spacing w:after="0"/>
              <w:rPr>
                <w:sz w:val="1"/>
                <w:szCs w:val="1"/>
                <w:color w:val="auto"/>
              </w:rPr>
            </w:pPr>
          </w:p>
        </w:tc>
      </w:tr>
      <w:tr>
        <w:trPr>
          <w:trHeight w:val="171"/>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w:t>
            </w:r>
          </w:p>
        </w:tc>
        <w:tc>
          <w:tcPr>
            <w:tcW w:w="3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144,554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6520" w:type="dxa"/>
            <w:vAlign w:val="bottom"/>
            <w:vMerge w:val="continue"/>
          </w:tcPr>
          <w:p>
            <w:pPr>
              <w:spacing w:after="0"/>
              <w:rPr>
                <w:sz w:val="22"/>
                <w:szCs w:val="22"/>
                <w:color w:val="auto"/>
              </w:rPr>
            </w:pPr>
          </w:p>
        </w:tc>
        <w:tc>
          <w:tcPr>
            <w:tcW w:w="3280" w:type="dxa"/>
            <w:vAlign w:val="bottom"/>
            <w:vMerge w:val="continue"/>
          </w:tcPr>
          <w:p>
            <w:pPr>
              <w:spacing w:after="0"/>
              <w:rPr>
                <w:sz w:val="22"/>
                <w:szCs w:val="22"/>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132,733</w:t>
            </w:r>
          </w:p>
        </w:tc>
        <w:tc>
          <w:tcPr>
            <w:tcW w:w="0" w:type="dxa"/>
            <w:vAlign w:val="bottom"/>
          </w:tcPr>
          <w:p>
            <w:pPr>
              <w:spacing w:after="0"/>
              <w:rPr>
                <w:sz w:val="1"/>
                <w:szCs w:val="1"/>
                <w:color w:val="auto"/>
              </w:rPr>
            </w:pPr>
          </w:p>
        </w:tc>
      </w:tr>
      <w:tr>
        <w:trPr>
          <w:trHeight w:val="419"/>
        </w:trPr>
        <w:tc>
          <w:tcPr>
            <w:tcW w:w="65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2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107,603</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106,039</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3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 (deficit)</w:t>
            </w:r>
          </w:p>
        </w:tc>
        <w:tc>
          <w:tcPr>
            <w:tcW w:w="3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(58,506)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10,090</w:t>
            </w:r>
          </w:p>
        </w:tc>
        <w:tc>
          <w:tcPr>
            <w:tcW w:w="0" w:type="dxa"/>
            <w:vAlign w:val="bottom"/>
          </w:tcPr>
          <w:p>
            <w:pPr>
              <w:spacing w:after="0"/>
              <w:rPr>
                <w:sz w:val="1"/>
                <w:szCs w:val="1"/>
                <w:color w:val="auto"/>
              </w:rPr>
            </w:pPr>
          </w:p>
        </w:tc>
      </w:tr>
      <w:tr>
        <w:trPr>
          <w:trHeight w:val="171"/>
        </w:trPr>
        <w:tc>
          <w:tcPr>
            <w:tcW w:w="6520" w:type="dxa"/>
            <w:vAlign w:val="bottom"/>
          </w:tcPr>
          <w:p>
            <w:pPr>
              <w:ind w:left="160"/>
              <w:spacing w:after="0"/>
              <w:rPr>
                <w:sz w:val="20"/>
                <w:szCs w:val="20"/>
                <w:color w:val="auto"/>
              </w:rPr>
            </w:pPr>
            <w:r>
              <w:rPr>
                <w:rFonts w:ascii="Courier New" w:cs="Courier New" w:eastAsia="Courier New" w:hAnsi="Courier New"/>
                <w:sz w:val="15"/>
                <w:szCs w:val="15"/>
                <w:color w:val="auto"/>
              </w:rPr>
              <w:t>Accumulated other comprehensive income</w:t>
            </w:r>
          </w:p>
        </w:tc>
        <w:tc>
          <w:tcPr>
            <w:tcW w:w="3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w:t>
            </w:r>
          </w:p>
        </w:tc>
        <w:tc>
          <w:tcPr>
            <w:tcW w:w="0" w:type="dxa"/>
            <w:vAlign w:val="bottom"/>
          </w:tcPr>
          <w:p>
            <w:pPr>
              <w:spacing w:after="0"/>
              <w:rPr>
                <w:sz w:val="1"/>
                <w:szCs w:val="1"/>
                <w:color w:val="auto"/>
              </w:rPr>
            </w:pPr>
          </w:p>
        </w:tc>
      </w:tr>
      <w:tr>
        <w:trPr>
          <w:trHeight w:val="171"/>
        </w:trPr>
        <w:tc>
          <w:tcPr>
            <w:tcW w:w="65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shareholders' equity</w:t>
            </w:r>
          </w:p>
        </w:tc>
        <w:tc>
          <w:tcPr>
            <w:tcW w:w="3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47,525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115,022</w:t>
            </w:r>
          </w:p>
        </w:tc>
        <w:tc>
          <w:tcPr>
            <w:tcW w:w="0" w:type="dxa"/>
            <w:vAlign w:val="bottom"/>
          </w:tcPr>
          <w:p>
            <w:pPr>
              <w:spacing w:after="0"/>
              <w:rPr>
                <w:sz w:val="1"/>
                <w:szCs w:val="1"/>
                <w:color w:val="auto"/>
              </w:rPr>
            </w:pPr>
          </w:p>
        </w:tc>
      </w:tr>
      <w:tr>
        <w:trPr>
          <w:trHeight w:val="171"/>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$192,079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$247,755</w:t>
            </w:r>
          </w:p>
        </w:tc>
        <w:tc>
          <w:tcPr>
            <w:tcW w:w="0" w:type="dxa"/>
            <w:vAlign w:val="bottom"/>
          </w:tcPr>
          <w:p>
            <w:pPr>
              <w:spacing w:after="0"/>
              <w:rPr>
                <w:sz w:val="1"/>
                <w:szCs w:val="1"/>
                <w:color w:val="auto"/>
              </w:rPr>
            </w:pPr>
          </w:p>
        </w:tc>
      </w:tr>
      <w:tr>
        <w:trPr>
          <w:trHeight w:val="249"/>
        </w:trPr>
        <w:tc>
          <w:tcPr>
            <w:tcW w:w="6520" w:type="dxa"/>
            <w:vAlign w:val="bottom"/>
          </w:tcPr>
          <w:p>
            <w:pPr>
              <w:spacing w:after="0"/>
              <w:rPr>
                <w:sz w:val="21"/>
                <w:szCs w:val="21"/>
                <w:color w:val="auto"/>
              </w:rPr>
            </w:pPr>
          </w:p>
        </w:tc>
        <w:tc>
          <w:tcPr>
            <w:tcW w:w="3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180"/>
          </w:cols>
          <w:pgMar w:left="320" w:top="946" w:right="399" w:bottom="1440" w:gutter="0" w:footer="0" w:header="0"/>
        </w:sectPr>
      </w:pPr>
    </w:p>
    <w:bookmarkStart w:id="4" w:name="page5"/>
    <w:bookmarkEnd w:id="4"/>
    <w:p>
      <w:pPr>
        <w:spacing w:after="0" w:line="11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SECOND AMENDMENT TO CREDIT AGREEMENT</w:t>
      </w:r>
    </w:p>
    <w:p>
      <w:pPr>
        <w:spacing w:after="0" w:line="171" w:lineRule="exact"/>
        <w:rPr>
          <w:sz w:val="20"/>
          <w:szCs w:val="20"/>
          <w:color w:val="auto"/>
        </w:rPr>
      </w:pPr>
    </w:p>
    <w:p>
      <w:pPr>
        <w:jc w:val="both"/>
        <w:ind w:right="3039" w:firstLine="1598"/>
        <w:spacing w:after="0" w:line="275" w:lineRule="auto"/>
        <w:rPr>
          <w:sz w:val="20"/>
          <w:szCs w:val="20"/>
          <w:color w:val="auto"/>
        </w:rPr>
      </w:pPr>
      <w:r>
        <w:rPr>
          <w:rFonts w:ascii="Courier New" w:cs="Courier New" w:eastAsia="Courier New" w:hAnsi="Courier New"/>
          <w:sz w:val="14"/>
          <w:szCs w:val="14"/>
          <w:color w:val="auto"/>
        </w:rPr>
        <w:t>THIS SECOND AMENDMENT TO CREDIT AGREEMENT ("Amendment") is entered into as of March 30, 2000, by and among ITRON, INC., a Washington corporation ("Itron"), and UTILITY TRANSLATION SYSTEMS, INC., a North Carolina corporation ("UTS") (Itron and UTS are sometimes collectively referred to herein as the "Borrowers" and individually as a "Borrower"); the other Credit Parties signatory hereto; the lenders signatory hereto (each individually a "Lender" and collectively the "Lenders"); and GENERAL ELECTRIC CAPITAL CORPORATION, a New York corporation (in its individual capacity, "GE Capital"), for itself, as a Lender, and as administrative agent for Lenders (in such capacity, "Agent").</w:t>
      </w:r>
    </w:p>
    <w:p>
      <w:pPr>
        <w:spacing w:after="0" w:line="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1" w:lineRule="exact"/>
        <w:rPr>
          <w:sz w:val="20"/>
          <w:szCs w:val="20"/>
          <w:color w:val="auto"/>
        </w:rPr>
      </w:pPr>
    </w:p>
    <w:p>
      <w:pPr>
        <w:jc w:val="both"/>
        <w:ind w:right="3039" w:firstLine="1598"/>
        <w:spacing w:after="0" w:line="255" w:lineRule="auto"/>
        <w:rPr>
          <w:sz w:val="20"/>
          <w:szCs w:val="20"/>
          <w:color w:val="auto"/>
        </w:rPr>
      </w:pPr>
      <w:r>
        <w:rPr>
          <w:rFonts w:ascii="Courier New" w:cs="Courier New" w:eastAsia="Courier New" w:hAnsi="Courier New"/>
          <w:sz w:val="15"/>
          <w:szCs w:val="15"/>
          <w:color w:val="auto"/>
        </w:rPr>
        <w:t>A. Borrowers, the other Credit Parties signatory hereto, Lenders, and Agent have entered into that certain Credit Agreement dated as of January 18, 2000, as amended by the First Amendment to Credit Agreement dated as of February 28, 2000 (the "Credit Agreement"), pursuant to which Agent and Lenders are providing financial accommodations to or for the benefit of Borrowers upon the terms and conditions contained therein. Unless otherwise defined herein, capitalized terms or matters of construction defined or established in Annex A to the Credit Agreement shall be applied herein as defined or established therein.</w:t>
      </w:r>
    </w:p>
    <w:p>
      <w:pPr>
        <w:spacing w:after="0" w:line="82" w:lineRule="exact"/>
        <w:rPr>
          <w:sz w:val="20"/>
          <w:szCs w:val="20"/>
          <w:color w:val="auto"/>
        </w:rPr>
      </w:pPr>
    </w:p>
    <w:p>
      <w:pPr>
        <w:jc w:val="both"/>
        <w:ind w:right="3039" w:firstLine="1598"/>
        <w:spacing w:after="0" w:line="278" w:lineRule="auto"/>
        <w:rPr>
          <w:sz w:val="20"/>
          <w:szCs w:val="20"/>
          <w:color w:val="auto"/>
        </w:rPr>
      </w:pPr>
      <w:r>
        <w:rPr>
          <w:rFonts w:ascii="Courier New" w:cs="Courier New" w:eastAsia="Courier New" w:hAnsi="Courier New"/>
          <w:sz w:val="15"/>
          <w:szCs w:val="15"/>
          <w:color w:val="auto"/>
        </w:rPr>
        <w:t>B. Borrower has requested that Agent and Lenders make certain amendments to the Credit Agreement and other Loan Documents, and Agent and Lenders are willing to do so subject to the terms and conditions of this Amendment.</w:t>
      </w:r>
    </w:p>
    <w:p>
      <w:pPr>
        <w:spacing w:after="0" w:line="6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jc w:val="both"/>
        <w:ind w:right="3039" w:firstLine="1598"/>
        <w:spacing w:after="0" w:line="263" w:lineRule="auto"/>
        <w:rPr>
          <w:sz w:val="20"/>
          <w:szCs w:val="20"/>
          <w:color w:val="auto"/>
        </w:rPr>
      </w:pPr>
      <w:r>
        <w:rPr>
          <w:rFonts w:ascii="Courier New" w:cs="Courier New" w:eastAsia="Courier New" w:hAnsi="Courier New"/>
          <w:sz w:val="15"/>
          <w:szCs w:val="15"/>
          <w:color w:val="auto"/>
        </w:rPr>
        <w:t>NOW, THEREFORE, in consideration of the continued performance by Borrowers and each other Credit Party of their respective promises and obligations under the Credit Agreement and the other Loan Documents, and for other good and valuable consideration, the receipt and sufficiency of which are hereby acknowledged, Borrowers, the other Credit Parties signatory hereto, Lenders, and Agent hereby agree as follows:</w:t>
      </w:r>
    </w:p>
    <w:p>
      <w:pPr>
        <w:spacing w:after="0" w:line="78" w:lineRule="exact"/>
        <w:rPr>
          <w:sz w:val="20"/>
          <w:szCs w:val="20"/>
          <w:color w:val="auto"/>
        </w:rPr>
      </w:pPr>
    </w:p>
    <w:p>
      <w:pPr>
        <w:jc w:val="both"/>
        <w:ind w:right="3039" w:firstLine="1589"/>
        <w:spacing w:after="0" w:line="255" w:lineRule="auto"/>
        <w:tabs>
          <w:tab w:leader="none" w:pos="195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and Incorporation of Credit Agreement and Other Loan Documents. Except as expressly modified under this Amendment, (a) each of each Borrower and each other Credit Party hereby acknowledges, confirms, and ratifies all of the terms and conditions set forth in, and all of their respective obligations under, the Credit Agreement and the other Loan Documents, including the provisions of Section 12 of the Credit Agreement, and (b) all of the terms and conditions set forth in the Credit Agreement and the other Loan Documents are incorporated herein by this reference as if set forth in full herein.</w:t>
      </w:r>
    </w:p>
    <w:p>
      <w:pPr>
        <w:spacing w:after="0" w:line="82" w:lineRule="exact"/>
        <w:rPr>
          <w:rFonts w:ascii="Courier New" w:cs="Courier New" w:eastAsia="Courier New" w:hAnsi="Courier New"/>
          <w:sz w:val="15"/>
          <w:szCs w:val="15"/>
          <w:color w:val="auto"/>
        </w:rPr>
      </w:pPr>
    </w:p>
    <w:p>
      <w:pPr>
        <w:ind w:left="2380" w:hanging="791"/>
        <w:spacing w:after="0"/>
        <w:tabs>
          <w:tab w:leader="none" w:pos="23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Credit Agreement.</w:t>
      </w:r>
    </w:p>
    <w:p>
      <w:pPr>
        <w:spacing w:after="0" w:line="171" w:lineRule="exact"/>
        <w:rPr>
          <w:rFonts w:ascii="Courier New" w:cs="Courier New" w:eastAsia="Courier New" w:hAnsi="Courier New"/>
          <w:sz w:val="15"/>
          <w:szCs w:val="15"/>
          <w:color w:val="auto"/>
        </w:rPr>
      </w:pPr>
    </w:p>
    <w:p>
      <w:pPr>
        <w:ind w:left="3180" w:hanging="792"/>
        <w:spacing w:after="0"/>
        <w:tabs>
          <w:tab w:leader="none" w:pos="31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6.2(h) of the Credit Agreement is</w:t>
      </w:r>
    </w:p>
    <w:p>
      <w:pPr>
        <w:spacing w:after="0" w:line="26" w:lineRule="exact"/>
        <w:rPr>
          <w:rFonts w:ascii="Courier New" w:cs="Courier New" w:eastAsia="Courier New" w:hAnsi="Courier New"/>
          <w:sz w:val="15"/>
          <w:szCs w:val="15"/>
          <w:color w:val="auto"/>
        </w:rPr>
      </w:pPr>
    </w:p>
    <w:p>
      <w:pPr>
        <w:ind w:right="30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hereby amended by deleting the references therein to "one year" and substituting "13 months" in lieu thereof.</w:t>
      </w:r>
    </w:p>
    <w:p>
      <w:pPr>
        <w:ind w:left="3180" w:hanging="792"/>
        <w:spacing w:after="0"/>
        <w:tabs>
          <w:tab w:leader="none" w:pos="31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6.14 of the Credit Agreement is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hereby deleted in its entirety, and the following is substituted therefor:</w:t>
      </w:r>
    </w:p>
    <w:p>
      <w:pPr>
        <w:spacing w:after="0" w:line="145" w:lineRule="exact"/>
        <w:rPr>
          <w:sz w:val="20"/>
          <w:szCs w:val="20"/>
          <w:color w:val="auto"/>
        </w:rPr>
      </w:pPr>
    </w:p>
    <w:p>
      <w:pPr>
        <w:jc w:val="both"/>
        <w:ind w:right="3139" w:firstLine="2397"/>
        <w:spacing w:after="0" w:line="387" w:lineRule="auto"/>
        <w:rPr>
          <w:sz w:val="20"/>
          <w:szCs w:val="20"/>
          <w:color w:val="auto"/>
        </w:rPr>
      </w:pPr>
      <w:r>
        <w:rPr>
          <w:rFonts w:ascii="Courier New" w:cs="Courier New" w:eastAsia="Courier New" w:hAnsi="Courier New"/>
          <w:sz w:val="14"/>
          <w:szCs w:val="14"/>
          <w:color w:val="auto"/>
        </w:rPr>
        <w:t>6.14 Restricted Payments. No Credit Party shall make any Restricted Payment, except, without duplication, any of the following:</w:t>
      </w:r>
    </w:p>
    <w:p>
      <w:pPr>
        <w:spacing w:after="0" w:line="1" w:lineRule="exact"/>
        <w:rPr>
          <w:sz w:val="20"/>
          <w:szCs w:val="20"/>
          <w:color w:val="auto"/>
        </w:rPr>
      </w:pPr>
    </w:p>
    <w:p>
      <w:pPr>
        <w:ind w:left="3900" w:hanging="714"/>
        <w:spacing w:after="0"/>
        <w:tabs>
          <w:tab w:leader="none" w:pos="3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loans and advances</w:t>
      </w:r>
    </w:p>
    <w:p>
      <w:pPr>
        <w:spacing w:after="0" w:line="2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between Borrowers to the extent permitted by Section 6.3;</w:t>
      </w:r>
    </w:p>
    <w:p>
      <w:pPr>
        <w:spacing w:after="0" w:line="145" w:lineRule="exact"/>
        <w:rPr>
          <w:rFonts w:ascii="Courier New" w:cs="Courier New" w:eastAsia="Courier New" w:hAnsi="Courier New"/>
          <w:sz w:val="15"/>
          <w:szCs w:val="15"/>
          <w:color w:val="auto"/>
        </w:rPr>
      </w:pPr>
    </w:p>
    <w:p>
      <w:pPr>
        <w:ind w:left="3900" w:hanging="714"/>
        <w:spacing w:after="0"/>
        <w:tabs>
          <w:tab w:leader="none" w:pos="3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 by</w:t>
      </w:r>
    </w:p>
    <w:p>
      <w:pPr>
        <w:spacing w:after="0" w:line="2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any Borrower paid to such Borrower;</w:t>
      </w:r>
    </w:p>
    <w:p>
      <w:pPr>
        <w:spacing w:after="0" w:line="145" w:lineRule="exact"/>
        <w:rPr>
          <w:rFonts w:ascii="Courier New" w:cs="Courier New" w:eastAsia="Courier New" w:hAnsi="Courier New"/>
          <w:sz w:val="15"/>
          <w:szCs w:val="15"/>
          <w:color w:val="auto"/>
        </w:rPr>
      </w:pPr>
    </w:p>
    <w:p>
      <w:pPr>
        <w:ind w:left="3900" w:hanging="714"/>
        <w:spacing w:after="0"/>
        <w:tabs>
          <w:tab w:leader="none" w:pos="3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loans permitted under</w:t>
      </w:r>
    </w:p>
    <w:p>
      <w:pPr>
        <w:spacing w:after="0" w:line="2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6.4(b);</w:t>
      </w:r>
    </w:p>
    <w:p>
      <w:pPr>
        <w:spacing w:after="0" w:line="145" w:lineRule="exact"/>
        <w:rPr>
          <w:rFonts w:ascii="Courier New" w:cs="Courier New" w:eastAsia="Courier New" w:hAnsi="Courier New"/>
          <w:sz w:val="15"/>
          <w:szCs w:val="15"/>
          <w:color w:val="auto"/>
        </w:rPr>
      </w:pPr>
    </w:p>
    <w:p>
      <w:pPr>
        <w:ind w:left="3900" w:hanging="714"/>
        <w:spacing w:after="0"/>
        <w:tabs>
          <w:tab w:leader="none" w:pos="3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payments of interest with</w:t>
      </w:r>
    </w:p>
    <w:p>
      <w:pPr>
        <w:spacing w:after="0" w:line="2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respect to the Subordinated Debt;</w:t>
      </w:r>
    </w:p>
    <w:p>
      <w:pPr>
        <w:spacing w:after="0" w:line="145" w:lineRule="exact"/>
        <w:rPr>
          <w:rFonts w:ascii="Courier New" w:cs="Courier New" w:eastAsia="Courier New" w:hAnsi="Courier New"/>
          <w:sz w:val="15"/>
          <w:szCs w:val="15"/>
          <w:color w:val="auto"/>
        </w:rPr>
      </w:pPr>
    </w:p>
    <w:p>
      <w:pPr>
        <w:jc w:val="both"/>
        <w:ind w:left="1580" w:right="3039" w:firstLine="1606"/>
        <w:spacing w:after="0" w:line="252" w:lineRule="auto"/>
        <w:tabs>
          <w:tab w:leader="none" w:pos="353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of Itron's Subordinated Debt: (i) in a swap of Itron common Stock pursuant to which such Stockholder would not have any cash redemption rights or other potential cash outlay requirements or entitlements to be paid directly or indirectly by Itron in exchange for Subordinated Debt involving no cash or other consideration given in exchange for the Subordinated Debt other than such Itron common Stock; or (ii) in an amount not to exceed the net cash proceeds received by Itron from the issuance of common Stock by Itron, in each case so long as such issuance would not result in a Default or Event of Default; and</w:t>
      </w:r>
    </w:p>
    <w:p>
      <w:pPr>
        <w:spacing w:after="0" w:line="85" w:lineRule="exact"/>
        <w:rPr>
          <w:rFonts w:ascii="Courier New" w:cs="Courier New" w:eastAsia="Courier New" w:hAnsi="Courier New"/>
          <w:sz w:val="15"/>
          <w:szCs w:val="15"/>
          <w:color w:val="auto"/>
        </w:rPr>
      </w:pPr>
    </w:p>
    <w:p>
      <w:pPr>
        <w:jc w:val="both"/>
        <w:ind w:left="1580" w:right="3039" w:firstLine="1606"/>
        <w:spacing w:after="0" w:line="269" w:lineRule="auto"/>
        <w:tabs>
          <w:tab w:leader="none" w:pos="353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Subordinated Debt in the aggregate face amount of $3,775,000 from Forest Fulcrum Fund LC for $2,098,785 in a series of six transactions, four of which occurred on March 2, 2000, one of which occurred on March 6, 2000, and one of which occurred on March 13, 2000;</w:t>
      </w:r>
    </w:p>
    <w:p>
      <w:pPr>
        <w:spacing w:after="0" w:line="72" w:lineRule="exact"/>
        <w:rPr>
          <w:sz w:val="20"/>
          <w:szCs w:val="20"/>
          <w:color w:val="auto"/>
        </w:rPr>
      </w:pPr>
    </w:p>
    <w:p>
      <w:pPr>
        <w:jc w:val="both"/>
        <w:ind w:left="780" w:right="3039"/>
        <w:spacing w:after="0" w:line="285" w:lineRule="auto"/>
        <w:rPr>
          <w:sz w:val="20"/>
          <w:szCs w:val="20"/>
          <w:color w:val="auto"/>
        </w:rPr>
      </w:pPr>
      <w:r>
        <w:rPr>
          <w:rFonts w:ascii="Courier New" w:cs="Courier New" w:eastAsia="Courier New" w:hAnsi="Courier New"/>
          <w:sz w:val="14"/>
          <w:szCs w:val="14"/>
          <w:color w:val="auto"/>
        </w:rPr>
        <w:t>provided, that (i) no Default or Event of Default shall have occurred and be continuing or would result after giving effect to any payment or transaction pursuant to clauses (d) or (e) above, and (ii) with respect to any payment pursuant to clause (e)(ii) above, the sum of (A) Borrowers' collective Net Borrowing Availability and (B) amounts (other than funds or Cash Equivalents held by Agent in a Cash Collateral</w:t>
      </w:r>
    </w:p>
    <w:p>
      <w:pPr>
        <w:sectPr>
          <w:pgSz w:w="11900" w:h="16957" w:orient="portrait"/>
          <w:cols w:equalWidth="0" w:num="1">
            <w:col w:w="10139"/>
          </w:cols>
          <w:pgMar w:left="320" w:top="434" w:right="1440" w:bottom="0" w:gutter="0" w:footer="0" w:header="0"/>
        </w:sectPr>
      </w:pPr>
    </w:p>
    <w:bookmarkStart w:id="5" w:name="page6"/>
    <w:bookmarkEnd w:id="5"/>
    <w:p>
      <w:pPr>
        <w:spacing w:after="0" w:line="134" w:lineRule="exact"/>
        <w:rPr>
          <w:sz w:val="20"/>
          <w:szCs w:val="20"/>
          <w:color w:val="auto"/>
        </w:rPr>
      </w:pPr>
    </w:p>
    <w:p>
      <w:pPr>
        <w:jc w:val="both"/>
        <w:ind w:left="789" w:right="3039"/>
        <w:spacing w:after="0" w:line="250" w:lineRule="auto"/>
        <w:rPr>
          <w:sz w:val="20"/>
          <w:szCs w:val="20"/>
          <w:color w:val="auto"/>
        </w:rPr>
      </w:pPr>
      <w:r>
        <w:rPr>
          <w:rFonts w:ascii="Courier New" w:cs="Courier New" w:eastAsia="Courier New" w:hAnsi="Courier New"/>
          <w:sz w:val="15"/>
          <w:szCs w:val="15"/>
          <w:color w:val="auto"/>
        </w:rPr>
        <w:t>Account) maintained in Disbursement Accounts and investments maintained pursuant to Section 6.2(h) shall be in excess of $5,000,000 after giving effect (including pro forma effect during the 90-day period prior to such payment) to any such payment at all times during the period from the date that is 90 days prior to any such payment and through and including the date that is 90 days after such payment. Prior to making any payment under clauses (d) or (e) of this Section 6.14, such Borrower shall deliver a certification of the Chief Financial Officer of such Borrower to Agent certifying that the conditions set forth in such clauses have been satisfied and that the information presented is true, correct and complete in all material respects, which certificate shall be in form and substance satisfactory to Agent.</w:t>
      </w:r>
    </w:p>
    <w:p>
      <w:pPr>
        <w:spacing w:after="0" w:line="89" w:lineRule="exact"/>
        <w:rPr>
          <w:sz w:val="20"/>
          <w:szCs w:val="20"/>
          <w:color w:val="auto"/>
        </w:rPr>
      </w:pPr>
    </w:p>
    <w:p>
      <w:pPr>
        <w:ind w:left="3189" w:hanging="792"/>
        <w:spacing w:after="0"/>
        <w:tabs>
          <w:tab w:leader="none" w:pos="31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(c) of Annex G of the Credit</w:t>
      </w:r>
    </w:p>
    <w:p>
      <w:pPr>
        <w:spacing w:after="0" w:line="26" w:lineRule="exact"/>
        <w:rPr>
          <w:rFonts w:ascii="Courier New" w:cs="Courier New" w:eastAsia="Courier New" w:hAnsi="Courier New"/>
          <w:sz w:val="15"/>
          <w:szCs w:val="15"/>
          <w:color w:val="auto"/>
        </w:rPr>
      </w:pPr>
    </w:p>
    <w:p>
      <w:pPr>
        <w:ind w:left="9" w:right="3399"/>
        <w:spacing w:after="0" w:line="31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hereby amended by deleting the reference to "$(71,000,000)" and replacing it with "($84,000,000)."</w:t>
      </w:r>
    </w:p>
    <w:p>
      <w:pPr>
        <w:spacing w:after="0" w:line="38" w:lineRule="exact"/>
        <w:rPr>
          <w:rFonts w:ascii="Courier New" w:cs="Courier New" w:eastAsia="Courier New" w:hAnsi="Courier New"/>
          <w:sz w:val="15"/>
          <w:szCs w:val="15"/>
          <w:color w:val="auto"/>
        </w:rPr>
      </w:pPr>
    </w:p>
    <w:p>
      <w:pPr>
        <w:ind w:left="3189" w:hanging="792"/>
        <w:spacing w:after="0"/>
        <w:tabs>
          <w:tab w:leader="none" w:pos="31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(e) of Annex G of the Credit</w:t>
      </w:r>
    </w:p>
    <w:p>
      <w:pPr>
        <w:spacing w:after="0" w:line="26" w:lineRule="exact"/>
        <w:rPr>
          <w:rFonts w:ascii="Courier New" w:cs="Courier New" w:eastAsia="Courier New" w:hAnsi="Courier New"/>
          <w:sz w:val="15"/>
          <w:szCs w:val="15"/>
          <w:color w:val="auto"/>
        </w:rPr>
      </w:pPr>
    </w:p>
    <w:p>
      <w:pPr>
        <w:ind w:left="9" w:right="3039"/>
        <w:spacing w:after="0" w:line="31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hereby amended by deleting the reference to "$13,750,000" and replacing it with "$26,500,000."</w:t>
      </w:r>
    </w:p>
    <w:p>
      <w:pPr>
        <w:spacing w:after="0" w:line="38" w:lineRule="exact"/>
        <w:rPr>
          <w:rFonts w:ascii="Courier New" w:cs="Courier New" w:eastAsia="Courier New" w:hAnsi="Courier New"/>
          <w:sz w:val="15"/>
          <w:szCs w:val="15"/>
          <w:color w:val="auto"/>
        </w:rPr>
      </w:pPr>
    </w:p>
    <w:p>
      <w:pPr>
        <w:jc w:val="both"/>
        <w:ind w:left="9" w:right="3039" w:firstLine="1589"/>
        <w:spacing w:after="0" w:line="278" w:lineRule="auto"/>
        <w:tabs>
          <w:tab w:leader="none" w:pos="187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Deadline for Certain Open Items. At Borrowers' request, Agent agrees that Paragraph 1 in that certain open items letter agreement dated January 18, 2000 (the "Open Items Letter"), is amended as follows:</w:t>
      </w:r>
    </w:p>
    <w:p>
      <w:pPr>
        <w:spacing w:after="0" w:line="66" w:lineRule="exact"/>
        <w:rPr>
          <w:sz w:val="20"/>
          <w:szCs w:val="20"/>
          <w:color w:val="auto"/>
        </w:rPr>
      </w:pPr>
    </w:p>
    <w:p>
      <w:pPr>
        <w:ind w:left="9" w:right="3039" w:firstLine="2388"/>
        <w:spacing w:after="0" w:line="353" w:lineRule="auto"/>
        <w:tabs>
          <w:tab w:leader="none" w:pos="320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April 15, 2000, Borrowers shall deliver or cause to be delivered to Agent:</w:t>
      </w:r>
    </w:p>
    <w:p>
      <w:pPr>
        <w:spacing w:after="0" w:line="12" w:lineRule="exact"/>
        <w:rPr>
          <w:rFonts w:ascii="Courier New" w:cs="Courier New" w:eastAsia="Courier New" w:hAnsi="Courier New"/>
          <w:sz w:val="15"/>
          <w:szCs w:val="15"/>
          <w:color w:val="auto"/>
        </w:rPr>
      </w:pPr>
    </w:p>
    <w:p>
      <w:pPr>
        <w:ind w:left="3909" w:right="3219" w:hanging="714"/>
        <w:spacing w:after="0" w:line="297" w:lineRule="auto"/>
        <w:tabs>
          <w:tab w:leader="none" w:pos="390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UTS, a tax good standing certificate for the State of Washington;</w:t>
      </w:r>
    </w:p>
    <w:p>
      <w:pPr>
        <w:spacing w:after="0" w:line="51" w:lineRule="exact"/>
        <w:rPr>
          <w:rFonts w:ascii="Courier New" w:cs="Courier New" w:eastAsia="Courier New" w:hAnsi="Courier New"/>
          <w:sz w:val="15"/>
          <w:szCs w:val="15"/>
          <w:color w:val="auto"/>
        </w:rPr>
      </w:pPr>
    </w:p>
    <w:p>
      <w:pPr>
        <w:jc w:val="both"/>
        <w:ind w:left="3909" w:right="3039" w:hanging="714"/>
        <w:spacing w:after="0" w:line="278" w:lineRule="auto"/>
        <w:tabs>
          <w:tab w:leader="none" w:pos="390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Itron, a tax good standing certificate for the State of Connecticut and the District of Columbia; and</w:t>
      </w:r>
    </w:p>
    <w:p>
      <w:pPr>
        <w:spacing w:after="0" w:line="66" w:lineRule="exact"/>
        <w:rPr>
          <w:rFonts w:ascii="Courier New" w:cs="Courier New" w:eastAsia="Courier New" w:hAnsi="Courier New"/>
          <w:sz w:val="15"/>
          <w:szCs w:val="15"/>
          <w:color w:val="auto"/>
        </w:rPr>
      </w:pPr>
    </w:p>
    <w:p>
      <w:pPr>
        <w:jc w:val="both"/>
        <w:ind w:left="3909" w:right="3039" w:hanging="714"/>
        <w:spacing w:after="0" w:line="297" w:lineRule="auto"/>
        <w:tabs>
          <w:tab w:leader="none" w:pos="390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Itron Finance, a tax good standing certificate for the State of Washington.</w:t>
      </w:r>
    </w:p>
    <w:p>
      <w:pPr>
        <w:spacing w:after="0" w:line="52" w:lineRule="exact"/>
        <w:rPr>
          <w:sz w:val="20"/>
          <w:szCs w:val="20"/>
          <w:color w:val="auto"/>
        </w:rPr>
      </w:pPr>
    </w:p>
    <w:p>
      <w:pPr>
        <w:jc w:val="both"/>
        <w:ind w:left="9" w:right="3039"/>
        <w:spacing w:after="0" w:line="297" w:lineRule="auto"/>
        <w:rPr>
          <w:sz w:val="20"/>
          <w:szCs w:val="20"/>
          <w:color w:val="auto"/>
        </w:rPr>
      </w:pPr>
      <w:r>
        <w:rPr>
          <w:rFonts w:ascii="Courier New" w:cs="Courier New" w:eastAsia="Courier New" w:hAnsi="Courier New"/>
          <w:sz w:val="15"/>
          <w:szCs w:val="15"/>
          <w:color w:val="auto"/>
        </w:rPr>
        <w:t>If Borrowers are unable to deliver or cause the delivery of each of the aforementioned certificates by April 15, 2000, then such failure shall constitute an Event of Default under the Credit Agreement.</w:t>
      </w:r>
    </w:p>
    <w:p>
      <w:pPr>
        <w:spacing w:after="0" w:line="52" w:lineRule="exact"/>
        <w:rPr>
          <w:sz w:val="20"/>
          <w:szCs w:val="20"/>
          <w:color w:val="auto"/>
        </w:rPr>
      </w:pPr>
    </w:p>
    <w:p>
      <w:pPr>
        <w:jc w:val="both"/>
        <w:ind w:left="9" w:right="3039" w:firstLine="1589"/>
        <w:spacing w:after="0" w:line="253" w:lineRule="auto"/>
        <w:tabs>
          <w:tab w:leader="none" w:pos="196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The aggregate purchase price received by Itron from its sale of certain assets to DataCom Information Systems, LLC, a Delaware limited liability company ("DataCom"), shall be applied to the Obligations in accordance with Section 1.3(c) of the Credit Agreement; provided, that the application mechanics in the sixth step of Section 1.3(c) shall be modified solely for the purpose of the application of proceeds from such sale to require that only Letter of Credit Obligations relating to irrevocable standby Letter of Credit No. S820478 in favor of DataCom in the original face amount of $5,000,000 be cash collateralized in accordance with the terms of Annex B of the Credit Agreement.</w:t>
      </w:r>
    </w:p>
    <w:p>
      <w:pPr>
        <w:spacing w:after="0" w:line="86" w:lineRule="exact"/>
        <w:rPr>
          <w:rFonts w:ascii="Courier New" w:cs="Courier New" w:eastAsia="Courier New" w:hAnsi="Courier New"/>
          <w:sz w:val="15"/>
          <w:szCs w:val="15"/>
          <w:color w:val="auto"/>
        </w:rPr>
      </w:pPr>
    </w:p>
    <w:p>
      <w:pPr>
        <w:ind w:left="9" w:right="3039" w:firstLine="1589"/>
        <w:spacing w:after="0" w:line="353" w:lineRule="auto"/>
        <w:tabs>
          <w:tab w:leader="none" w:pos="196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Effectiveness. The effectiveness of this Amendment is subject to satisfaction of each of the following conditions:</w:t>
      </w:r>
    </w:p>
    <w:p>
      <w:pPr>
        <w:spacing w:after="0" w:line="12" w:lineRule="exact"/>
        <w:rPr>
          <w:rFonts w:ascii="Courier New" w:cs="Courier New" w:eastAsia="Courier New" w:hAnsi="Courier New"/>
          <w:sz w:val="15"/>
          <w:szCs w:val="15"/>
          <w:color w:val="auto"/>
        </w:rPr>
      </w:pPr>
    </w:p>
    <w:p>
      <w:pPr>
        <w:jc w:val="both"/>
        <w:ind w:left="9" w:right="3039" w:firstLine="2388"/>
        <w:spacing w:after="0" w:line="297" w:lineRule="auto"/>
        <w:tabs>
          <w:tab w:leader="none" w:pos="3204"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Agent of copies of this Amendment duly executed by each Borrower, each other Credit Party, and Lenders constituting Requisite Lenders;</w:t>
      </w:r>
    </w:p>
    <w:p>
      <w:pPr>
        <w:spacing w:after="0" w:line="51"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receipt by Agent of copies of each of</w:t>
      </w:r>
    </w:p>
    <w:p>
      <w:pPr>
        <w:spacing w:after="0" w:line="26" w:lineRule="exact"/>
        <w:rPr>
          <w:rFonts w:ascii="Courier New" w:cs="Courier New" w:eastAsia="Courier New" w:hAnsi="Courier New"/>
          <w:sz w:val="15"/>
          <w:szCs w:val="15"/>
          <w:color w:val="auto"/>
        </w:rPr>
      </w:pPr>
    </w:p>
    <w:p>
      <w:pPr>
        <w:jc w:val="both"/>
        <w:ind w:left="9" w:right="30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agreements by and among each Borrower, each other Credit Party, and GE Capital, as Agent and Lender, pursuant to which (A) GE Capital is consenting to Itron's sale of certain assets to DataCom, and (B) Borrowers are acknowledging certain matters with respect to (I) Account No. 67130500 at Bank of America N.A. and (II) Account Nos. 4375688983 and 4375689015 at Wells Fargo Bank, N.A. ("Wells Fargo"), and (ii) satisfaction of all conditions set forth in each such letter agreement;</w:t>
      </w:r>
    </w:p>
    <w:p>
      <w:pPr>
        <w:ind w:left="3189" w:hanging="792"/>
        <w:spacing w:after="0"/>
        <w:tabs>
          <w:tab w:leader="none" w:pos="3189"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Agent of fully executed copies of</w:t>
      </w:r>
    </w:p>
    <w:p>
      <w:pPr>
        <w:spacing w:after="0" w:line="12" w:lineRule="exact"/>
        <w:rPr>
          <w:rFonts w:ascii="Courier New" w:cs="Courier New" w:eastAsia="Courier New" w:hAnsi="Courier New"/>
          <w:sz w:val="14"/>
          <w:szCs w:val="14"/>
          <w:color w:val="auto"/>
        </w:rPr>
      </w:pPr>
    </w:p>
    <w:p>
      <w:pPr>
        <w:jc w:val="both"/>
        <w:ind w:left="9" w:right="3039" w:hanging="9"/>
        <w:spacing w:after="0" w:line="241" w:lineRule="auto"/>
        <w:tabs>
          <w:tab w:leader="none" w:pos="36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Collateral Agreement of even date herewith by and between Itron and Agent, (ii) the Restricted Account Agreement of even date herewith by and among Itron, Agent and Wells Fargo (the "Restricted Account Agreement"), and (iii) the Control Agreement of even date herewith by and among Itron, Agent and Wells Fargo;</w:t>
      </w:r>
    </w:p>
    <w:p>
      <w:pPr>
        <w:ind w:left="3189" w:right="3039" w:hanging="792"/>
        <w:spacing w:after="0" w:line="316" w:lineRule="auto"/>
        <w:tabs>
          <w:tab w:leader="none" w:pos="3189"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GE Capital of a $50,000 amendment fee; and</w:t>
      </w:r>
    </w:p>
    <w:p>
      <w:pPr>
        <w:spacing w:after="0" w:line="38"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Defaults or Events of</w:t>
      </w:r>
    </w:p>
    <w:p>
      <w:pPr>
        <w:spacing w:after="0" w:line="26"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Default as of the date hereof.</w:t>
      </w:r>
    </w:p>
    <w:p>
      <w:pPr>
        <w:spacing w:after="0" w:line="145" w:lineRule="exact"/>
        <w:rPr>
          <w:rFonts w:ascii="Courier New" w:cs="Courier New" w:eastAsia="Courier New" w:hAnsi="Courier New"/>
          <w:sz w:val="15"/>
          <w:szCs w:val="15"/>
          <w:color w:val="auto"/>
        </w:rPr>
      </w:pPr>
    </w:p>
    <w:p>
      <w:pPr>
        <w:jc w:val="both"/>
        <w:ind w:left="9" w:right="3039" w:firstLine="1589"/>
        <w:spacing w:after="0" w:line="263" w:lineRule="auto"/>
        <w:tabs>
          <w:tab w:leader="none" w:pos="187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Subsequent. As soon as practicable after the next regularly scheduled Board of Directors? meeting of Itron, Itron shall deliver a copy of a secretary?s certificate to Wells Fargo that attaches the duly authorized and adopted resolutions by its Board of Directors in form and substance satisfactory to Wells Fargo regarding the Restricted Account Agreement.</w:t>
      </w:r>
    </w:p>
    <w:p>
      <w:pPr>
        <w:spacing w:after="0" w:line="77" w:lineRule="exact"/>
        <w:rPr>
          <w:rFonts w:ascii="Courier New" w:cs="Courier New" w:eastAsia="Courier New" w:hAnsi="Courier New"/>
          <w:sz w:val="15"/>
          <w:szCs w:val="15"/>
          <w:color w:val="auto"/>
        </w:rPr>
      </w:pPr>
    </w:p>
    <w:p>
      <w:pPr>
        <w:jc w:val="both"/>
        <w:ind w:left="9" w:right="3039" w:firstLine="1589"/>
        <w:spacing w:after="0" w:line="269" w:lineRule="auto"/>
        <w:tabs>
          <w:tab w:leader="none" w:pos="187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Amendment, together with the Credit Agreement and the other Loan Documents, is the entire agreement between the parties hereto with respect to the subject matter hereof. This Amendment supersedes all prior and contemporaneous oral and written agreements and discussions with respect to the subject matter hereof.</w:t>
      </w:r>
    </w:p>
    <w:p>
      <w:pPr>
        <w:sectPr>
          <w:pgSz w:w="11900" w:h="16972" w:orient="portrait"/>
          <w:cols w:equalWidth="0" w:num="1">
            <w:col w:w="10148"/>
          </w:cols>
          <w:pgMar w:left="311" w:top="115" w:right="1440" w:bottom="0" w:gutter="0" w:footer="0" w:header="0"/>
        </w:sectPr>
      </w:pPr>
    </w:p>
    <w:bookmarkStart w:id="6" w:name="page7"/>
    <w:bookmarkEnd w:id="6"/>
    <w:p>
      <w:pPr>
        <w:jc w:val="both"/>
        <w:ind w:left="9" w:right="3039" w:firstLine="1589"/>
        <w:spacing w:after="0" w:line="277" w:lineRule="auto"/>
        <w:tabs>
          <w:tab w:leader="none" w:pos="1962"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each Borrower and each other Credit Party hereby represents and warrants that the representations and warranties contained in the Credit Agreement were true and correct in all material respects when made and, except to the extent that (a) a particular representation or warranty by its terms expressly applies only to an earlier date or (b) Borrowers or any other Credit Party, as applicable, has previously advised Agent in writing as contemplated under the Credit Agreement, are true and correct in all material respects as of the date hereof.</w:t>
      </w:r>
    </w:p>
    <w:p>
      <w:pPr>
        <w:spacing w:after="0" w:line="71" w:lineRule="exact"/>
        <w:rPr>
          <w:rFonts w:ascii="Courier New" w:cs="Courier New" w:eastAsia="Courier New" w:hAnsi="Courier New"/>
          <w:sz w:val="14"/>
          <w:szCs w:val="14"/>
          <w:color w:val="auto"/>
        </w:rPr>
      </w:pPr>
    </w:p>
    <w:p>
      <w:pPr>
        <w:jc w:val="both"/>
        <w:ind w:left="9" w:right="3039" w:firstLine="1589"/>
        <w:spacing w:after="0" w:line="269" w:lineRule="auto"/>
        <w:tabs>
          <w:tab w:leader="none" w:pos="1962"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 Consents. By signing this Amendment, each Guarantor hereby (a) ratifies and reaffirms, as of the date hereof, all of the provisions of that certain Continuing Guaranty dated as of January 18, 2000, in favor of Agent, (b) acknowledges receipt of a copy of this Amendment, and (c) consents to all of the provisions of this Amendment.</w:t>
      </w:r>
    </w:p>
    <w:p>
      <w:pPr>
        <w:spacing w:after="0" w:line="71" w:lineRule="exact"/>
        <w:rPr>
          <w:rFonts w:ascii="Courier New" w:cs="Courier New" w:eastAsia="Courier New" w:hAnsi="Courier New"/>
          <w:sz w:val="15"/>
          <w:szCs w:val="15"/>
          <w:color w:val="auto"/>
        </w:rPr>
      </w:pPr>
    </w:p>
    <w:p>
      <w:pPr>
        <w:ind w:left="2389" w:hanging="791"/>
        <w:spacing w:after="0"/>
        <w:tabs>
          <w:tab w:leader="none" w:pos="2389"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1"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w:t>
      </w:r>
    </w:p>
    <w:p>
      <w:pPr>
        <w:spacing w:after="0" w:line="26" w:lineRule="exact"/>
        <w:rPr>
          <w:rFonts w:ascii="Courier New" w:cs="Courier New" w:eastAsia="Courier New" w:hAnsi="Courier New"/>
          <w:sz w:val="15"/>
          <w:szCs w:val="15"/>
          <w:color w:val="auto"/>
        </w:rPr>
      </w:pPr>
    </w:p>
    <w:p>
      <w:pPr>
        <w:jc w:val="both"/>
        <w:ind w:left="9" w:right="30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in identical counterpart copies, each of which shall be an original, but all of which shall constitute one and the same agreement. Delivery of an executed counterpart of a signature page to this Amendment by facsimile transmission shall be effective as delivery of a manually executed counterpart thereof.</w:t>
      </w:r>
    </w:p>
    <w:p>
      <w:pPr>
        <w:ind w:left="3189" w:hanging="792"/>
        <w:spacing w:after="0"/>
        <w:tabs>
          <w:tab w:leader="none" w:pos="318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used herein are</w:t>
      </w:r>
    </w:p>
    <w:p>
      <w:pPr>
        <w:ind w:left="9" w:right="3039"/>
        <w:spacing w:after="0" w:line="31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convenience of reference only, are not part of this Amendment, and are not to be taken into consideration in interpreting this Amendment.</w:t>
      </w:r>
    </w:p>
    <w:p>
      <w:pPr>
        <w:spacing w:after="0" w:line="38"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Recitals.  The recitals set forth at the</w:t>
      </w:r>
    </w:p>
    <w:p>
      <w:pPr>
        <w:spacing w:after="0" w:line="26" w:lineRule="exact"/>
        <w:rPr>
          <w:rFonts w:ascii="Courier New" w:cs="Courier New" w:eastAsia="Courier New" w:hAnsi="Courier New"/>
          <w:sz w:val="15"/>
          <w:szCs w:val="15"/>
          <w:color w:val="auto"/>
        </w:rPr>
      </w:pPr>
    </w:p>
    <w:p>
      <w:pPr>
        <w:ind w:left="9" w:right="3039"/>
        <w:spacing w:after="0" w:line="31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of this Amendment are true and correct, and such recitals are incorporated into and are a part of this Amendment.</w:t>
      </w:r>
    </w:p>
    <w:p>
      <w:pPr>
        <w:spacing w:after="0" w:line="38"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Amendment shall be</w:t>
      </w:r>
    </w:p>
    <w:p>
      <w:pPr>
        <w:spacing w:after="0" w:line="26" w:lineRule="exact"/>
        <w:rPr>
          <w:rFonts w:ascii="Courier New" w:cs="Courier New" w:eastAsia="Courier New" w:hAnsi="Courier New"/>
          <w:sz w:val="15"/>
          <w:szCs w:val="15"/>
          <w:color w:val="auto"/>
        </w:rPr>
      </w:pPr>
    </w:p>
    <w:p>
      <w:pPr>
        <w:jc w:val="both"/>
        <w:ind w:left="9" w:right="3039"/>
        <w:spacing w:after="0" w:line="2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governed by, and construed and enforced in accordance with, the laws of the State of California applicable to contracts made and performed in such state, without regard to the principles thereof regarding conflict of laws.</w:t>
      </w:r>
    </w:p>
    <w:p>
      <w:pPr>
        <w:spacing w:after="0" w:line="66"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STATUTE OF FRAUDS.  ORAL AGREEMENTS OR ORAL</w:t>
      </w:r>
    </w:p>
    <w:p>
      <w:pPr>
        <w:spacing w:after="0" w:line="26" w:lineRule="exact"/>
        <w:rPr>
          <w:rFonts w:ascii="Courier New" w:cs="Courier New" w:eastAsia="Courier New" w:hAnsi="Courier New"/>
          <w:sz w:val="15"/>
          <w:szCs w:val="15"/>
          <w:color w:val="auto"/>
        </w:rPr>
      </w:pPr>
    </w:p>
    <w:p>
      <w:pPr>
        <w:ind w:left="9" w:right="3039"/>
        <w:spacing w:after="0" w:line="31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TO LOAN MONEY, EXTEND CREDIT, OR TO FORBEAR FROM ENFORCING REPAYMENT OF A DEBT ARE NOT ENFORCEABLE UNDER WASHINGTON LAW.</w:t>
      </w:r>
    </w:p>
    <w:p>
      <w:pPr>
        <w:spacing w:after="0" w:line="38"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Upon the effectiveness of this</w:t>
      </w:r>
    </w:p>
    <w:p>
      <w:pPr>
        <w:spacing w:after="0" w:line="26" w:lineRule="exact"/>
        <w:rPr>
          <w:rFonts w:ascii="Courier New" w:cs="Courier New" w:eastAsia="Courier New" w:hAnsi="Courier New"/>
          <w:sz w:val="15"/>
          <w:szCs w:val="15"/>
          <w:color w:val="auto"/>
        </w:rPr>
      </w:pPr>
    </w:p>
    <w:p>
      <w:pPr>
        <w:jc w:val="both"/>
        <w:ind w:left="9" w:right="303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from and after the date hereof, each reference in the Credit Agreement to "this Agreement," "hereunder," "hereof," or words of like import shall mean and be a reference to the Credit Agreement as amended hereby and each reference in the other Loan Documents to the Credit Agreement, "thereunder," "thereof," or words of like import shall mean and be a reference to the Credit Agreement as amended hereby.</w:t>
      </w:r>
    </w:p>
    <w:p>
      <w:pPr>
        <w:spacing w:after="0" w:line="81"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Novation.  Except as expressly provided</w:t>
      </w:r>
    </w:p>
    <w:p>
      <w:pPr>
        <w:spacing w:after="0" w:line="26" w:lineRule="exact"/>
        <w:rPr>
          <w:rFonts w:ascii="Courier New" w:cs="Courier New" w:eastAsia="Courier New" w:hAnsi="Courier New"/>
          <w:sz w:val="15"/>
          <w:szCs w:val="15"/>
          <w:color w:val="auto"/>
        </w:rPr>
      </w:pPr>
    </w:p>
    <w:p>
      <w:pPr>
        <w:jc w:val="both"/>
        <w:ind w:left="9"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Sections 2 and 3 of this Amendment, the execution, delivery, and effectiveness of this Amendment shall not (i) limit, impair, constitute a waiver of, or otherwise affect any right, power, or remedy of Agent or any Lender under the Credit Agreement or any other Loan Document, (ii) constitute a waiver of any provision in the Credit Agreement or in any of the other Loan Documents, or</w:t>
      </w:r>
    </w:p>
    <w:p>
      <w:pPr>
        <w:spacing w:after="0" w:line="1" w:lineRule="exact"/>
        <w:rPr>
          <w:rFonts w:ascii="Courier New" w:cs="Courier New" w:eastAsia="Courier New" w:hAnsi="Courier New"/>
          <w:sz w:val="15"/>
          <w:szCs w:val="15"/>
          <w:color w:val="auto"/>
        </w:rPr>
      </w:pPr>
    </w:p>
    <w:p>
      <w:pPr>
        <w:jc w:val="both"/>
        <w:ind w:left="9" w:right="3039" w:hanging="9"/>
        <w:spacing w:after="0" w:line="266" w:lineRule="auto"/>
        <w:tabs>
          <w:tab w:leader="none" w:pos="54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modify, amend, or in any way affect any of the terms, conditions, obligations, covenants, or agreements contained in the Credit Agreement or any other Loan Document, all of which are ratified and affirmed in all respects and shall continue in full force and effect.</w:t>
      </w:r>
    </w:p>
    <w:p>
      <w:pPr>
        <w:spacing w:after="0" w:line="74" w:lineRule="exact"/>
        <w:rPr>
          <w:rFonts w:ascii="Courier New" w:cs="Courier New" w:eastAsia="Courier New" w:hAnsi="Courier New"/>
          <w:sz w:val="15"/>
          <w:szCs w:val="15"/>
          <w:color w:val="auto"/>
        </w:rPr>
      </w:pPr>
    </w:p>
    <w:p>
      <w:pPr>
        <w:ind w:left="3189" w:hanging="792"/>
        <w:spacing w:after="0"/>
        <w:tabs>
          <w:tab w:leader="none" w:pos="3189"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of Terms.  In the event of any</w:t>
      </w:r>
    </w:p>
    <w:p>
      <w:pPr>
        <w:spacing w:after="0" w:line="26" w:lineRule="exact"/>
        <w:rPr>
          <w:rFonts w:ascii="Courier New" w:cs="Courier New" w:eastAsia="Courier New" w:hAnsi="Courier New"/>
          <w:sz w:val="15"/>
          <w:szCs w:val="15"/>
          <w:color w:val="auto"/>
        </w:rPr>
      </w:pPr>
    </w:p>
    <w:p>
      <w:pPr>
        <w:jc w:val="both"/>
        <w:ind w:left="9" w:right="30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inconsistency between the provisions of this Amendment and any provision of the Credit Agreement, the terms and provisions of this Amendment shall govern and control.</w:t>
      </w:r>
    </w:p>
    <w:p>
      <w:pPr>
        <w:ind w:left="1589"/>
        <w:spacing w:after="0"/>
        <w:rPr>
          <w:sz w:val="20"/>
          <w:szCs w:val="20"/>
          <w:color w:val="auto"/>
        </w:rPr>
      </w:pPr>
      <w:r>
        <w:rPr>
          <w:rFonts w:ascii="Courier New" w:cs="Courier New" w:eastAsia="Courier New" w:hAnsi="Courier New"/>
          <w:sz w:val="15"/>
          <w:szCs w:val="15"/>
          <w:color w:val="auto"/>
        </w:rPr>
        <w:t>[Remainder of Page Intentionally Left Blank]</w:t>
      </w:r>
    </w:p>
    <w:p>
      <w:pPr>
        <w:sectPr>
          <w:pgSz w:w="11900" w:h="16838" w:orient="portrait"/>
          <w:cols w:equalWidth="0" w:num="1">
            <w:col w:w="10148"/>
          </w:cols>
          <w:pgMar w:left="311" w:top="286" w:right="1440" w:bottom="1440" w:gutter="0" w:footer="0" w:header="0"/>
        </w:sectPr>
      </w:pPr>
    </w:p>
    <w:bookmarkStart w:id="7" w:name="page8"/>
    <w:bookmarkEnd w:id="7"/>
    <w:p>
      <w:pPr>
        <w:jc w:val="both"/>
        <w:ind w:right="3039"/>
        <w:spacing w:after="0" w:line="353" w:lineRule="auto"/>
        <w:rPr>
          <w:sz w:val="20"/>
          <w:szCs w:val="20"/>
          <w:color w:val="auto"/>
        </w:rPr>
      </w:pPr>
      <w:r>
        <w:rPr>
          <w:rFonts w:ascii="Courier New" w:cs="Courier New" w:eastAsia="Courier New" w:hAnsi="Courier New"/>
          <w:sz w:val="15"/>
          <w:szCs w:val="15"/>
          <w:color w:val="auto"/>
        </w:rPr>
        <w:t>SECOND AMENDMENT TO CREDIT AGREEMENT IN WITNESS WHEREOF, this Second Amendment to Credit Agreement has been duly executed as of the date first written above.</w:t>
      </w:r>
    </w:p>
    <w:p>
      <w:pPr>
        <w:spacing w:after="0" w:line="1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ITRON, INC., as a Borrower and a Credit Party</w:t>
      </w:r>
    </w:p>
    <w:p>
      <w:pPr>
        <w:spacing w:after="0" w:line="353"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tab/>
        <w:t>/s/ David G. Remington</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David G. Remington</w:t>
      </w:r>
    </w:p>
    <w:p>
      <w:pPr>
        <w:spacing w:after="0" w:line="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Officer</w:t>
      </w:r>
    </w:p>
    <w:p>
      <w:pPr>
        <w:spacing w:after="0" w:line="14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UTILITY TRANSLATION SYSTEMS, INC., as a</w:t>
      </w:r>
    </w:p>
    <w:p>
      <w:pPr>
        <w:spacing w:after="0" w:line="2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Borrower and a Credit Party</w:t>
      </w:r>
    </w:p>
    <w:p>
      <w:pPr>
        <w:spacing w:after="0" w:line="316"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tab/>
        <w:t>/s/ David G. Remington</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David G. Remington</w:t>
      </w:r>
    </w:p>
    <w:p>
      <w:pPr>
        <w:spacing w:after="0" w:line="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Officer</w:t>
      </w:r>
    </w:p>
    <w:p>
      <w:pPr>
        <w:spacing w:after="0" w:line="145"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ITRON INTERNATIONAL, INC., as a Guarantor and a</w:t>
      </w:r>
    </w:p>
    <w:p>
      <w:pPr>
        <w:spacing w:after="0" w:line="3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Credit Party</w:t>
      </w:r>
    </w:p>
    <w:p>
      <w:pPr>
        <w:spacing w:after="0" w:line="316"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tab/>
        <w:t>/s/ David G. Remington</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David G. Remington</w:t>
      </w:r>
    </w:p>
    <w:p>
      <w:pPr>
        <w:spacing w:after="0" w:line="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Officer</w:t>
      </w:r>
    </w:p>
    <w:p>
      <w:pPr>
        <w:spacing w:after="0" w:line="14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ITRON FINANCE, INC., as a Guarantor and a</w:t>
      </w:r>
    </w:p>
    <w:p>
      <w:pPr>
        <w:spacing w:after="0" w:line="27"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Credit Party</w:t>
      </w:r>
    </w:p>
    <w:p>
      <w:pPr>
        <w:spacing w:after="0" w:line="316"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tab/>
        <w:t>/s/ David G. Remington</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David G. Remington</w:t>
      </w:r>
    </w:p>
    <w:p>
      <w:pPr>
        <w:spacing w:after="0" w:line="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Officer</w:t>
      </w:r>
    </w:p>
    <w:p>
      <w:pPr>
        <w:spacing w:after="0" w:line="14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GENERAL ELECTRIC CAPITAL CORPORATION, as Agent</w:t>
      </w:r>
    </w:p>
    <w:p>
      <w:pPr>
        <w:spacing w:after="0" w:line="2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and a Lender</w:t>
      </w:r>
    </w:p>
    <w:p>
      <w:pPr>
        <w:spacing w:after="0" w:line="316"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tab/>
        <w:t>/s/ Mark Mascia</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Mark Mascia</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Duly Authorized Signatory</w:t>
      </w:r>
    </w:p>
    <w:sectPr>
      <w:pgSz w:w="11900" w:h="16838" w:orient="portrait"/>
      <w:cols w:equalWidth="0" w:num="1">
        <w:col w:w="10139"/>
      </w:cols>
      <w:pgMar w:left="320" w:top="6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2)"/>
      <w:numFmt w:val="decimal"/>
      <w:start w:val="509"/>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lvl w:ilvl="1">
      <w:lvlJc w:val="left"/>
      <w:lvlText w:val="%2."/>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1"/>
    </w:lvl>
    <w:lvl w:ilvl="1">
      <w:lvlJc w:val="left"/>
      <w:lvlText w:val="%2."/>
      <w:numFmt w:val="lowerLetter"/>
      <w:start w:val="3"/>
    </w:lvl>
  </w:abstractNum>
  <w:abstractNum w:abstractNumId="6">
    <w:nsid w:val="12200854"/>
    <w:multiLevelType w:val="hybridMultilevel"/>
    <w:lvl w:ilvl="0">
      <w:lvlJc w:val="left"/>
      <w:lvlText w:val="%1."/>
      <w:numFmt w:val="decimal"/>
      <w:start w:val="3"/>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
    <w:nsid w:val="1F16E9E8"/>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4"/>
    </w:lvl>
  </w:abstractNum>
  <w:abstractNum w:abstractNumId="10">
    <w:nsid w:val="1190CDE7"/>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1">
    <w:nsid w:val="66EF438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2020-10-06T04:15:21Z</dcterms:created>
  <dcterms:modified xsi:type="dcterms:W3CDTF">2020-10-06T04:15:21Z</dcterms:modified>
</cp:coreProperties>
</file>