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May 9, 2024</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-140335</wp:posOffset>
            </wp:positionV>
            <wp:extent cx="20656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25400</wp:posOffset>
            </wp:positionV>
            <wp:extent cx="3926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1" w:lineRule="exact"/>
        <w:rPr>
          <w:sz w:val="24"/>
          <w:szCs w:val="24"/>
          <w:color w:val="auto"/>
        </w:rPr>
      </w:pPr>
    </w:p>
    <w:tbl>
      <w:tblPr>
        <w:tblLayout w:type="fixed"/>
        <w:tblInd w:w="1280" w:type="dxa"/>
        <w:tblCellMar>
          <w:top w:w="0" w:type="dxa"/>
          <w:left w:w="0" w:type="dxa"/>
          <w:bottom w:w="0" w:type="dxa"/>
          <w:right w:w="0" w:type="dxa"/>
        </w:tblCellMar>
      </w:tblPr>
      <w:tr>
        <w:trPr>
          <w:trHeight w:val="266"/>
        </w:trPr>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6"/>
              </w:rPr>
              <w:t>Washington</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000-22418</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40" w:type="dxa"/>
            <w:vAlign w:val="bottom"/>
          </w:tcPr>
          <w:p>
            <w:pPr>
              <w:jc w:val="center"/>
              <w:ind w:right="401"/>
              <w:spacing w:after="0"/>
              <w:rPr>
                <w:sz w:val="20"/>
                <w:szCs w:val="20"/>
                <w:color w:val="auto"/>
              </w:rPr>
            </w:pPr>
            <w:r>
              <w:rPr>
                <w:rFonts w:ascii="Times New Roman" w:cs="Times New Roman" w:eastAsia="Times New Roman" w:hAnsi="Times New Roman"/>
                <w:sz w:val="20"/>
                <w:szCs w:val="20"/>
                <w:b w:val="1"/>
                <w:bCs w:val="1"/>
                <w:color w:val="auto"/>
                <w:w w:val="97"/>
              </w:rPr>
              <w:t>91-1011792</w:t>
            </w:r>
          </w:p>
        </w:tc>
      </w:tr>
      <w:tr>
        <w:trPr>
          <w:trHeight w:val="190"/>
        </w:trPr>
        <w:tc>
          <w:tcPr>
            <w:tcW w:w="280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(State or other jurisdiction</w:t>
            </w:r>
          </w:p>
        </w:tc>
        <w:tc>
          <w:tcPr>
            <w:tcW w:w="24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(Commission</w:t>
            </w:r>
          </w:p>
        </w:tc>
        <w:tc>
          <w:tcPr>
            <w:tcW w:w="2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center"/>
              <w:ind w:right="421"/>
              <w:spacing w:after="0" w:line="190"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File Number)</w:t>
            </w:r>
          </w:p>
        </w:tc>
        <w:tc>
          <w:tcPr>
            <w:tcW w:w="500" w:type="dxa"/>
            <w:vAlign w:val="bottom"/>
          </w:tcPr>
          <w:p>
            <w:pPr>
              <w:spacing w:after="0"/>
              <w:rPr>
                <w:sz w:val="22"/>
                <w:szCs w:val="22"/>
                <w:color w:val="auto"/>
              </w:rPr>
            </w:pPr>
          </w:p>
        </w:tc>
        <w:tc>
          <w:tcPr>
            <w:tcW w:w="2240" w:type="dxa"/>
            <w:vAlign w:val="bottom"/>
          </w:tcPr>
          <w:p>
            <w:pPr>
              <w:jc w:val="center"/>
              <w:ind w:right="401"/>
              <w:spacing w:after="0"/>
              <w:rPr>
                <w:sz w:val="20"/>
                <w:szCs w:val="20"/>
                <w:color w:val="auto"/>
              </w:rPr>
            </w:pPr>
            <w:r>
              <w:rPr>
                <w:rFonts w:ascii="Times New Roman" w:cs="Times New Roman" w:eastAsia="Times New Roman" w:hAnsi="Times New Roman"/>
                <w:sz w:val="20"/>
                <w:szCs w:val="20"/>
                <w:color w:val="auto"/>
                <w:w w:val="98"/>
              </w:rPr>
              <w:t>Identification No.)</w:t>
            </w:r>
          </w:p>
        </w:tc>
      </w:tr>
      <w:tr>
        <w:trPr>
          <w:trHeight w:val="364"/>
        </w:trPr>
        <w:tc>
          <w:tcPr>
            <w:tcW w:w="3040" w:type="dxa"/>
            <w:vAlign w:val="bottom"/>
            <w:gridSpan w:val="2"/>
          </w:tcPr>
          <w:p>
            <w:pPr>
              <w:ind w:left="1220"/>
              <w:spacing w:after="0"/>
              <w:rPr>
                <w:sz w:val="20"/>
                <w:szCs w:val="20"/>
                <w:color w:val="auto"/>
              </w:rPr>
            </w:pPr>
            <w:r>
              <w:rPr>
                <w:rFonts w:ascii="Times New Roman" w:cs="Times New Roman" w:eastAsia="Times New Roman" w:hAnsi="Times New Roman"/>
                <w:sz w:val="20"/>
                <w:szCs w:val="20"/>
                <w:b w:val="1"/>
                <w:bCs w:val="1"/>
                <w:color w:val="auto"/>
              </w:rPr>
              <w:t>2111 N. Molter Road</w:t>
            </w:r>
          </w:p>
        </w:tc>
        <w:tc>
          <w:tcPr>
            <w:tcW w:w="2920" w:type="dxa"/>
            <w:vAlign w:val="bottom"/>
            <w:gridSpan w:val="2"/>
          </w:tcPr>
          <w:p>
            <w:pPr>
              <w:ind w:left="1100"/>
              <w:spacing w:after="0"/>
              <w:rPr>
                <w:sz w:val="20"/>
                <w:szCs w:val="20"/>
                <w:color w:val="auto"/>
              </w:rPr>
            </w:pPr>
            <w:r>
              <w:rPr>
                <w:rFonts w:ascii="Times New Roman" w:cs="Times New Roman" w:eastAsia="Times New Roman" w:hAnsi="Times New Roman"/>
                <w:sz w:val="20"/>
                <w:szCs w:val="20"/>
                <w:b w:val="1"/>
                <w:bCs w:val="1"/>
                <w:color w:val="auto"/>
              </w:rPr>
              <w:t>Liberty Lake,</w:t>
            </w:r>
          </w:p>
        </w:tc>
        <w:tc>
          <w:tcPr>
            <w:tcW w:w="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WA</w:t>
            </w:r>
          </w:p>
        </w:tc>
        <w:tc>
          <w:tcPr>
            <w:tcW w:w="2240" w:type="dxa"/>
            <w:vAlign w:val="bottom"/>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99019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5080</wp:posOffset>
            </wp:positionV>
            <wp:extent cx="5023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ind w:left="364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44"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25400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185420</wp:posOffset>
            </wp:positionV>
            <wp:extent cx="5117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351"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Securities Act (17 CFR 230.425)</w:t>
      </w:r>
    </w:p>
    <w:p>
      <w:pPr>
        <w:spacing w:after="0" w:line="3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13"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54" w:lineRule="exact"/>
        <w:rPr>
          <w:sz w:val="24"/>
          <w:szCs w:val="24"/>
          <w:color w:val="auto"/>
        </w:rPr>
      </w:pPr>
    </w:p>
    <w:tbl>
      <w:tblPr>
        <w:tblLayout w:type="fixed"/>
        <w:tblInd w:w="260" w:type="dxa"/>
        <w:tblCellMar>
          <w:top w:w="0" w:type="dxa"/>
          <w:left w:w="0" w:type="dxa"/>
          <w:bottom w:w="0" w:type="dxa"/>
          <w:right w:w="0" w:type="dxa"/>
        </w:tblCellMar>
      </w:tblP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ITRI</w:t>
            </w:r>
          </w:p>
        </w:tc>
        <w:tc>
          <w:tcPr>
            <w:tcW w:w="10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rPr>
        <w:t>☐</w:t>
      </w:r>
    </w:p>
    <w:p>
      <w:pPr>
        <w:spacing w:after="0" w:line="153" w:lineRule="exact"/>
        <w:rPr>
          <w:sz w:val="24"/>
          <w:szCs w:val="24"/>
          <w:color w:val="auto"/>
        </w:rPr>
      </w:pPr>
    </w:p>
    <w:p>
      <w:pPr>
        <w:jc w:val="both"/>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Itron, Inc. (the Company) held its 2024 Annual Meeting of Shareholders (the Annual Meeting) on May 9, 2024. Four proposals were voted upon at the Annual Meeting. The proposals are described in detail in the Company's proxy statement filed with the Securities and Exchange Commission on March 19, 2024. Each of the proposals passed. The final results for the votes regarding each proposal are set forth below.</w:t>
      </w:r>
    </w:p>
    <w:p>
      <w:pPr>
        <w:spacing w:after="0" w:line="19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Proposal One:</w:t>
      </w:r>
      <w:r>
        <w:rPr>
          <w:sz w:val="20"/>
          <w:szCs w:val="20"/>
          <w:color w:val="auto"/>
        </w:rPr>
        <w:tab/>
      </w:r>
      <w:r>
        <w:rPr>
          <w:rFonts w:ascii="Times New Roman" w:cs="Times New Roman" w:eastAsia="Times New Roman" w:hAnsi="Times New Roman"/>
          <w:sz w:val="19"/>
          <w:szCs w:val="19"/>
          <w:color w:val="auto"/>
        </w:rPr>
        <w:t>The following nominees for Director were elected until their successors are duly elected and qualified: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Sanjay Mirchandani</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40,385,780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97,466</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83,743</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2,440,297</w:t>
            </w:r>
          </w:p>
        </w:tc>
      </w:tr>
      <w:tr>
        <w:trPr>
          <w:trHeight w:val="229"/>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L. Deitrich</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40,361,559</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121,763</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83,667</w:t>
            </w:r>
          </w:p>
        </w:tc>
        <w:tc>
          <w:tcPr>
            <w:tcW w:w="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2,440,297</w:t>
            </w:r>
          </w:p>
        </w:tc>
      </w:tr>
      <w:tr>
        <w:trPr>
          <w:trHeight w:val="229"/>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M. Leyden</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40,017,062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467,110</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82,817</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2,440,297</w:t>
            </w:r>
          </w:p>
        </w:tc>
      </w:tr>
      <w:tr>
        <w:trPr>
          <w:trHeight w:val="234"/>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Santiago Perez</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36,890,633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3,593,425</w:t>
            </w:r>
          </w:p>
        </w:tc>
        <w:tc>
          <w:tcPr>
            <w:tcW w:w="8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2,440,297</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Sanjay Mirchandani was elected to hold office in Class 1 for a term of two years until the Company’s 2026 Annual Meeting.</w:t>
      </w:r>
    </w:p>
    <w:p>
      <w:pPr>
        <w:spacing w:after="0" w:line="2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Thomas L. Deitrich, Timothy M. Leyden, and Santiago Perez were elected to hold office in Class 2 for a term of three years until the Company's 2027 Annual Meeting.</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All independent Directors, except for the Board Chair, serve on at least one committee. For further information regarding the composition of such committees, refer to Itron's investor relations website, at https://na.itron.com/leadership.</w:t>
      </w:r>
    </w:p>
    <w:p>
      <w:pPr>
        <w:spacing w:after="0" w:line="18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Proposal Two:</w:t>
      </w:r>
      <w:r>
        <w:rPr>
          <w:sz w:val="20"/>
          <w:szCs w:val="20"/>
          <w:color w:val="auto"/>
        </w:rPr>
        <w:tab/>
      </w:r>
      <w:r>
        <w:rPr>
          <w:rFonts w:ascii="Times New Roman" w:cs="Times New Roman" w:eastAsia="Times New Roman" w:hAnsi="Times New Roman"/>
          <w:sz w:val="19"/>
          <w:szCs w:val="19"/>
          <w:color w:val="auto"/>
        </w:rPr>
        <w:t>Approval of the advisory (non-binding) resolution relating to executive compensation.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37,983,013</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1,911,886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672,090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2,440,297</w:t>
            </w:r>
          </w:p>
        </w:tc>
      </w:tr>
    </w:tbl>
    <w:p>
      <w:pPr>
        <w:spacing w:after="0" w:line="31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Proposal Three:</w:t>
      </w:r>
      <w:r>
        <w:rPr>
          <w:sz w:val="20"/>
          <w:szCs w:val="20"/>
          <w:color w:val="auto"/>
        </w:rPr>
        <w:tab/>
      </w:r>
      <w:r>
        <w:rPr>
          <w:rFonts w:ascii="Times New Roman" w:cs="Times New Roman" w:eastAsia="Times New Roman" w:hAnsi="Times New Roman"/>
          <w:sz w:val="19"/>
          <w:szCs w:val="19"/>
          <w:color w:val="auto"/>
        </w:rPr>
        <w:t>Approval of the amendment of the Itron, Inc. Third Amended and Restated 2010 Stock Incentive Plan.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38,340,896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2,140,280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85,813</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2,440,297</w:t>
            </w:r>
          </w:p>
        </w:tc>
      </w:tr>
    </w:tbl>
    <w:p>
      <w:pPr>
        <w:spacing w:after="0" w:line="315" w:lineRule="exact"/>
        <w:rPr>
          <w:sz w:val="20"/>
          <w:szCs w:val="20"/>
          <w:color w:val="auto"/>
        </w:rPr>
      </w:pPr>
    </w:p>
    <w:p>
      <w:pPr>
        <w:jc w:val="both"/>
        <w:ind w:left="1300" w:right="20" w:hanging="1295"/>
        <w:spacing w:after="0" w:line="267" w:lineRule="auto"/>
        <w:tabs>
          <w:tab w:leader="none" w:pos="1280" w:val="left"/>
        </w:tabs>
        <w:rPr>
          <w:sz w:val="20"/>
          <w:szCs w:val="20"/>
          <w:color w:val="auto"/>
        </w:rPr>
      </w:pPr>
      <w:r>
        <w:rPr>
          <w:rFonts w:ascii="Times New Roman" w:cs="Times New Roman" w:eastAsia="Times New Roman" w:hAnsi="Times New Roman"/>
          <w:sz w:val="20"/>
          <w:szCs w:val="20"/>
          <w:color w:val="auto"/>
        </w:rPr>
        <w:t>Proposal Four:</w:t>
        <w:tab/>
        <w:t>Ratification of the appointment of Deloitte &amp; Touche LLP as the Company's independent registered public accounting firm for the 2024 fiscal year.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7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72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3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42,371,091</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560,038</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76,157</w:t>
            </w:r>
          </w:p>
        </w:tc>
        <w:tc>
          <w:tcPr>
            <w:tcW w:w="20" w:type="dxa"/>
            <w:vAlign w:val="bottom"/>
          </w:tcPr>
          <w:p>
            <w:pPr>
              <w:spacing w:after="0"/>
              <w:rPr>
                <w:sz w:val="19"/>
                <w:szCs w:val="19"/>
                <w:color w:val="auto"/>
              </w:rPr>
            </w:pPr>
          </w:p>
        </w:tc>
      </w:tr>
      <w:tr>
        <w:trPr>
          <w:trHeight w:val="1222"/>
        </w:trPr>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3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49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Itron, Inc.</w:t>
            </w:r>
          </w:p>
        </w:tc>
        <w:tc>
          <w:tcPr>
            <w:tcW w:w="6240" w:type="dxa"/>
            <w:vAlign w:val="bottom"/>
          </w:tcPr>
          <w:p>
            <w:pPr>
              <w:spacing w:after="0"/>
              <w:rPr>
                <w:sz w:val="22"/>
                <w:szCs w:val="22"/>
                <w:color w:val="auto"/>
              </w:rPr>
            </w:pPr>
          </w:p>
        </w:tc>
      </w:tr>
      <w:tr>
        <w:trPr>
          <w:trHeight w:val="487"/>
        </w:trPr>
        <w:tc>
          <w:tcPr>
            <w:tcW w:w="49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By:</w:t>
            </w:r>
          </w:p>
        </w:tc>
        <w:tc>
          <w:tcPr>
            <w:tcW w:w="6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CHRISTOPHER E. WARE</w:t>
            </w:r>
          </w:p>
        </w:tc>
      </w:tr>
      <w:tr>
        <w:trPr>
          <w:trHeight w:val="24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Dated: May 9, 2024</w:t>
            </w:r>
          </w:p>
        </w:tc>
        <w:tc>
          <w:tcPr>
            <w:tcW w:w="6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Christopher E. Ware</w:t>
            </w:r>
          </w:p>
        </w:tc>
      </w:tr>
      <w:tr>
        <w:trPr>
          <w:trHeight w:val="198"/>
        </w:trPr>
        <w:tc>
          <w:tcPr>
            <w:tcW w:w="4940" w:type="dxa"/>
            <w:vAlign w:val="bottom"/>
          </w:tcPr>
          <w:p>
            <w:pPr>
              <w:spacing w:after="0"/>
              <w:rPr>
                <w:sz w:val="17"/>
                <w:szCs w:val="17"/>
                <w:color w:val="auto"/>
              </w:rPr>
            </w:pPr>
          </w:p>
        </w:tc>
        <w:tc>
          <w:tcPr>
            <w:tcW w:w="6240" w:type="dxa"/>
            <w:vAlign w:val="bottom"/>
          </w:tcPr>
          <w:p>
            <w:pPr>
              <w:jc w:val="center"/>
              <w:spacing w:after="0" w:line="198" w:lineRule="exact"/>
              <w:rPr>
                <w:sz w:val="20"/>
                <w:szCs w:val="20"/>
                <w:color w:val="auto"/>
              </w:rPr>
            </w:pPr>
            <w:r>
              <w:rPr>
                <w:rFonts w:ascii="Times New Roman" w:cs="Times New Roman" w:eastAsia="Times New Roman" w:hAnsi="Times New Roman"/>
                <w:sz w:val="20"/>
                <w:szCs w:val="20"/>
                <w:color w:val="auto"/>
                <w:w w:val="98"/>
              </w:rPr>
              <w:t>Senior Vice President, General Counsel</w:t>
            </w:r>
          </w:p>
        </w:tc>
      </w:tr>
      <w:tr>
        <w:trPr>
          <w:trHeight w:val="258"/>
        </w:trPr>
        <w:tc>
          <w:tcPr>
            <w:tcW w:w="4940" w:type="dxa"/>
            <w:vAlign w:val="bottom"/>
          </w:tcPr>
          <w:p>
            <w:pPr>
              <w:spacing w:after="0"/>
              <w:rPr>
                <w:sz w:val="22"/>
                <w:szCs w:val="22"/>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and Corporate Secretary</w:t>
            </w:r>
          </w:p>
        </w:tc>
      </w:tr>
    </w:tbl>
    <w:p>
      <w:pPr>
        <w:spacing w:after="0" w:line="1" w:lineRule="exact"/>
        <w:rPr>
          <w:sz w:val="20"/>
          <w:szCs w:val="20"/>
          <w:color w:val="auto"/>
        </w:rPr>
      </w:pPr>
    </w:p>
    <w:sectPr>
      <w:pgSz w:w="11900" w:h="16838" w:orient="portrait"/>
      <w:cols w:equalWidth="0" w:num="1">
        <w:col w:w="11240"/>
      </w:cols>
      <w:pgMar w:left="320" w:top="9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2024-05-09T13:58:32Z</dcterms:created>
  <dcterms:modified xsi:type="dcterms:W3CDTF">2024-05-09T13:58:32Z</dcterms:modified>
</cp:coreProperties>
</file>