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UNITED STATES</w:t>
      </w:r>
    </w:p>
    <w:p>
      <w:pPr>
        <w:spacing w:after="0" w:line="3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Washington, D.C. 20549</w:t>
      </w:r>
    </w:p>
    <w:p>
      <w:pPr>
        <w:spacing w:after="0" w:line="358" w:lineRule="exact"/>
        <w:rPr>
          <w:sz w:val="24"/>
          <w:szCs w:val="24"/>
          <w:color w:val="auto"/>
        </w:r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FORM 8-K</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CURRENT REPORT</w:t>
      </w:r>
    </w:p>
    <w:p>
      <w:pPr>
        <w:spacing w:after="0" w:line="3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16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February 15, 2005</w:t>
      </w:r>
    </w:p>
    <w:p>
      <w:pPr>
        <w:spacing w:after="0" w:line="38" w:lineRule="exact"/>
        <w:rPr>
          <w:sz w:val="24"/>
          <w:szCs w:val="24"/>
          <w:color w:val="auto"/>
        </w:rPr>
      </w:pPr>
    </w:p>
    <w:p>
      <w:pPr>
        <w:ind w:left="20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16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ITRON, INC.</w:t>
      </w:r>
    </w:p>
    <w:p>
      <w:pPr>
        <w:spacing w:after="0" w:line="38"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358" w:lineRule="exact"/>
        <w:rPr>
          <w:sz w:val="24"/>
          <w:szCs w:val="24"/>
          <w:color w:val="auto"/>
        </w:rPr>
      </w:pPr>
    </w:p>
    <w:tbl>
      <w:tblPr>
        <w:tblLayout w:type="fixed"/>
        <w:tblInd w:w="10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ourier New" w:cs="Courier New" w:eastAsia="Courier New" w:hAnsi="Courier New"/>
                <w:sz w:val="16"/>
                <w:szCs w:val="16"/>
                <w:color w:val="auto"/>
              </w:rPr>
              <w:t>Washington</w:t>
            </w:r>
          </w:p>
        </w:tc>
        <w:tc>
          <w:tcPr>
            <w:tcW w:w="272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000-22418</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91-1011792</w:t>
            </w:r>
          </w:p>
        </w:tc>
      </w:tr>
    </w:tbl>
    <w:p>
      <w:pPr>
        <w:spacing w:after="0"/>
        <w:rPr>
          <w:sz w:val="20"/>
          <w:szCs w:val="20"/>
          <w:color w:val="auto"/>
        </w:rPr>
      </w:pPr>
      <w:r>
        <w:rPr>
          <w:rFonts w:ascii="Courier New" w:cs="Courier New" w:eastAsia="Courier New" w:hAnsi="Courier New"/>
          <w:sz w:val="16"/>
          <w:szCs w:val="16"/>
          <w:color w:val="auto"/>
        </w:rPr>
        <w:t>- --------------------------------- ----------------------- ----------------------</w:t>
      </w:r>
    </w:p>
    <w:p>
      <w:pPr>
        <w:spacing w:after="0" w:line="8" w:lineRule="exact"/>
        <w:rPr>
          <w:sz w:val="24"/>
          <w:szCs w:val="24"/>
          <w:color w:val="auto"/>
        </w:rPr>
      </w:pPr>
    </w:p>
    <w:p>
      <w:pPr>
        <w:ind w:left="200"/>
        <w:spacing w:after="0"/>
        <w:tabs>
          <w:tab w:leader="none" w:pos="3340" w:val="left"/>
          <w:tab w:leader="none" w:pos="6300" w:val="left"/>
        </w:tabs>
        <w:rPr>
          <w:sz w:val="20"/>
          <w:szCs w:val="20"/>
          <w:color w:val="auto"/>
        </w:rPr>
      </w:pPr>
      <w:r>
        <w:rPr>
          <w:rFonts w:ascii="Courier New" w:cs="Courier New" w:eastAsia="Courier New" w:hAnsi="Courier New"/>
          <w:sz w:val="16"/>
          <w:szCs w:val="16"/>
          <w:color w:val="auto"/>
        </w:rPr>
        <w:t>(State or Other Jurisdiction</w:t>
      </w:r>
      <w:r>
        <w:rPr>
          <w:sz w:val="20"/>
          <w:szCs w:val="20"/>
          <w:color w:val="auto"/>
        </w:rPr>
        <w:tab/>
      </w:r>
      <w:r>
        <w:rPr>
          <w:rFonts w:ascii="Courier New" w:cs="Courier New" w:eastAsia="Courier New" w:hAnsi="Courier New"/>
          <w:sz w:val="16"/>
          <w:szCs w:val="16"/>
          <w:color w:val="auto"/>
        </w:rPr>
        <w:t>(Commission File No.)</w:t>
      </w:r>
      <w:r>
        <w:rPr>
          <w:sz w:val="20"/>
          <w:szCs w:val="20"/>
          <w:color w:val="auto"/>
        </w:rPr>
        <w:tab/>
      </w:r>
      <w:r>
        <w:rPr>
          <w:rFonts w:ascii="Courier New" w:cs="Courier New" w:eastAsia="Courier New" w:hAnsi="Courier New"/>
          <w:sz w:val="16"/>
          <w:szCs w:val="16"/>
          <w:color w:val="auto"/>
        </w:rPr>
        <w:t>(IRS Employer</w:t>
      </w:r>
    </w:p>
    <w:p>
      <w:pPr>
        <w:spacing w:after="0" w:line="8" w:lineRule="exact"/>
        <w:rPr>
          <w:sz w:val="24"/>
          <w:szCs w:val="24"/>
          <w:color w:val="auto"/>
        </w:rPr>
      </w:pPr>
    </w:p>
    <w:p>
      <w:pPr>
        <w:ind w:left="700"/>
        <w:spacing w:after="0"/>
        <w:tabs>
          <w:tab w:leader="none" w:pos="5900" w:val="left"/>
        </w:tabs>
        <w:rPr>
          <w:sz w:val="20"/>
          <w:szCs w:val="20"/>
          <w:color w:val="auto"/>
        </w:rPr>
      </w:pPr>
      <w:r>
        <w:rPr>
          <w:rFonts w:ascii="Courier New" w:cs="Courier New" w:eastAsia="Courier New" w:hAnsi="Courier New"/>
          <w:sz w:val="16"/>
          <w:szCs w:val="16"/>
          <w:color w:val="auto"/>
        </w:rPr>
        <w:t>of Incorporation)</w:t>
      </w:r>
      <w:r>
        <w:rPr>
          <w:sz w:val="20"/>
          <w:szCs w:val="20"/>
          <w:color w:val="auto"/>
        </w:rPr>
        <w:tab/>
      </w:r>
      <w:r>
        <w:rPr>
          <w:rFonts w:ascii="Courier New" w:cs="Courier New" w:eastAsia="Courier New" w:hAnsi="Courier New"/>
          <w:sz w:val="16"/>
          <w:szCs w:val="16"/>
          <w:color w:val="auto"/>
        </w:rPr>
        <w:t>Identification No.)</w:t>
      </w:r>
    </w:p>
    <w:p>
      <w:pPr>
        <w:spacing w:after="0" w:line="35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2818 N. Sullivan Road, Spokane, WA 99216</w:t>
      </w:r>
    </w:p>
    <w:p>
      <w:pPr>
        <w:spacing w:after="0" w:line="38"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(Address of Principal Executive Offices, Zip Code)</w:t>
      </w:r>
    </w:p>
    <w:p>
      <w:pPr>
        <w:spacing w:after="0" w:line="168" w:lineRule="exact"/>
        <w:rPr>
          <w:sz w:val="24"/>
          <w:szCs w:val="24"/>
          <w:color w:val="auto"/>
        </w:rPr>
      </w:pPr>
    </w:p>
    <w:p>
      <w:pPr>
        <w:ind w:left="3840" w:hanging="586"/>
        <w:spacing w:after="0"/>
        <w:tabs>
          <w:tab w:leader="none" w:pos="38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924-9900</w:t>
      </w:r>
    </w:p>
    <w:p>
      <w:pPr>
        <w:spacing w:after="0" w:line="38"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Telephone Number, Including Area Code)</w:t>
      </w:r>
    </w:p>
    <w:p>
      <w:pPr>
        <w:spacing w:after="0" w:line="16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None</w:t>
      </w:r>
    </w:p>
    <w:p>
      <w:pPr>
        <w:spacing w:after="0" w:line="38"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pacing w:after="0" w:line="358" w:lineRule="exact"/>
        <w:rPr>
          <w:sz w:val="24"/>
          <w:szCs w:val="24"/>
          <w:color w:val="auto"/>
        </w:rPr>
      </w:pPr>
    </w:p>
    <w:p>
      <w:pPr>
        <w:ind w:right="2439"/>
        <w:spacing w:after="0" w:line="314" w:lineRule="auto"/>
        <w:rPr>
          <w:sz w:val="20"/>
          <w:szCs w:val="20"/>
          <w:color w:val="auto"/>
        </w:rPr>
      </w:pPr>
      <w:r>
        <w:rPr>
          <w:rFonts w:ascii="Courier New" w:cs="Courier New" w:eastAsia="Courier New" w:hAnsi="Courier New"/>
          <w:sz w:val="16"/>
          <w:szCs w:val="16"/>
          <w:color w:val="auto"/>
        </w:rPr>
        <w:t>Check the appropriate box below if the Form 8-K filing is intended to simultaneously satisfy the filing obligation of the registrant under any of the following provisions:</w:t>
      </w:r>
    </w:p>
    <w:p>
      <w:pPr>
        <w:spacing w:after="0" w:line="47" w:lineRule="exact"/>
        <w:rPr>
          <w:sz w:val="24"/>
          <w:szCs w:val="24"/>
          <w:color w:val="auto"/>
        </w:rPr>
      </w:pPr>
    </w:p>
    <w:p>
      <w:pPr>
        <w:ind w:left="300" w:right="3519" w:hanging="299"/>
        <w:spacing w:after="0" w:line="376" w:lineRule="auto"/>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Written communications pursuant to Rule 425 under Securities Act (17 CFR 230.425)</w:t>
      </w:r>
    </w:p>
    <w:p>
      <w:pPr>
        <w:spacing w:after="0" w:line="1" w:lineRule="exact"/>
        <w:rPr>
          <w:sz w:val="24"/>
          <w:szCs w:val="24"/>
          <w:color w:val="auto"/>
        </w:rPr>
      </w:pPr>
    </w:p>
    <w:p>
      <w:pPr>
        <w:ind w:left="300" w:right="3319" w:hanging="299"/>
        <w:spacing w:after="0" w:line="376" w:lineRule="auto"/>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Rule 14a-12 under the Exchange Act (17 CFR 240.14a-12)</w:t>
      </w:r>
    </w:p>
    <w:p>
      <w:pPr>
        <w:spacing w:after="0" w:line="1" w:lineRule="exact"/>
        <w:rPr>
          <w:sz w:val="24"/>
          <w:szCs w:val="24"/>
          <w:color w:val="auto"/>
        </w:rPr>
      </w:pPr>
    </w:p>
    <w:p>
      <w:pPr>
        <w:ind w:left="400" w:right="2339" w:hanging="399"/>
        <w:spacing w:after="0" w:line="376" w:lineRule="auto"/>
        <w:tabs>
          <w:tab w:leader="none" w:pos="20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Pre-commencement communications pursuant to Rule 14d-2(b) under the Exchange Act (17 CFR 240.14d-2(b))</w:t>
      </w:r>
    </w:p>
    <w:p>
      <w:pPr>
        <w:spacing w:after="0" w:line="1" w:lineRule="exact"/>
        <w:rPr>
          <w:sz w:val="24"/>
          <w:szCs w:val="24"/>
          <w:color w:val="auto"/>
        </w:rPr>
      </w:pPr>
    </w:p>
    <w:p>
      <w:pPr>
        <w:ind w:left="400" w:right="2339" w:hanging="399"/>
        <w:spacing w:after="0" w:line="377" w:lineRule="auto"/>
        <w:tabs>
          <w:tab w:leader="none" w:pos="2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Pre-commencement communications pursuant to Rule 13e-4(c) under the Exchange Act (17 CFR 240.13e-4(c))</w:t>
      </w:r>
    </w:p>
    <w:p>
      <w:pPr>
        <w:spacing w:after="0" w:line="164"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198" w:lineRule="exact"/>
        <w:rPr>
          <w:sz w:val="24"/>
          <w:szCs w:val="24"/>
          <w:color w:val="auto"/>
        </w:rPr>
      </w:pPr>
    </w:p>
    <w:p>
      <w:pPr>
        <w:ind w:right="2339"/>
        <w:spacing w:after="0" w:line="257" w:lineRule="auto"/>
        <w:rPr>
          <w:sz w:val="20"/>
          <w:szCs w:val="20"/>
          <w:color w:val="auto"/>
        </w:rPr>
      </w:pPr>
      <w:r>
        <w:rPr>
          <w:rFonts w:ascii="Courier New" w:cs="Courier New" w:eastAsia="Courier New" w:hAnsi="Courier New"/>
          <w:sz w:val="16"/>
          <w:szCs w:val="16"/>
          <w:color w:val="auto"/>
        </w:rPr>
        <w:t>On July 1, 2004, we completed the acquisition of Schlumberger's Electricity Metering Business (SEM). Prior to closing the acquisition of SEM, we completed a preliminary, high level analysis of the value of intangible assets and used the amounts from that valuation as the basis for allocating the SEM purchase price in the quarter ended September 30, 2004. In February 2005, we completed a more comprehensive valuation analysis of the intangible assets based on more detailed information that was not available to us prior to the acquisition closing. As a result of the new valuation, we made changes to the initial allocation of the SEM purchase price which is reflected in our results for the quarter ended December 31, 2004. We have increased the amount allocated to identifiable amortizable intangible assets by approximately $70 million and allocated $6.4 million of the purchase price to in-process research and development (IPR&amp;D), with a corresponding decrease to goodwill of approximately $76.4 million. The IPR&amp;D was expensed in the fourth quarter of 2004. Intangible asset amortization expense increased in the fourth quarter and will increase in future quarters as a result of allocating a higher amount of the purchase price to identifiable intangible assets. Total Company intangible asset amortization expense in the fourth quarter is approximately $16.6 million. As a result of the IPR&amp;D and increased intangible asset amortization expense, we have a net loss for the quarter ended December 31, 2004 as well as the full year 2004 for GAAP results.</w:t>
      </w:r>
    </w:p>
    <w:p>
      <w:pPr>
        <w:spacing w:after="0" w:line="10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values assigned to the identified intangible assets were estimated</w:t>
      </w:r>
    </w:p>
    <w:p>
      <w:pPr>
        <w:spacing w:after="0" w:line="38" w:lineRule="exact"/>
        <w:rPr>
          <w:sz w:val="24"/>
          <w:szCs w:val="24"/>
          <w:color w:val="auto"/>
        </w:rPr>
      </w:pPr>
    </w:p>
    <w:p>
      <w:pPr>
        <w:ind w:right="2339"/>
        <w:spacing w:after="0" w:line="280" w:lineRule="auto"/>
        <w:rPr>
          <w:sz w:val="20"/>
          <w:szCs w:val="20"/>
          <w:color w:val="auto"/>
        </w:rPr>
      </w:pPr>
      <w:r>
        <w:rPr>
          <w:rFonts w:ascii="Courier New" w:cs="Courier New" w:eastAsia="Courier New" w:hAnsi="Courier New"/>
          <w:sz w:val="16"/>
          <w:szCs w:val="16"/>
          <w:color w:val="auto"/>
        </w:rPr>
        <w:t>using the income approach. Under the income approach, the fair value reflects the present value of the projected cash flows that are expected to be generated. The identified intangible assets will be amortized over the estimated useful lives of the discounted cash flows assumed in the valuation models.</w:t>
      </w:r>
    </w:p>
    <w:p>
      <w:pPr>
        <w:spacing w:after="0" w:line="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following condensed financial information compares the preliminary and</w:t>
      </w:r>
    </w:p>
    <w:p>
      <w:pPr>
        <w:sectPr>
          <w:pgSz w:w="11900" w:h="16874" w:orient="portrait"/>
          <w:cols w:equalWidth="0" w:num="1">
            <w:col w:w="10219"/>
          </w:cols>
          <w:pgMar w:left="240" w:top="213" w:right="1440" w:bottom="0" w:gutter="0" w:footer="0" w:header="0"/>
        </w:sectPr>
      </w:pPr>
    </w:p>
    <w:bookmarkStart w:id="1" w:name="page2"/>
    <w:bookmarkEnd w:id="1"/>
    <w:p>
      <w:pPr>
        <w:ind w:right="3640"/>
        <w:spacing w:after="0" w:line="276" w:lineRule="auto"/>
        <w:rPr>
          <w:sz w:val="20"/>
          <w:szCs w:val="20"/>
          <w:color w:val="auto"/>
        </w:rPr>
      </w:pPr>
      <w:r>
        <w:rPr>
          <w:rFonts w:ascii="Courier New" w:cs="Courier New" w:eastAsia="Courier New" w:hAnsi="Courier New"/>
          <w:sz w:val="16"/>
          <w:szCs w:val="16"/>
          <w:color w:val="auto"/>
        </w:rPr>
        <w:t>current allocations of the purchase price based on the revised fair values of assets and liabilities. The fair values of the majority of the assets have been finalized. However, we continue to assess the allocation of fair value of several assets and liabilities acquired, such as certain fixed assets in Canada, accounts receivable and deferred taxes. We expect to finalize adjustments in the first half of 2005.</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5520" w:type="dxa"/>
            <w:vAlign w:val="bottom"/>
            <w:gridSpan w:val="2"/>
          </w:tcPr>
          <w:p>
            <w:pPr>
              <w:jc w:val="right"/>
              <w:ind w:right="2278"/>
              <w:spacing w:after="0"/>
              <w:rPr>
                <w:sz w:val="20"/>
                <w:szCs w:val="20"/>
                <w:color w:val="auto"/>
              </w:rPr>
            </w:pPr>
            <w:r>
              <w:rPr>
                <w:rFonts w:ascii="Courier New" w:cs="Courier New" w:eastAsia="Courier New" w:hAnsi="Courier New"/>
                <w:sz w:val="16"/>
                <w:szCs w:val="16"/>
                <w:color w:val="auto"/>
              </w:rPr>
              <w:t>Fair Values</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55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246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Preliminary</w:t>
            </w:r>
          </w:p>
        </w:tc>
        <w:tc>
          <w:tcPr>
            <w:tcW w:w="3060" w:type="dxa"/>
            <w:vAlign w:val="bottom"/>
          </w:tcPr>
          <w:p>
            <w:pPr>
              <w:jc w:val="right"/>
              <w:ind w:right="898"/>
              <w:spacing w:after="0"/>
              <w:rPr>
                <w:sz w:val="20"/>
                <w:szCs w:val="20"/>
                <w:color w:val="auto"/>
              </w:rPr>
            </w:pPr>
            <w:r>
              <w:rPr>
                <w:rFonts w:ascii="Courier New" w:cs="Courier New" w:eastAsia="Courier New" w:hAnsi="Courier New"/>
                <w:sz w:val="16"/>
                <w:szCs w:val="16"/>
                <w:color w:val="auto"/>
              </w:rPr>
              <w:t>Current</w:t>
            </w:r>
          </w:p>
        </w:tc>
        <w:tc>
          <w:tcPr>
            <w:tcW w:w="166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Useful Life</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246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September 30, 2004</w:t>
            </w:r>
          </w:p>
        </w:tc>
        <w:tc>
          <w:tcPr>
            <w:tcW w:w="306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December 31, 2004</w:t>
            </w: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2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0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4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60" w:type="dxa"/>
            <w:vAlign w:val="bottom"/>
          </w:tcPr>
          <w:p>
            <w:pPr>
              <w:jc w:val="right"/>
              <w:ind w:right="1598"/>
              <w:spacing w:after="0"/>
              <w:rPr>
                <w:sz w:val="20"/>
                <w:szCs w:val="20"/>
                <w:color w:val="auto"/>
              </w:rPr>
            </w:pPr>
            <w:r>
              <w:rPr>
                <w:rFonts w:ascii="Courier New" w:cs="Courier New" w:eastAsia="Courier New" w:hAnsi="Courier New"/>
                <w:sz w:val="16"/>
                <w:szCs w:val="16"/>
                <w:color w:val="auto"/>
              </w:rPr>
              <w:t>(in thousands)</w:t>
            </w:r>
          </w:p>
        </w:tc>
        <w:tc>
          <w:tcPr>
            <w:tcW w:w="1660" w:type="dxa"/>
            <w:vAlign w:val="bottom"/>
          </w:tcPr>
          <w:p>
            <w:pPr>
              <w:jc w:val="center"/>
              <w:ind w:left="138"/>
              <w:spacing w:after="0"/>
              <w:rPr>
                <w:sz w:val="20"/>
                <w:szCs w:val="20"/>
                <w:color w:val="auto"/>
              </w:rPr>
            </w:pPr>
            <w:r>
              <w:rPr>
                <w:rFonts w:ascii="Courier New" w:cs="Courier New" w:eastAsia="Courier New" w:hAnsi="Courier New"/>
                <w:sz w:val="16"/>
                <w:szCs w:val="16"/>
                <w:color w:val="auto"/>
              </w:rPr>
              <w:t>(in months)</w:t>
            </w:r>
          </w:p>
        </w:tc>
        <w:tc>
          <w:tcPr>
            <w:tcW w:w="0" w:type="dxa"/>
            <w:vAlign w:val="bottom"/>
          </w:tcPr>
          <w:p>
            <w:pPr>
              <w:spacing w:after="0"/>
              <w:rPr>
                <w:sz w:val="1"/>
                <w:szCs w:val="1"/>
                <w:color w:val="auto"/>
              </w:rPr>
            </w:pPr>
          </w:p>
        </w:tc>
      </w:tr>
      <w:tr>
        <w:trPr>
          <w:trHeight w:val="292"/>
        </w:trPr>
        <w:tc>
          <w:tcPr>
            <w:tcW w:w="4340" w:type="dxa"/>
            <w:vAlign w:val="bottom"/>
          </w:tcPr>
          <w:p>
            <w:pPr>
              <w:spacing w:after="0"/>
              <w:rPr>
                <w:sz w:val="20"/>
                <w:szCs w:val="20"/>
                <w:color w:val="auto"/>
              </w:rPr>
            </w:pPr>
            <w:r>
              <w:rPr>
                <w:rFonts w:ascii="Courier New" w:cs="Courier New" w:eastAsia="Courier New" w:hAnsi="Courier New"/>
                <w:sz w:val="16"/>
                <w:szCs w:val="16"/>
                <w:color w:val="auto"/>
              </w:rPr>
              <w:t>Fair value of net assets assumed</w:t>
            </w:r>
          </w:p>
        </w:tc>
        <w:tc>
          <w:tcPr>
            <w:tcW w:w="24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$ 58,358</w:t>
            </w:r>
          </w:p>
        </w:tc>
        <w:tc>
          <w:tcPr>
            <w:tcW w:w="306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$ 56,820</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In-process research and development</w:t>
            </w:r>
          </w:p>
        </w:tc>
        <w:tc>
          <w:tcPr>
            <w:tcW w:w="24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306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6,400</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Identified intangible assets - amortizable</w:t>
            </w:r>
          </w:p>
        </w:tc>
        <w:tc>
          <w:tcPr>
            <w:tcW w:w="246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70,000</w:t>
            </w:r>
          </w:p>
        </w:tc>
        <w:tc>
          <w:tcPr>
            <w:tcW w:w="306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136,900</w:t>
            </w:r>
          </w:p>
        </w:tc>
        <w:tc>
          <w:tcPr>
            <w:tcW w:w="166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96 to 108</w:t>
            </w:r>
          </w:p>
        </w:tc>
        <w:tc>
          <w:tcPr>
            <w:tcW w:w="0" w:type="dxa"/>
            <w:vAlign w:val="bottom"/>
          </w:tcPr>
          <w:p>
            <w:pPr>
              <w:spacing w:after="0"/>
              <w:rPr>
                <w:sz w:val="1"/>
                <w:szCs w:val="1"/>
                <w:color w:val="auto"/>
              </w:rPr>
            </w:pPr>
          </w:p>
        </w:tc>
      </w:tr>
      <w:tr>
        <w:trPr>
          <w:trHeight w:val="190"/>
        </w:trPr>
        <w:tc>
          <w:tcPr>
            <w:tcW w:w="4340" w:type="dxa"/>
            <w:vAlign w:val="bottom"/>
          </w:tcPr>
          <w:p>
            <w:pPr>
              <w:ind w:left="600"/>
              <w:spacing w:after="0"/>
              <w:rPr>
                <w:sz w:val="20"/>
                <w:szCs w:val="20"/>
                <w:color w:val="auto"/>
              </w:rPr>
            </w:pPr>
            <w:r>
              <w:rPr>
                <w:rFonts w:ascii="Courier New" w:cs="Courier New" w:eastAsia="Courier New" w:hAnsi="Courier New"/>
                <w:sz w:val="16"/>
                <w:szCs w:val="16"/>
                <w:color w:val="auto"/>
              </w:rPr>
              <w:t>Core-developed technology</w:t>
            </w:r>
          </w:p>
        </w:tc>
        <w:tc>
          <w:tcPr>
            <w:tcW w:w="2460" w:type="dxa"/>
            <w:vAlign w:val="bottom"/>
            <w:vMerge w:val="continue"/>
          </w:tcPr>
          <w:p>
            <w:pPr>
              <w:spacing w:after="0"/>
              <w:rPr>
                <w:sz w:val="16"/>
                <w:szCs w:val="16"/>
                <w:color w:val="auto"/>
              </w:rPr>
            </w:pPr>
          </w:p>
        </w:tc>
        <w:tc>
          <w:tcPr>
            <w:tcW w:w="306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40" w:type="dxa"/>
            <w:vAlign w:val="bottom"/>
          </w:tcPr>
          <w:p>
            <w:pPr>
              <w:ind w:left="600"/>
              <w:spacing w:after="0"/>
              <w:rPr>
                <w:sz w:val="20"/>
                <w:szCs w:val="20"/>
                <w:color w:val="auto"/>
              </w:rPr>
            </w:pPr>
            <w:r>
              <w:rPr>
                <w:rFonts w:ascii="Courier New" w:cs="Courier New" w:eastAsia="Courier New" w:hAnsi="Courier New"/>
                <w:sz w:val="16"/>
                <w:szCs w:val="16"/>
                <w:color w:val="auto"/>
              </w:rPr>
              <w:t>Contract backlog</w:t>
            </w:r>
          </w:p>
        </w:tc>
        <w:tc>
          <w:tcPr>
            <w:tcW w:w="24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3,000</w:t>
            </w:r>
          </w:p>
        </w:tc>
        <w:tc>
          <w:tcPr>
            <w:tcW w:w="306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1,800</w:t>
            </w:r>
          </w:p>
        </w:tc>
        <w:tc>
          <w:tcPr>
            <w:tcW w:w="1660" w:type="dxa"/>
            <w:vAlign w:val="bottom"/>
          </w:tcPr>
          <w:p>
            <w:pPr>
              <w:ind w:left="780"/>
              <w:spacing w:after="0"/>
              <w:rPr>
                <w:sz w:val="20"/>
                <w:szCs w:val="20"/>
                <w:color w:val="auto"/>
              </w:rPr>
            </w:pPr>
            <w:r>
              <w:rPr>
                <w:rFonts w:ascii="Courier New" w:cs="Courier New" w:eastAsia="Courier New" w:hAnsi="Courier New"/>
                <w:sz w:val="16"/>
                <w:szCs w:val="16"/>
                <w:color w:val="auto"/>
              </w:rPr>
              <w:t>6</w:t>
            </w:r>
          </w:p>
        </w:tc>
        <w:tc>
          <w:tcPr>
            <w:tcW w:w="0" w:type="dxa"/>
            <w:vAlign w:val="bottom"/>
          </w:tcPr>
          <w:p>
            <w:pPr>
              <w:spacing w:after="0"/>
              <w:rPr>
                <w:sz w:val="1"/>
                <w:szCs w:val="1"/>
                <w:color w:val="auto"/>
              </w:rPr>
            </w:pPr>
          </w:p>
        </w:tc>
      </w:tr>
      <w:tr>
        <w:trPr>
          <w:trHeight w:val="190"/>
        </w:trPr>
        <w:tc>
          <w:tcPr>
            <w:tcW w:w="4340" w:type="dxa"/>
            <w:vAlign w:val="bottom"/>
          </w:tcPr>
          <w:p>
            <w:pPr>
              <w:ind w:left="600"/>
              <w:spacing w:after="0"/>
              <w:rPr>
                <w:sz w:val="20"/>
                <w:szCs w:val="20"/>
                <w:color w:val="auto"/>
              </w:rPr>
            </w:pPr>
            <w:r>
              <w:rPr>
                <w:rFonts w:ascii="Courier New" w:cs="Courier New" w:eastAsia="Courier New" w:hAnsi="Courier New"/>
                <w:sz w:val="16"/>
                <w:szCs w:val="16"/>
                <w:color w:val="auto"/>
              </w:rPr>
              <w:t>Customer relationships/contracts</w:t>
            </w:r>
          </w:p>
        </w:tc>
        <w:tc>
          <w:tcPr>
            <w:tcW w:w="24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23,000</w:t>
            </w:r>
          </w:p>
        </w:tc>
        <w:tc>
          <w:tcPr>
            <w:tcW w:w="306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3,100</w:t>
            </w:r>
          </w:p>
        </w:tc>
        <w:tc>
          <w:tcPr>
            <w:tcW w:w="1660" w:type="dxa"/>
            <w:vAlign w:val="bottom"/>
          </w:tcPr>
          <w:p>
            <w:pPr>
              <w:ind w:left="780"/>
              <w:spacing w:after="0"/>
              <w:rPr>
                <w:sz w:val="20"/>
                <w:szCs w:val="20"/>
                <w:color w:val="auto"/>
              </w:rPr>
            </w:pPr>
            <w:r>
              <w:rPr>
                <w:rFonts w:ascii="Courier New" w:cs="Courier New" w:eastAsia="Courier New" w:hAnsi="Courier New"/>
                <w:sz w:val="16"/>
                <w:szCs w:val="16"/>
                <w:color w:val="auto"/>
              </w:rPr>
              <w:t>18</w:t>
            </w:r>
          </w:p>
        </w:tc>
        <w:tc>
          <w:tcPr>
            <w:tcW w:w="0" w:type="dxa"/>
            <w:vAlign w:val="bottom"/>
          </w:tcPr>
          <w:p>
            <w:pPr>
              <w:spacing w:after="0"/>
              <w:rPr>
                <w:sz w:val="1"/>
                <w:szCs w:val="1"/>
                <w:color w:val="auto"/>
              </w:rPr>
            </w:pPr>
          </w:p>
        </w:tc>
      </w:tr>
      <w:tr>
        <w:trPr>
          <w:trHeight w:val="190"/>
        </w:trPr>
        <w:tc>
          <w:tcPr>
            <w:tcW w:w="4340" w:type="dxa"/>
            <w:vAlign w:val="bottom"/>
          </w:tcPr>
          <w:p>
            <w:pPr>
              <w:ind w:left="600"/>
              <w:spacing w:after="0"/>
              <w:rPr>
                <w:sz w:val="20"/>
                <w:szCs w:val="20"/>
                <w:color w:val="auto"/>
              </w:rPr>
            </w:pPr>
            <w:r>
              <w:rPr>
                <w:rFonts w:ascii="Courier New" w:cs="Courier New" w:eastAsia="Courier New" w:hAnsi="Courier New"/>
                <w:sz w:val="16"/>
                <w:szCs w:val="16"/>
                <w:color w:val="auto"/>
              </w:rPr>
              <w:t>Trademarks and trade names</w:t>
            </w:r>
          </w:p>
        </w:tc>
        <w:tc>
          <w:tcPr>
            <w:tcW w:w="24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1,000</w:t>
            </w:r>
          </w:p>
        </w:tc>
        <w:tc>
          <w:tcPr>
            <w:tcW w:w="306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25,200</w:t>
            </w:r>
          </w:p>
        </w:tc>
        <w:tc>
          <w:tcPr>
            <w:tcW w:w="1660" w:type="dxa"/>
            <w:vAlign w:val="bottom"/>
          </w:tcPr>
          <w:p>
            <w:pPr>
              <w:ind w:left="780"/>
              <w:spacing w:after="0"/>
              <w:rPr>
                <w:sz w:val="20"/>
                <w:szCs w:val="20"/>
                <w:color w:val="auto"/>
              </w:rPr>
            </w:pPr>
            <w:r>
              <w:rPr>
                <w:rFonts w:ascii="Courier New" w:cs="Courier New" w:eastAsia="Courier New" w:hAnsi="Courier New"/>
                <w:sz w:val="16"/>
                <w:szCs w:val="16"/>
                <w:color w:val="auto"/>
              </w:rPr>
              <w:t>6</w:t>
            </w:r>
          </w:p>
        </w:tc>
        <w:tc>
          <w:tcPr>
            <w:tcW w:w="0" w:type="dxa"/>
            <w:vAlign w:val="bottom"/>
          </w:tcPr>
          <w:p>
            <w:pPr>
              <w:spacing w:after="0"/>
              <w:rPr>
                <w:sz w:val="1"/>
                <w:szCs w:val="1"/>
                <w:color w:val="auto"/>
              </w:rPr>
            </w:pPr>
          </w:p>
        </w:tc>
      </w:tr>
      <w:tr>
        <w:trPr>
          <w:trHeight w:val="190"/>
        </w:trPr>
        <w:tc>
          <w:tcPr>
            <w:tcW w:w="4340" w:type="dxa"/>
            <w:vAlign w:val="bottom"/>
          </w:tcPr>
          <w:p>
            <w:pPr>
              <w:ind w:left="600"/>
              <w:spacing w:after="0"/>
              <w:rPr>
                <w:sz w:val="20"/>
                <w:szCs w:val="20"/>
                <w:color w:val="auto"/>
              </w:rPr>
            </w:pPr>
            <w:r>
              <w:rPr>
                <w:rFonts w:ascii="Courier New" w:cs="Courier New" w:eastAsia="Courier New" w:hAnsi="Courier New"/>
                <w:sz w:val="16"/>
                <w:szCs w:val="16"/>
                <w:color w:val="auto"/>
              </w:rPr>
              <w:t>Other</w:t>
            </w:r>
          </w:p>
        </w:tc>
        <w:tc>
          <w:tcPr>
            <w:tcW w:w="24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52</w:t>
            </w:r>
          </w:p>
        </w:tc>
        <w:tc>
          <w:tcPr>
            <w:tcW w:w="306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53</w:t>
            </w:r>
          </w:p>
        </w:tc>
        <w:tc>
          <w:tcPr>
            <w:tcW w:w="1660" w:type="dxa"/>
            <w:vAlign w:val="bottom"/>
          </w:tcPr>
          <w:p>
            <w:pPr>
              <w:jc w:val="center"/>
              <w:spacing w:after="0"/>
              <w:rPr>
                <w:sz w:val="20"/>
                <w:szCs w:val="20"/>
                <w:color w:val="auto"/>
              </w:rPr>
            </w:pPr>
            <w:r>
              <w:rPr>
                <w:rFonts w:ascii="Courier New" w:cs="Courier New" w:eastAsia="Courier New" w:hAnsi="Courier New"/>
                <w:sz w:val="16"/>
                <w:szCs w:val="16"/>
                <w:color w:val="auto"/>
              </w:rPr>
              <w:t>120</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24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100,827</w:t>
            </w:r>
          </w:p>
        </w:tc>
        <w:tc>
          <w:tcPr>
            <w:tcW w:w="306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25,851</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40" w:type="dxa"/>
            <w:vAlign w:val="bottom"/>
            <w:vMerge w:val="restart"/>
          </w:tcPr>
          <w:p>
            <w:pPr>
              <w:ind w:left="600"/>
              <w:spacing w:after="0"/>
              <w:rPr>
                <w:sz w:val="20"/>
                <w:szCs w:val="20"/>
                <w:color w:val="auto"/>
              </w:rPr>
            </w:pPr>
            <w:r>
              <w:rPr>
                <w:rFonts w:ascii="Courier New" w:cs="Courier New" w:eastAsia="Courier New" w:hAnsi="Courier New"/>
                <w:sz w:val="16"/>
                <w:szCs w:val="16"/>
                <w:color w:val="auto"/>
              </w:rPr>
              <w:t>Net assets acquired</w:t>
            </w:r>
          </w:p>
        </w:tc>
        <w:tc>
          <w:tcPr>
            <w:tcW w:w="24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75"/>
              </w:rPr>
              <w:t>-----------------------</w:t>
            </w:r>
            <w:r>
              <w:rPr>
                <w:rFonts w:ascii="Courier New" w:cs="Courier New" w:eastAsia="Courier New" w:hAnsi="Courier New"/>
                <w:sz w:val="32"/>
                <w:szCs w:val="32"/>
                <w:color w:val="auto"/>
                <w:w w:val="75"/>
                <w:vertAlign w:val="subscript"/>
              </w:rPr>
              <w:t>$256,237</w:t>
            </w:r>
          </w:p>
        </w:tc>
        <w:tc>
          <w:tcPr>
            <w:tcW w:w="30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40" w:type="dxa"/>
            <w:vAlign w:val="bottom"/>
            <w:vMerge w:val="continue"/>
          </w:tcPr>
          <w:p>
            <w:pPr>
              <w:spacing w:after="0"/>
              <w:rPr>
                <w:sz w:val="16"/>
                <w:szCs w:val="16"/>
                <w:color w:val="auto"/>
              </w:rPr>
            </w:pPr>
          </w:p>
        </w:tc>
        <w:tc>
          <w:tcPr>
            <w:tcW w:w="2460" w:type="dxa"/>
            <w:vAlign w:val="bottom"/>
            <w:vMerge w:val="continue"/>
          </w:tcPr>
          <w:p>
            <w:pPr>
              <w:spacing w:after="0"/>
              <w:rPr>
                <w:sz w:val="16"/>
                <w:szCs w:val="16"/>
                <w:color w:val="auto"/>
              </w:rPr>
            </w:pPr>
          </w:p>
        </w:tc>
        <w:tc>
          <w:tcPr>
            <w:tcW w:w="306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$ 256,124</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434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0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right="4720"/>
        <w:spacing w:after="0" w:line="376" w:lineRule="auto"/>
        <w:rPr>
          <w:sz w:val="20"/>
          <w:szCs w:val="20"/>
          <w:color w:val="auto"/>
        </w:rPr>
      </w:pPr>
      <w:r>
        <w:rPr>
          <w:rFonts w:ascii="Courier New" w:cs="Courier New" w:eastAsia="Courier New" w:hAnsi="Courier New"/>
          <w:sz w:val="16"/>
          <w:szCs w:val="16"/>
          <w:color w:val="auto"/>
        </w:rPr>
        <w:t>Total Company intangible asset amortization expense is expected to be approximately $38.8 million for 2005.</w:t>
      </w:r>
    </w:p>
    <w:p>
      <w:pPr>
        <w:spacing w:after="0" w:line="1" w:lineRule="exact"/>
        <w:rPr>
          <w:sz w:val="20"/>
          <w:szCs w:val="20"/>
          <w:color w:val="auto"/>
        </w:rPr>
      </w:pPr>
    </w:p>
    <w:p>
      <w:pPr>
        <w:ind w:right="3640"/>
        <w:spacing w:after="0" w:line="269" w:lineRule="auto"/>
        <w:rPr>
          <w:sz w:val="20"/>
          <w:szCs w:val="20"/>
          <w:color w:val="auto"/>
        </w:rPr>
      </w:pPr>
      <w:r>
        <w:rPr>
          <w:rFonts w:ascii="Courier New" w:cs="Courier New" w:eastAsia="Courier New" w:hAnsi="Courier New"/>
          <w:sz w:val="16"/>
          <w:szCs w:val="16"/>
          <w:color w:val="auto"/>
        </w:rPr>
        <w:t>The information presented in this Current Report on Form 8-K contains forward-looking statements and certain assumptions upon which such forward-looking statements are in part based. Numerous important factors, including those factors identified in Itron, Inc.'s Annual Report on Form 10-K/A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ectPr>
          <w:pgSz w:w="11900" w:h="16838" w:orient="portrait"/>
          <w:cols w:equalWidth="0" w:num="1">
            <w:col w:w="11520"/>
          </w:cols>
          <w:pgMar w:left="240" w:top="112" w:right="139" w:bottom="1440" w:gutter="0" w:footer="0" w:header="0"/>
        </w:sectPr>
      </w:pPr>
    </w:p>
    <w:bookmarkStart w:id="2" w:name="page3"/>
    <w:bookmarkEnd w:id="2"/>
    <w:p>
      <w:pPr>
        <w:ind w:left="35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jc w:val="both"/>
        <w:ind w:right="3119"/>
        <w:spacing w:after="0" w:line="314"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6"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ITRON, INC.</w:t>
      </w:r>
    </w:p>
    <w:p>
      <w:pPr>
        <w:sectPr>
          <w:pgSz w:w="11900" w:h="16838" w:orient="portrait"/>
          <w:cols w:equalWidth="0" w:num="1">
            <w:col w:w="10219"/>
          </w:cols>
          <w:pgMar w:left="240" w:top="466" w:right="1440" w:bottom="1440" w:gutter="0" w:footer="0" w:header="0"/>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15, 2005</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By:</w:t>
        <w:tab/>
        <w:t>/s/ STEVEN M. HELMBRECHT</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ectPr>
          <w:pgSz w:w="11900" w:h="16838" w:orient="portrait"/>
          <w:cols w:equalWidth="0" w:num="3">
            <w:col w:w="600" w:space="180"/>
            <w:col w:w="2060" w:space="720"/>
            <w:col w:w="6659"/>
          </w:cols>
          <w:pgMar w:left="240" w:top="466" w:right="1440" w:bottom="1440" w:gutter="0" w:footer="0" w:header="0"/>
          <w:type w:val="continuous"/>
        </w:sectPr>
      </w:pPr>
    </w:p>
    <w:p>
      <w:pPr>
        <w:ind w:left="4340"/>
        <w:spacing w:after="0"/>
        <w:rPr>
          <w:sz w:val="20"/>
          <w:szCs w:val="20"/>
          <w:color w:val="auto"/>
        </w:rPr>
      </w:pPr>
      <w:r>
        <w:rPr>
          <w:rFonts w:ascii="Courier New" w:cs="Courier New" w:eastAsia="Courier New" w:hAnsi="Courier New"/>
          <w:sz w:val="16"/>
          <w:szCs w:val="16"/>
          <w:color w:val="auto"/>
        </w:rPr>
        <w:t>Steven M. Helmbrecht</w:t>
      </w:r>
    </w:p>
    <w:p>
      <w:pPr>
        <w:ind w:left="4340"/>
        <w:spacing w:after="0"/>
        <w:rPr>
          <w:sz w:val="20"/>
          <w:szCs w:val="20"/>
          <w:color w:val="auto"/>
        </w:rPr>
      </w:pPr>
      <w:r>
        <w:rPr>
          <w:rFonts w:ascii="Courier New" w:cs="Courier New" w:eastAsia="Courier New" w:hAnsi="Courier New"/>
          <w:sz w:val="16"/>
          <w:szCs w:val="16"/>
          <w:color w:val="auto"/>
        </w:rPr>
        <w:t>Sr. Vice President and Chief</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Financial Officer</w:t>
      </w:r>
    </w:p>
    <w:sectPr>
      <w:pgSz w:w="11900" w:h="16838" w:orient="portrait"/>
      <w:cols w:equalWidth="0" w:num="1">
        <w:col w:w="10219"/>
      </w:cols>
      <w:pgMar w:left="240" w:top="46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09"/>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2019-12-13T15:48:59Z</dcterms:created>
  <dcterms:modified xsi:type="dcterms:W3CDTF">2019-12-13T15:48:59Z</dcterms:modified>
</cp:coreProperties>
</file>