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4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20" w:lineRule="exact"/>
        <w:rPr>
          <w:sz w:val="20"/>
          <w:szCs w:val="20"/>
          <w:color w:val="auto"/>
        </w:rPr>
      </w:pPr>
    </w:p>
    <w:p>
      <w:pPr>
        <w:ind w:firstLine="900"/>
        <w:spacing w:after="0" w:line="277" w:lineRule="auto"/>
        <w:rPr>
          <w:sz w:val="20"/>
          <w:szCs w:val="20"/>
          <w:color w:val="auto"/>
        </w:rPr>
      </w:pPr>
      <w:r>
        <w:rPr>
          <w:rFonts w:ascii="Arial" w:cs="Arial" w:eastAsia="Arial" w:hAnsi="Arial"/>
          <w:sz w:val="18"/>
          <w:szCs w:val="18"/>
          <w:color w:val="auto"/>
        </w:rPr>
        <w:t>On February 15, 2012, Itron, Inc. (the Company) issued a press release announcing their financial results for the three and twelve months ending December 31, 2011.</w:t>
      </w:r>
    </w:p>
    <w:p>
      <w:pPr>
        <w:spacing w:after="0" w:line="13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copy of this press release and accompanying financial statements are attached as Exhibit 99.1.</w:t>
      </w:r>
    </w:p>
    <w:p>
      <w:pPr>
        <w:spacing w:after="0" w:line="212"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15, 2012.</w:t>
      </w:r>
    </w:p>
    <w:p>
      <w:pPr>
        <w:spacing w:after="0" w:line="232"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ITRON, INC.</w:t>
      </w:r>
    </w:p>
    <w:p>
      <w:pPr>
        <w:spacing w:after="0" w:line="279" w:lineRule="exact"/>
        <w:rPr>
          <w:sz w:val="20"/>
          <w:szCs w:val="20"/>
          <w:color w:val="auto"/>
        </w:rPr>
      </w:pPr>
    </w:p>
    <w:p>
      <w:pPr>
        <w:spacing w:after="0"/>
        <w:tabs>
          <w:tab w:leader="none" w:pos="680" w:val="left"/>
          <w:tab w:leader="none" w:pos="5700" w:val="left"/>
          <w:tab w:leader="none" w:pos="6380" w:val="left"/>
        </w:tabs>
        <w:rPr>
          <w:sz w:val="20"/>
          <w:szCs w:val="20"/>
          <w:color w:val="auto"/>
        </w:rPr>
      </w:pPr>
      <w:r>
        <w:rPr>
          <w:rFonts w:ascii="Arial" w:cs="Arial" w:eastAsia="Arial" w:hAnsi="Arial"/>
          <w:sz w:val="18"/>
          <w:szCs w:val="18"/>
          <w:color w:val="auto"/>
        </w:rPr>
        <w:t>Dated:</w:t>
        <w:tab/>
        <w:t>February 15,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Steven M. Helmbrecht</w:t>
      </w:r>
    </w:p>
    <w:p>
      <w:pPr>
        <w:spacing w:after="0" w:line="3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15, 2012.</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Fourth Quarter and Fiscal 2011 Financial Results</w:t>
      </w:r>
    </w:p>
    <w:p>
      <w:pPr>
        <w:spacing w:after="0" w:line="212"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LIBERTY LAKE, Wash.--(BUSINESS WIRE)--February 15, 2012--Itron, Inc. (NASDAQ:ITRI) announced today financial results for its fourth quarter and full year ended December 31, 2011. Highlights include:</w:t>
      </w:r>
    </w:p>
    <w:p>
      <w:pPr>
        <w:spacing w:after="0" w:line="173" w:lineRule="exact"/>
        <w:rPr>
          <w:sz w:val="20"/>
          <w:szCs w:val="20"/>
          <w:color w:val="auto"/>
        </w:rPr>
      </w:pPr>
    </w:p>
    <w:p>
      <w:pPr>
        <w:ind w:left="540" w:hanging="127"/>
        <w:spacing w:after="0"/>
        <w:tabs>
          <w:tab w:leader="none" w:pos="540" w:val="left"/>
        </w:tabs>
        <w:numPr>
          <w:ilvl w:val="0"/>
          <w:numId w:val="1"/>
        </w:numPr>
        <w:rPr>
          <w:rFonts w:ascii="Arial" w:cs="Arial" w:eastAsia="Arial" w:hAnsi="Arial"/>
          <w:sz w:val="22"/>
          <w:szCs w:val="22"/>
          <w:color w:val="auto"/>
        </w:rPr>
      </w:pPr>
      <w:r>
        <w:rPr>
          <w:rFonts w:ascii="Arial" w:cs="Arial" w:eastAsia="Arial" w:hAnsi="Arial"/>
          <w:sz w:val="22"/>
          <w:szCs w:val="22"/>
          <w:color w:val="auto"/>
        </w:rPr>
        <w:t>Quarterly and full year revenues of $642 million and $2.4 billion;</w:t>
      </w:r>
    </w:p>
    <w:p>
      <w:pPr>
        <w:spacing w:after="0" w:line="206" w:lineRule="exact"/>
        <w:rPr>
          <w:rFonts w:ascii="Arial" w:cs="Arial" w:eastAsia="Arial" w:hAnsi="Arial"/>
          <w:sz w:val="22"/>
          <w:szCs w:val="22"/>
          <w:color w:val="auto"/>
        </w:rPr>
      </w:pPr>
    </w:p>
    <w:p>
      <w:pPr>
        <w:ind w:left="420" w:right="320" w:hanging="7"/>
        <w:spacing w:after="0" w:line="251" w:lineRule="auto"/>
        <w:tabs>
          <w:tab w:leader="none" w:pos="550" w:val="left"/>
        </w:tabs>
        <w:numPr>
          <w:ilvl w:val="0"/>
          <w:numId w:val="1"/>
        </w:numPr>
        <w:rPr>
          <w:rFonts w:ascii="Arial" w:cs="Arial" w:eastAsia="Arial" w:hAnsi="Arial"/>
          <w:sz w:val="22"/>
          <w:szCs w:val="22"/>
          <w:color w:val="auto"/>
        </w:rPr>
      </w:pPr>
      <w:r>
        <w:rPr>
          <w:rFonts w:ascii="Arial" w:cs="Arial" w:eastAsia="Arial" w:hAnsi="Arial"/>
          <w:sz w:val="22"/>
          <w:szCs w:val="22"/>
          <w:color w:val="auto"/>
        </w:rPr>
        <w:t>Quarterly and full year GAAP net loss per share of $1.35 and $12.56, inclusive of a non-cash goodwill impairment charge recorded during the year of $585 million, or $14.40 per share;</w:t>
      </w:r>
    </w:p>
    <w:p>
      <w:pPr>
        <w:spacing w:after="0" w:line="173" w:lineRule="exact"/>
        <w:rPr>
          <w:rFonts w:ascii="Arial" w:cs="Arial" w:eastAsia="Arial" w:hAnsi="Arial"/>
          <w:sz w:val="22"/>
          <w:szCs w:val="22"/>
          <w:color w:val="auto"/>
        </w:rPr>
      </w:pPr>
    </w:p>
    <w:p>
      <w:pPr>
        <w:ind w:left="540" w:hanging="127"/>
        <w:spacing w:after="0"/>
        <w:tabs>
          <w:tab w:leader="none" w:pos="540" w:val="left"/>
        </w:tabs>
        <w:numPr>
          <w:ilvl w:val="0"/>
          <w:numId w:val="1"/>
        </w:numPr>
        <w:rPr>
          <w:rFonts w:ascii="Arial" w:cs="Arial" w:eastAsia="Arial" w:hAnsi="Arial"/>
          <w:sz w:val="22"/>
          <w:szCs w:val="22"/>
          <w:color w:val="auto"/>
        </w:rPr>
      </w:pPr>
      <w:r>
        <w:rPr>
          <w:rFonts w:ascii="Arial" w:cs="Arial" w:eastAsia="Arial" w:hAnsi="Arial"/>
          <w:sz w:val="22"/>
          <w:szCs w:val="22"/>
          <w:color w:val="auto"/>
        </w:rPr>
        <w:t>Quarterly and full year non-GAAP diluted net earnings per share of $1.19 and $4.29;</w:t>
      </w:r>
    </w:p>
    <w:p>
      <w:pPr>
        <w:spacing w:after="0" w:line="206" w:lineRule="exact"/>
        <w:rPr>
          <w:rFonts w:ascii="Arial" w:cs="Arial" w:eastAsia="Arial" w:hAnsi="Arial"/>
          <w:sz w:val="22"/>
          <w:szCs w:val="22"/>
          <w:color w:val="auto"/>
        </w:rPr>
      </w:pPr>
    </w:p>
    <w:p>
      <w:pPr>
        <w:ind w:left="540" w:hanging="127"/>
        <w:spacing w:after="0"/>
        <w:tabs>
          <w:tab w:leader="none" w:pos="540" w:val="left"/>
        </w:tabs>
        <w:numPr>
          <w:ilvl w:val="0"/>
          <w:numId w:val="1"/>
        </w:numPr>
        <w:rPr>
          <w:rFonts w:ascii="Arial" w:cs="Arial" w:eastAsia="Arial" w:hAnsi="Arial"/>
          <w:sz w:val="22"/>
          <w:szCs w:val="22"/>
          <w:color w:val="auto"/>
        </w:rPr>
      </w:pPr>
      <w:r>
        <w:rPr>
          <w:rFonts w:ascii="Arial" w:cs="Arial" w:eastAsia="Arial" w:hAnsi="Arial"/>
          <w:sz w:val="22"/>
          <w:szCs w:val="22"/>
          <w:color w:val="auto"/>
        </w:rPr>
        <w:t>Full year cash flow from operations and free cash flow of $252 million and $192 million;</w:t>
      </w:r>
    </w:p>
    <w:p>
      <w:pPr>
        <w:spacing w:after="0" w:line="206" w:lineRule="exact"/>
        <w:rPr>
          <w:rFonts w:ascii="Arial" w:cs="Arial" w:eastAsia="Arial" w:hAnsi="Arial"/>
          <w:sz w:val="22"/>
          <w:szCs w:val="22"/>
          <w:color w:val="auto"/>
        </w:rPr>
      </w:pPr>
    </w:p>
    <w:p>
      <w:pPr>
        <w:ind w:left="540" w:hanging="127"/>
        <w:spacing w:after="0"/>
        <w:tabs>
          <w:tab w:leader="none" w:pos="540" w:val="left"/>
        </w:tabs>
        <w:numPr>
          <w:ilvl w:val="0"/>
          <w:numId w:val="1"/>
        </w:numPr>
        <w:rPr>
          <w:rFonts w:ascii="Arial" w:cs="Arial" w:eastAsia="Arial" w:hAnsi="Arial"/>
          <w:sz w:val="22"/>
          <w:szCs w:val="22"/>
          <w:color w:val="auto"/>
        </w:rPr>
      </w:pPr>
      <w:r>
        <w:rPr>
          <w:rFonts w:ascii="Arial" w:cs="Arial" w:eastAsia="Arial" w:hAnsi="Arial"/>
          <w:sz w:val="22"/>
          <w:szCs w:val="22"/>
          <w:color w:val="auto"/>
        </w:rPr>
        <w:t>Quarterly and full year adjusted EBITDA of $79 million and $313 million;</w:t>
      </w:r>
    </w:p>
    <w:p>
      <w:pPr>
        <w:spacing w:after="0" w:line="206" w:lineRule="exact"/>
        <w:rPr>
          <w:rFonts w:ascii="Arial" w:cs="Arial" w:eastAsia="Arial" w:hAnsi="Arial"/>
          <w:sz w:val="22"/>
          <w:szCs w:val="22"/>
          <w:color w:val="auto"/>
        </w:rPr>
      </w:pPr>
    </w:p>
    <w:p>
      <w:pPr>
        <w:ind w:left="540" w:hanging="127"/>
        <w:spacing w:after="0"/>
        <w:tabs>
          <w:tab w:leader="none" w:pos="540" w:val="left"/>
        </w:tabs>
        <w:numPr>
          <w:ilvl w:val="0"/>
          <w:numId w:val="1"/>
        </w:numPr>
        <w:rPr>
          <w:rFonts w:ascii="Arial" w:cs="Arial" w:eastAsia="Arial" w:hAnsi="Arial"/>
          <w:sz w:val="22"/>
          <w:szCs w:val="22"/>
          <w:color w:val="auto"/>
        </w:rPr>
      </w:pPr>
      <w:r>
        <w:rPr>
          <w:rFonts w:ascii="Arial" w:cs="Arial" w:eastAsia="Arial" w:hAnsi="Arial"/>
          <w:sz w:val="22"/>
          <w:szCs w:val="22"/>
          <w:color w:val="auto"/>
        </w:rPr>
        <w:t>Twelve-month backlog of $766 million and total backlog of $1.3 billion; and</w:t>
      </w:r>
    </w:p>
    <w:p>
      <w:pPr>
        <w:spacing w:after="0" w:line="206" w:lineRule="exact"/>
        <w:rPr>
          <w:rFonts w:ascii="Arial" w:cs="Arial" w:eastAsia="Arial" w:hAnsi="Arial"/>
          <w:sz w:val="22"/>
          <w:szCs w:val="22"/>
          <w:color w:val="auto"/>
        </w:rPr>
      </w:pPr>
    </w:p>
    <w:p>
      <w:pPr>
        <w:ind w:left="540" w:hanging="127"/>
        <w:spacing w:after="0"/>
        <w:tabs>
          <w:tab w:leader="none" w:pos="540" w:val="left"/>
        </w:tabs>
        <w:numPr>
          <w:ilvl w:val="0"/>
          <w:numId w:val="1"/>
        </w:numPr>
        <w:rPr>
          <w:rFonts w:ascii="Arial" w:cs="Arial" w:eastAsia="Arial" w:hAnsi="Arial"/>
          <w:sz w:val="22"/>
          <w:szCs w:val="22"/>
          <w:color w:val="auto"/>
        </w:rPr>
      </w:pPr>
      <w:r>
        <w:rPr>
          <w:rFonts w:ascii="Arial" w:cs="Arial" w:eastAsia="Arial" w:hAnsi="Arial"/>
          <w:sz w:val="22"/>
          <w:szCs w:val="22"/>
          <w:color w:val="auto"/>
        </w:rPr>
        <w:t>Quarterly bookings of $515 million.</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“Our fourth quarter results produced record revenue and cash flow but our profitability was impacted by restructuring charges, the finalization of the goodwill impairment and a warranty charge,” said LeRoy Nosbaum, Itron’s president and chief executive officer. “Our core operating results across electric, gas and water continue to be strong and we are focused on building a platform and infrastructure to support long-term growth and improved profitability.”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Revenues increased $22 million, or 4 percent, for the quarter and $175 million, or 8 percent, for the year compared to the respective periods last year. Changes in foreign currency exchange rates unfavorably impacted revenue by $7.4 million for the quarter, and favorably impacted the year by $61 million. The increase in revenue for the quarter was due to increased OpenWay project revenue in the North America segment and increased electric and gas smart metering projects in the International segment. The revenue growth for the year was primarily due to increased electric, gas and water smart metering projects in the International segment.</w:t>
      </w:r>
    </w:p>
    <w:p>
      <w:pPr>
        <w:spacing w:after="0" w:line="148" w:lineRule="exact"/>
        <w:rPr>
          <w:sz w:val="20"/>
          <w:szCs w:val="20"/>
          <w:color w:val="auto"/>
        </w:rPr>
      </w:pPr>
    </w:p>
    <w:p>
      <w:pPr>
        <w:ind w:right="340"/>
        <w:spacing w:after="0" w:line="238" w:lineRule="auto"/>
        <w:rPr>
          <w:sz w:val="20"/>
          <w:szCs w:val="20"/>
          <w:color w:val="auto"/>
        </w:rPr>
      </w:pPr>
      <w:r>
        <w:rPr>
          <w:rFonts w:ascii="Arial" w:cs="Arial" w:eastAsia="Arial" w:hAnsi="Arial"/>
          <w:sz w:val="22"/>
          <w:szCs w:val="22"/>
          <w:color w:val="auto"/>
        </w:rPr>
        <w:t>Gross margin for the quarter was 29.8 percent, which was consistent with the prior year fourth quarter margin of 29.9 percent. Improvement in gross margin from product mix was offset by higher material costs. Gross margin for the year was 30.5 percent compared to 30.9 percent in 2010. Benefits from increased volumes and product mix were offset by higher material costs, lower OpenWay margins and increased warranty expense.</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GAAP operating expenses were $252 million in the fourth quarter compared to $142 million in the same period last year. The increase in expenses was due to restructuring charges of $65 million and the finalization of a goodwill assessment which resulted in a non-cash impairment charge of $44 million. Expenses for the year were $1.2 billion, an increase of $688 million over last year. The increase was due to restructuring charges of $68 million and a goodwill impairment charge of $585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spacing w:after="0" w:line="252" w:lineRule="auto"/>
        <w:rPr>
          <w:sz w:val="20"/>
          <w:szCs w:val="20"/>
          <w:color w:val="auto"/>
        </w:rPr>
      </w:pPr>
      <w:r>
        <w:rPr>
          <w:rFonts w:ascii="Arial" w:cs="Arial" w:eastAsia="Arial" w:hAnsi="Arial"/>
          <w:sz w:val="21"/>
          <w:szCs w:val="21"/>
          <w:color w:val="auto"/>
        </w:rPr>
        <w:t>Net interest expense was $2.2 million for the quarter and $35.9 million for the year, compared to $12.5 million and $54.3 million in the same periods last year. The company refinanced its bank debt in August 2011 which significantly reduced the interest rate. The decrease in net interest expense was due to lower interest expense resulting from a decreased principal balance and lower effective interest rates. During 2011, we reduced our debt by approximately $178 million.</w:t>
      </w:r>
    </w:p>
    <w:p>
      <w:pPr>
        <w:spacing w:after="0" w:line="175" w:lineRule="exact"/>
        <w:rPr>
          <w:sz w:val="20"/>
          <w:szCs w:val="20"/>
          <w:color w:val="auto"/>
        </w:rPr>
      </w:pPr>
    </w:p>
    <w:p>
      <w:pPr>
        <w:jc w:val="both"/>
        <w:ind w:right="240"/>
        <w:spacing w:after="0" w:line="238" w:lineRule="auto"/>
        <w:rPr>
          <w:sz w:val="20"/>
          <w:szCs w:val="20"/>
          <w:color w:val="auto"/>
        </w:rPr>
      </w:pPr>
      <w:r>
        <w:rPr>
          <w:rFonts w:ascii="Arial" w:cs="Arial" w:eastAsia="Arial" w:hAnsi="Arial"/>
          <w:sz w:val="22"/>
          <w:szCs w:val="22"/>
          <w:color w:val="auto"/>
        </w:rPr>
        <w:t>GAAP net loss and diluted EPS for the fourth quarter and year were $55 million, or $1.35 per share, and $510 million, or $12.56 per share. This compares with net income of $27 million, or 65 cents per share, and $105 million, or $2.56 per share, in the same periods in 2010. The decrease in 2011 net income for the quarter and year was primarily due to expenses related to restructuring and the impairment of goodwill.</w:t>
      </w:r>
    </w:p>
    <w:p>
      <w:pPr>
        <w:spacing w:after="0" w:line="185" w:lineRule="exact"/>
        <w:rPr>
          <w:sz w:val="20"/>
          <w:szCs w:val="20"/>
          <w:color w:val="auto"/>
        </w:rPr>
      </w:pPr>
    </w:p>
    <w:p>
      <w:pPr>
        <w:ind w:right="140"/>
        <w:spacing w:after="0" w:line="275" w:lineRule="auto"/>
        <w:rPr>
          <w:sz w:val="20"/>
          <w:szCs w:val="20"/>
          <w:color w:val="auto"/>
        </w:rPr>
      </w:pPr>
      <w:r>
        <w:rPr>
          <w:rFonts w:ascii="Arial" w:cs="Arial" w:eastAsia="Arial" w:hAnsi="Arial"/>
          <w:sz w:val="19"/>
          <w:szCs w:val="19"/>
          <w:color w:val="auto"/>
        </w:rPr>
        <w:t>Non-GAAP operating expenses for the quarter, which excludes amortization of intangibles, restructuring charges and the impairment of goodwill, increased $2 million over prior year. An increase of $3 million related to product research and development, as well as global marketing activity, was partially offset by a decrease of $1 million due to currency fluctuations. Non-GAAP net income and diluted EPS for the fourth quarter and year were $49 million, or $1.19 per share, and $176 million, or $4.29 per share. This compares with non-GAAP net income of $39 million, or 95 cents per share, and $159 million, or $3.89 per share, in the same periods in 2010. The increase in non-GAAP net income for the quarter was due to increased contribution from the North America segment, decreased interest expense and decreased tax expense. The increase in non-GAAP net income for the year was primarily due to higher operating income in the International segment, lower interest expense and lower tax expense.</w:t>
      </w:r>
    </w:p>
    <w:p>
      <w:pPr>
        <w:spacing w:after="0" w:line="158"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During the fourth quarter, the company repurchased 823,349 shares of Itron common stock at an average price of $35.74 per share pursuant to a Board authorization to repurchase up to $100 million of Itron common stock during a 12 month period beginning October 2011. Approximately 2 percent of the common shares outstanding have been repurchased under the program.</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 of SmartSynch, Inc.</w:t>
      </w:r>
    </w:p>
    <w:p>
      <w:pPr>
        <w:spacing w:after="0" w:line="212"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The company also announced today that it has signed an agreement to acquire SmartSynch, Inc. Excluding amortization of acquired intangible assets, purchase accounting adjustments and acquisition related charges, the company anticipates that the acquisition will add approximately $50 million in revenues and be dilutive to non-GAAP net earnings per share by less than $0.10 for fiscal year 2012. The acquisition is anticipated to be accretive to revenue and non-GAAP earnings per share in fiscal year 2013.</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Itron’s guidance for the full-year 2012 is as follows:</w:t>
      </w:r>
    </w:p>
    <w:p>
      <w:pPr>
        <w:spacing w:after="0" w:line="206" w:lineRule="exact"/>
        <w:rPr>
          <w:sz w:val="20"/>
          <w:szCs w:val="20"/>
          <w:color w:val="auto"/>
        </w:rPr>
      </w:pPr>
    </w:p>
    <w:p>
      <w:pPr>
        <w:ind w:left="540" w:hanging="127"/>
        <w:spacing w:after="0"/>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 between $2.1 billion and $2.3 billion</w:t>
      </w:r>
    </w:p>
    <w:p>
      <w:pPr>
        <w:spacing w:after="0" w:line="206" w:lineRule="exact"/>
        <w:rPr>
          <w:rFonts w:ascii="Arial" w:cs="Arial" w:eastAsia="Arial" w:hAnsi="Arial"/>
          <w:sz w:val="22"/>
          <w:szCs w:val="22"/>
          <w:color w:val="auto"/>
        </w:rPr>
      </w:pPr>
    </w:p>
    <w:p>
      <w:pPr>
        <w:ind w:left="540" w:hanging="127"/>
        <w:spacing w:after="0"/>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diluted EPS between $3.80 and $4.20</w:t>
      </w:r>
    </w:p>
    <w:p>
      <w:pPr>
        <w:spacing w:after="0" w:line="206"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The company’s guidance assumes a gross margin of 32 percent, a Euro to U.S. dollar average exchange rate of $1.37, average shares outstanding of approximately 40.4 million and a non-GAAP effective tax rate of 27percent. The guidance also includes the anticipated financial impact of the acquisition of SmartSynch,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Earnings Conference Call:</w:t>
      </w:r>
    </w:p>
    <w:p>
      <w:pPr>
        <w:spacing w:after="0" w:line="213"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 xml:space="preserve">Itron will host a conference call to discuss the financial results and guidance contained in this release at 5:00 p.m. Eastern Daylight Time (EST) on February 15, 2012. The call will be webcast in a listen-only mode. Webcast information and conference call materials will be made available 15 minutes before the start of the call and are accessible on Itron’s website at </w:t>
      </w:r>
      <w:r>
        <w:rPr>
          <w:rFonts w:ascii="Arial" w:cs="Arial" w:eastAsia="Arial" w:hAnsi="Arial"/>
          <w:sz w:val="19"/>
          <w:szCs w:val="19"/>
          <w:u w:val="single" w:color="auto"/>
          <w:color w:val="auto"/>
        </w:rPr>
        <w:t>www.itron.com</w:t>
      </w:r>
      <w:r>
        <w:rPr>
          <w:rFonts w:ascii="Arial" w:cs="Arial" w:eastAsia="Arial" w:hAnsi="Arial"/>
          <w:sz w:val="19"/>
          <w:szCs w:val="19"/>
          <w:color w:val="auto"/>
        </w:rPr>
        <w:t xml:space="preserve"> under the Investors page. The webcast replay will begin after the conclusion of the live call and will be available for two weeks. A telephone replay of the call will also be available approximately one hour after the conclusion of the live call, for 48 hours, and is accessible by dialing (888) 203-1112 (Domestic) or (719) 457-0820 (International), entering passcode 7499552.</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360"/>
        <w:spacing w:after="0" w:line="236" w:lineRule="auto"/>
        <w:rPr>
          <w:sz w:val="20"/>
          <w:szCs w:val="20"/>
          <w:color w:val="auto"/>
        </w:rPr>
      </w:pPr>
      <w:r>
        <w:rPr>
          <w:rFonts w:ascii="Arial" w:cs="Arial" w:eastAsia="Arial" w:hAnsi="Arial"/>
          <w:sz w:val="22"/>
          <w:szCs w:val="22"/>
          <w:color w:val="auto"/>
        </w:rPr>
        <w:t xml:space="preserve">Itron is the leading provider of energy and water resource management solutions for nearly 8,000 utilities around the world. We offer end-to-end solutions that include electricity, gas, water and heat measurement and control technology; communications systems; software; and professional services. With nearly 10,000 employees doing business in more than 130 countries, Itron empowers utilities to responsibly and efficiently manage energy and water resources. To realize a sustainable future, start here: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release contains forward-looking statements concerning our expectations about operations, financial performance, sales, earnings and cash flows. These statements reflect our current plans and expectations and are based on information currently available. The statements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estimates for stock-based and bonus compensation, increasing volatility in foreign exchange rates, international business risks and other factors which are more fully described in our Annual Report on Form 10-K for the year ended December 31, 2010 and other reports on file with the Securities and Exchange Commission. Itron undertakes no obligation to update publicly or revise any forward-looking statements, including our business outlook.</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and free cash flow.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or non-cash costs, particularly those associated with acquisitions. We exclude certain infrequent costs, particularly those associated with acquisitions, in our non-GAAP financial measures as we believe the net result is a measure of our core business. Non-GAAP performance measures should be considered in addition to, and not as a substitute for, results prepared in accordance with GAAP. Finally,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0" w:lineRule="exact"/>
        <w:rPr>
          <w:sz w:val="20"/>
          <w:szCs w:val="20"/>
          <w:color w:val="auto"/>
        </w:rPr>
      </w:pPr>
    </w:p>
    <w:p>
      <w:pPr>
        <w:spacing w:after="0" w:line="209"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Statements of operations, segment information, balance sheets, cash flow statements and reconciliations of non-GAAP financial measures to the most directly comparable GAAP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2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40" w:type="dxa"/>
            <w:vAlign w:val="bottom"/>
          </w:tcPr>
          <w:p>
            <w:pPr>
              <w:spacing w:after="0"/>
              <w:rPr>
                <w:sz w:val="15"/>
                <w:szCs w:val="15"/>
                <w:color w:val="auto"/>
              </w:rPr>
            </w:pPr>
          </w:p>
        </w:tc>
        <w:tc>
          <w:tcPr>
            <w:tcW w:w="2820" w:type="dxa"/>
            <w:vAlign w:val="bottom"/>
            <w:gridSpan w:val="4"/>
            <w:vMerge w:val="restart"/>
          </w:tcPr>
          <w:p>
            <w:pPr>
              <w:jc w:val="right"/>
              <w:ind w:right="408"/>
              <w:spacing w:after="0"/>
              <w:rPr>
                <w:sz w:val="20"/>
                <w:szCs w:val="20"/>
                <w:color w:val="auto"/>
              </w:rPr>
            </w:pPr>
            <w:r>
              <w:rPr>
                <w:rFonts w:ascii="Arial" w:cs="Arial" w:eastAsia="Arial" w:hAnsi="Arial"/>
                <w:sz w:val="14"/>
                <w:szCs w:val="14"/>
                <w:b w:val="1"/>
                <w:bCs w:val="1"/>
                <w:color w:val="auto"/>
                <w:w w:val="99"/>
              </w:rPr>
              <w:t>Three Months Ended December 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80" w:type="dxa"/>
            <w:vAlign w:val="bottom"/>
            <w:gridSpan w:val="4"/>
            <w:vMerge w:val="restart"/>
          </w:tcPr>
          <w:p>
            <w:pPr>
              <w:jc w:val="right"/>
              <w:ind w:right="468"/>
              <w:spacing w:after="0"/>
              <w:rPr>
                <w:sz w:val="20"/>
                <w:szCs w:val="20"/>
                <w:color w:val="auto"/>
              </w:rPr>
            </w:pPr>
            <w:r>
              <w:rPr>
                <w:rFonts w:ascii="Arial" w:cs="Arial" w:eastAsia="Arial" w:hAnsi="Arial"/>
                <w:sz w:val="14"/>
                <w:szCs w:val="14"/>
                <w:b w:val="1"/>
                <w:bCs w:val="1"/>
                <w:color w:val="auto"/>
                <w:w w:val="99"/>
              </w:rPr>
              <w:t>Twelve Months Ended December 31,</w:t>
            </w:r>
          </w:p>
        </w:tc>
        <w:tc>
          <w:tcPr>
            <w:tcW w:w="0" w:type="dxa"/>
            <w:vAlign w:val="bottom"/>
          </w:tcPr>
          <w:p>
            <w:pPr>
              <w:spacing w:after="0"/>
              <w:rPr>
                <w:sz w:val="1"/>
                <w:szCs w:val="1"/>
                <w:color w:val="auto"/>
              </w:rPr>
            </w:pPr>
          </w:p>
        </w:tc>
      </w:tr>
      <w:tr>
        <w:trPr>
          <w:trHeight w:val="174"/>
        </w:trPr>
        <w:tc>
          <w:tcPr>
            <w:tcW w:w="48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64"/>
        </w:trPr>
        <w:tc>
          <w:tcPr>
            <w:tcW w:w="4820" w:type="dxa"/>
            <w:vAlign w:val="bottom"/>
          </w:tcPr>
          <w:p>
            <w:pPr>
              <w:spacing w:after="0"/>
              <w:rPr>
                <w:sz w:val="20"/>
                <w:szCs w:val="20"/>
                <w:color w:val="auto"/>
              </w:rPr>
            </w:pPr>
            <w:r>
              <w:rPr>
                <w:rFonts w:ascii="Arial" w:cs="Arial" w:eastAsia="Arial" w:hAnsi="Arial"/>
                <w:sz w:val="14"/>
                <w:szCs w:val="14"/>
                <w:color w:val="auto"/>
              </w:rPr>
              <w:t>Revenues</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642,477</w:t>
            </w:r>
          </w:p>
        </w:tc>
        <w:tc>
          <w:tcPr>
            <w:tcW w:w="160" w:type="dxa"/>
            <w:vAlign w:val="bottom"/>
          </w:tcPr>
          <w:p>
            <w:pPr>
              <w:spacing w:after="0"/>
              <w:rPr>
                <w:sz w:val="14"/>
                <w:szCs w:val="14"/>
                <w:color w:val="auto"/>
              </w:rPr>
            </w:pP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620,658</w:t>
            </w:r>
          </w:p>
        </w:tc>
        <w:tc>
          <w:tcPr>
            <w:tcW w:w="100" w:type="dxa"/>
            <w:vAlign w:val="bottom"/>
          </w:tcPr>
          <w:p>
            <w:pPr>
              <w:spacing w:after="0"/>
              <w:rPr>
                <w:sz w:val="14"/>
                <w:szCs w:val="14"/>
                <w:color w:val="auto"/>
              </w:rPr>
            </w:pP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2,434,124</w:t>
            </w:r>
          </w:p>
        </w:tc>
        <w:tc>
          <w:tcPr>
            <w:tcW w:w="140" w:type="dxa"/>
            <w:vAlign w:val="bottom"/>
          </w:tcPr>
          <w:p>
            <w:pPr>
              <w:spacing w:after="0"/>
              <w:rPr>
                <w:sz w:val="14"/>
                <w:szCs w:val="14"/>
                <w:color w:val="auto"/>
              </w:rPr>
            </w:pP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2,259,271</w:t>
            </w:r>
          </w:p>
        </w:tc>
        <w:tc>
          <w:tcPr>
            <w:tcW w:w="0" w:type="dxa"/>
            <w:vAlign w:val="bottom"/>
          </w:tcPr>
          <w:p>
            <w:pPr>
              <w:spacing w:after="0"/>
              <w:rPr>
                <w:sz w:val="1"/>
                <w:szCs w:val="1"/>
                <w:color w:val="auto"/>
              </w:rPr>
            </w:pPr>
          </w:p>
        </w:tc>
      </w:tr>
      <w:tr>
        <w:trPr>
          <w:trHeight w:val="181"/>
        </w:trPr>
        <w:tc>
          <w:tcPr>
            <w:tcW w:w="4820" w:type="dxa"/>
            <w:vAlign w:val="bottom"/>
          </w:tcPr>
          <w:p>
            <w:pPr>
              <w:spacing w:after="0"/>
              <w:rPr>
                <w:sz w:val="20"/>
                <w:szCs w:val="20"/>
                <w:color w:val="auto"/>
              </w:rPr>
            </w:pPr>
            <w:r>
              <w:rPr>
                <w:rFonts w:ascii="Arial" w:cs="Arial" w:eastAsia="Arial" w:hAnsi="Arial"/>
                <w:sz w:val="14"/>
                <w:szCs w:val="14"/>
                <w:color w:val="auto"/>
              </w:rPr>
              <w:t>Cost of revenues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450,870</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435,302</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1,691,146</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1,561,032</w:t>
            </w:r>
          </w:p>
        </w:tc>
        <w:tc>
          <w:tcPr>
            <w:tcW w:w="0" w:type="dxa"/>
            <w:vAlign w:val="bottom"/>
          </w:tcPr>
          <w:p>
            <w:pPr>
              <w:spacing w:after="0"/>
              <w:rPr>
                <w:sz w:val="1"/>
                <w:szCs w:val="1"/>
                <w:color w:val="auto"/>
              </w:rPr>
            </w:pPr>
          </w:p>
        </w:tc>
      </w:tr>
      <w:tr>
        <w:trPr>
          <w:trHeight w:val="176"/>
        </w:trPr>
        <w:tc>
          <w:tcPr>
            <w:tcW w:w="4820" w:type="dxa"/>
            <w:vAlign w:val="bottom"/>
          </w:tcPr>
          <w:p>
            <w:pPr>
              <w:spacing w:after="0"/>
              <w:rPr>
                <w:sz w:val="20"/>
                <w:szCs w:val="20"/>
                <w:color w:val="auto"/>
              </w:rPr>
            </w:pPr>
            <w:r>
              <w:rPr>
                <w:rFonts w:ascii="Arial" w:cs="Arial" w:eastAsia="Arial" w:hAnsi="Arial"/>
                <w:sz w:val="14"/>
                <w:szCs w:val="14"/>
                <w:color w:val="auto"/>
              </w:rPr>
              <w:t>Gross profit</w:t>
            </w:r>
          </w:p>
        </w:tc>
        <w:tc>
          <w:tcPr>
            <w:tcW w:w="34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191,607</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185,356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742,978</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698,239</w:t>
            </w:r>
          </w:p>
        </w:tc>
        <w:tc>
          <w:tcPr>
            <w:tcW w:w="0" w:type="dxa"/>
            <w:vAlign w:val="bottom"/>
          </w:tcPr>
          <w:p>
            <w:pPr>
              <w:spacing w:after="0"/>
              <w:rPr>
                <w:sz w:val="1"/>
                <w:szCs w:val="1"/>
                <w:color w:val="auto"/>
              </w:rPr>
            </w:pPr>
          </w:p>
        </w:tc>
      </w:tr>
      <w:tr>
        <w:trPr>
          <w:trHeight w:val="339"/>
        </w:trPr>
        <w:tc>
          <w:tcPr>
            <w:tcW w:w="4820" w:type="dxa"/>
            <w:vAlign w:val="bottom"/>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34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47,267</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47,968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185,797</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171,676</w:t>
            </w:r>
          </w:p>
        </w:tc>
        <w:tc>
          <w:tcPr>
            <w:tcW w:w="0" w:type="dxa"/>
            <w:vAlign w:val="bottom"/>
          </w:tcPr>
          <w:p>
            <w:pPr>
              <w:spacing w:after="0"/>
              <w:rPr>
                <w:sz w:val="1"/>
                <w:szCs w:val="1"/>
                <w:color w:val="auto"/>
              </w:rPr>
            </w:pPr>
          </w:p>
        </w:tc>
      </w:tr>
      <w:tr>
        <w:trPr>
          <w:trHeight w:val="176"/>
        </w:trPr>
        <w:tc>
          <w:tcPr>
            <w:tcW w:w="4820" w:type="dxa"/>
            <w:vAlign w:val="bottom"/>
          </w:tcPr>
          <w:p>
            <w:pPr>
              <w:ind w:left="340"/>
              <w:spacing w:after="0"/>
              <w:rPr>
                <w:sz w:val="20"/>
                <w:szCs w:val="20"/>
                <w:color w:val="auto"/>
              </w:rPr>
            </w:pPr>
            <w:r>
              <w:rPr>
                <w:rFonts w:ascii="Arial" w:cs="Arial" w:eastAsia="Arial" w:hAnsi="Arial"/>
                <w:sz w:val="14"/>
                <w:szCs w:val="14"/>
                <w:color w:val="auto"/>
              </w:rPr>
              <w:t>Product development</w:t>
            </w:r>
          </w:p>
        </w:tc>
        <w:tc>
          <w:tcPr>
            <w:tcW w:w="34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42,481</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40,129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162,529</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140,229</w:t>
            </w:r>
          </w:p>
        </w:tc>
        <w:tc>
          <w:tcPr>
            <w:tcW w:w="0" w:type="dxa"/>
            <w:vAlign w:val="bottom"/>
          </w:tcPr>
          <w:p>
            <w:pPr>
              <w:spacing w:after="0"/>
              <w:rPr>
                <w:sz w:val="1"/>
                <w:szCs w:val="1"/>
                <w:color w:val="auto"/>
              </w:rPr>
            </w:pPr>
          </w:p>
        </w:tc>
      </w:tr>
      <w:tr>
        <w:trPr>
          <w:trHeight w:val="176"/>
        </w:trPr>
        <w:tc>
          <w:tcPr>
            <w:tcW w:w="4820" w:type="dxa"/>
            <w:vAlign w:val="bottom"/>
          </w:tcPr>
          <w:p>
            <w:pPr>
              <w:ind w:left="340"/>
              <w:spacing w:after="0"/>
              <w:rPr>
                <w:sz w:val="20"/>
                <w:szCs w:val="20"/>
                <w:color w:val="auto"/>
              </w:rPr>
            </w:pPr>
            <w:r>
              <w:rPr>
                <w:rFonts w:ascii="Arial" w:cs="Arial" w:eastAsia="Arial" w:hAnsi="Arial"/>
                <w:sz w:val="14"/>
                <w:szCs w:val="14"/>
                <w:color w:val="auto"/>
              </w:rPr>
              <w:t>General and administrative</w:t>
            </w:r>
          </w:p>
        </w:tc>
        <w:tc>
          <w:tcPr>
            <w:tcW w:w="34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36,851</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36,034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137,512</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133,086</w:t>
            </w:r>
          </w:p>
        </w:tc>
        <w:tc>
          <w:tcPr>
            <w:tcW w:w="0" w:type="dxa"/>
            <w:vAlign w:val="bottom"/>
          </w:tcPr>
          <w:p>
            <w:pPr>
              <w:spacing w:after="0"/>
              <w:rPr>
                <w:sz w:val="1"/>
                <w:szCs w:val="1"/>
                <w:color w:val="auto"/>
              </w:rPr>
            </w:pPr>
          </w:p>
        </w:tc>
      </w:tr>
      <w:tr>
        <w:trPr>
          <w:trHeight w:val="176"/>
        </w:trPr>
        <w:tc>
          <w:tcPr>
            <w:tcW w:w="4820" w:type="dxa"/>
            <w:vAlign w:val="bottom"/>
          </w:tcPr>
          <w:p>
            <w:pPr>
              <w:ind w:left="34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15,587</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17,592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63,394</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69,051</w:t>
            </w:r>
          </w:p>
        </w:tc>
        <w:tc>
          <w:tcPr>
            <w:tcW w:w="0" w:type="dxa"/>
            <w:vAlign w:val="bottom"/>
          </w:tcPr>
          <w:p>
            <w:pPr>
              <w:spacing w:after="0"/>
              <w:rPr>
                <w:sz w:val="1"/>
                <w:szCs w:val="1"/>
                <w:color w:val="auto"/>
              </w:rPr>
            </w:pPr>
          </w:p>
        </w:tc>
      </w:tr>
      <w:tr>
        <w:trPr>
          <w:trHeight w:val="176"/>
        </w:trPr>
        <w:tc>
          <w:tcPr>
            <w:tcW w:w="4820" w:type="dxa"/>
            <w:vAlign w:val="bottom"/>
          </w:tcPr>
          <w:p>
            <w:pPr>
              <w:ind w:left="340"/>
              <w:spacing w:after="0"/>
              <w:rPr>
                <w:sz w:val="20"/>
                <w:szCs w:val="20"/>
                <w:color w:val="auto"/>
              </w:rPr>
            </w:pPr>
            <w:r>
              <w:rPr>
                <w:rFonts w:ascii="Arial" w:cs="Arial" w:eastAsia="Arial" w:hAnsi="Arial"/>
                <w:sz w:val="14"/>
                <w:szCs w:val="14"/>
                <w:color w:val="auto"/>
              </w:rPr>
              <w:t>Restructuring expense</w:t>
            </w:r>
          </w:p>
        </w:tc>
        <w:tc>
          <w:tcPr>
            <w:tcW w:w="34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65,079</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68,082</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820" w:type="dxa"/>
            <w:vAlign w:val="bottom"/>
          </w:tcPr>
          <w:p>
            <w:pPr>
              <w:ind w:left="340"/>
              <w:spacing w:after="0"/>
              <w:rPr>
                <w:sz w:val="20"/>
                <w:szCs w:val="20"/>
                <w:color w:val="auto"/>
              </w:rPr>
            </w:pPr>
            <w:r>
              <w:rPr>
                <w:rFonts w:ascii="Arial" w:cs="Arial" w:eastAsia="Arial" w:hAnsi="Arial"/>
                <w:sz w:val="14"/>
                <w:szCs w:val="14"/>
                <w:color w:val="auto"/>
              </w:rPr>
              <w:t>Goodwill impairment</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44,447</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584,847</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820" w:type="dxa"/>
            <w:vAlign w:val="bottom"/>
          </w:tcPr>
          <w:p>
            <w:pPr>
              <w:ind w:left="54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251,712</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141,723</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1,202,161</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514,042</w:t>
            </w:r>
          </w:p>
        </w:tc>
        <w:tc>
          <w:tcPr>
            <w:tcW w:w="0" w:type="dxa"/>
            <w:vAlign w:val="bottom"/>
          </w:tcPr>
          <w:p>
            <w:pPr>
              <w:spacing w:after="0"/>
              <w:rPr>
                <w:sz w:val="1"/>
                <w:szCs w:val="1"/>
                <w:color w:val="auto"/>
              </w:rPr>
            </w:pPr>
          </w:p>
        </w:tc>
      </w:tr>
      <w:tr>
        <w:trPr>
          <w:trHeight w:val="339"/>
        </w:trPr>
        <w:tc>
          <w:tcPr>
            <w:tcW w:w="4820" w:type="dxa"/>
            <w:vAlign w:val="bottom"/>
          </w:tcPr>
          <w:p>
            <w:pPr>
              <w:spacing w:after="0"/>
              <w:rPr>
                <w:sz w:val="20"/>
                <w:szCs w:val="20"/>
                <w:color w:val="auto"/>
              </w:rPr>
            </w:pPr>
            <w:r>
              <w:rPr>
                <w:rFonts w:ascii="Arial" w:cs="Arial" w:eastAsia="Arial" w:hAnsi="Arial"/>
                <w:sz w:val="14"/>
                <w:szCs w:val="14"/>
                <w:color w:val="auto"/>
              </w:rPr>
              <w:t>Operating income (loss)</w:t>
            </w:r>
          </w:p>
        </w:tc>
        <w:tc>
          <w:tcPr>
            <w:tcW w:w="34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(60,105)</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43,633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(459,183)</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184,197</w:t>
            </w:r>
          </w:p>
        </w:tc>
        <w:tc>
          <w:tcPr>
            <w:tcW w:w="0" w:type="dxa"/>
            <w:vAlign w:val="bottom"/>
          </w:tcPr>
          <w:p>
            <w:pPr>
              <w:spacing w:after="0"/>
              <w:rPr>
                <w:sz w:val="1"/>
                <w:szCs w:val="1"/>
                <w:color w:val="auto"/>
              </w:rPr>
            </w:pPr>
          </w:p>
        </w:tc>
      </w:tr>
      <w:tr>
        <w:trPr>
          <w:trHeight w:val="176"/>
        </w:trPr>
        <w:tc>
          <w:tcPr>
            <w:tcW w:w="4820" w:type="dxa"/>
            <w:vAlign w:val="bottom"/>
          </w:tcPr>
          <w:p>
            <w:pPr>
              <w:spacing w:after="0"/>
              <w:rPr>
                <w:sz w:val="20"/>
                <w:szCs w:val="20"/>
                <w:color w:val="auto"/>
              </w:rPr>
            </w:pPr>
            <w:r>
              <w:rPr>
                <w:rFonts w:ascii="Arial" w:cs="Arial" w:eastAsia="Arial" w:hAnsi="Arial"/>
                <w:sz w:val="14"/>
                <w:szCs w:val="14"/>
                <w:color w:val="auto"/>
              </w:rPr>
              <w:t>Other income (expense)</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340"/>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231</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862</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76"/>
        </w:trPr>
        <w:tc>
          <w:tcPr>
            <w:tcW w:w="4820" w:type="dxa"/>
            <w:vAlign w:val="bottom"/>
          </w:tcPr>
          <w:p>
            <w:pPr>
              <w:ind w:left="34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(2,464)</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(12,688)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(36,794)</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(54,904)</w:t>
            </w:r>
          </w:p>
        </w:tc>
        <w:tc>
          <w:tcPr>
            <w:tcW w:w="0" w:type="dxa"/>
            <w:vAlign w:val="bottom"/>
          </w:tcPr>
          <w:p>
            <w:pPr>
              <w:spacing w:after="0"/>
              <w:rPr>
                <w:sz w:val="1"/>
                <w:szCs w:val="1"/>
                <w:color w:val="auto"/>
              </w:rPr>
            </w:pPr>
          </w:p>
        </w:tc>
      </w:tr>
      <w:tr>
        <w:trPr>
          <w:trHeight w:val="181"/>
        </w:trPr>
        <w:tc>
          <w:tcPr>
            <w:tcW w:w="4820" w:type="dxa"/>
            <w:vAlign w:val="bottom"/>
          </w:tcPr>
          <w:p>
            <w:pPr>
              <w:ind w:left="340"/>
              <w:spacing w:after="0"/>
              <w:rPr>
                <w:sz w:val="20"/>
                <w:szCs w:val="20"/>
                <w:color w:val="auto"/>
              </w:rPr>
            </w:pPr>
            <w:r>
              <w:rPr>
                <w:rFonts w:ascii="Arial" w:cs="Arial" w:eastAsia="Arial" w:hAnsi="Arial"/>
                <w:sz w:val="14"/>
                <w:szCs w:val="14"/>
                <w:color w:val="auto"/>
              </w:rPr>
              <w:t>Other income (expense), net</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(3,392)</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(3,701)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(10,612)</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(9,141)</w:t>
            </w:r>
          </w:p>
        </w:tc>
        <w:tc>
          <w:tcPr>
            <w:tcW w:w="0" w:type="dxa"/>
            <w:vAlign w:val="bottom"/>
          </w:tcPr>
          <w:p>
            <w:pPr>
              <w:spacing w:after="0"/>
              <w:rPr>
                <w:sz w:val="1"/>
                <w:szCs w:val="1"/>
                <w:color w:val="auto"/>
              </w:rPr>
            </w:pPr>
          </w:p>
        </w:tc>
      </w:tr>
      <w:tr>
        <w:trPr>
          <w:trHeight w:val="169"/>
        </w:trPr>
        <w:tc>
          <w:tcPr>
            <w:tcW w:w="4820" w:type="dxa"/>
            <w:vAlign w:val="bottom"/>
          </w:tcPr>
          <w:p>
            <w:pPr>
              <w:ind w:left="540"/>
              <w:spacing w:after="0"/>
              <w:rPr>
                <w:sz w:val="20"/>
                <w:szCs w:val="20"/>
                <w:color w:val="auto"/>
              </w:rPr>
            </w:pPr>
            <w:r>
              <w:rPr>
                <w:rFonts w:ascii="Arial" w:cs="Arial" w:eastAsia="Arial" w:hAnsi="Arial"/>
                <w:sz w:val="14"/>
                <w:szCs w:val="14"/>
                <w:color w:val="auto"/>
              </w:rPr>
              <w:t>Total other income (expense)</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(5,625)</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(16,241)</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(46,544)</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(63,453)</w:t>
            </w:r>
          </w:p>
        </w:tc>
        <w:tc>
          <w:tcPr>
            <w:tcW w:w="0" w:type="dxa"/>
            <w:vAlign w:val="bottom"/>
          </w:tcPr>
          <w:p>
            <w:pPr>
              <w:spacing w:after="0"/>
              <w:rPr>
                <w:sz w:val="1"/>
                <w:szCs w:val="1"/>
                <w:color w:val="auto"/>
              </w:rPr>
            </w:pPr>
          </w:p>
        </w:tc>
      </w:tr>
      <w:tr>
        <w:trPr>
          <w:trHeight w:val="339"/>
        </w:trPr>
        <w:tc>
          <w:tcPr>
            <w:tcW w:w="482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34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(65,730)</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27,392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(505,727)</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120,744</w:t>
            </w:r>
          </w:p>
        </w:tc>
        <w:tc>
          <w:tcPr>
            <w:tcW w:w="0" w:type="dxa"/>
            <w:vAlign w:val="bottom"/>
          </w:tcPr>
          <w:p>
            <w:pPr>
              <w:spacing w:after="0"/>
              <w:rPr>
                <w:sz w:val="1"/>
                <w:szCs w:val="1"/>
                <w:color w:val="auto"/>
              </w:rPr>
            </w:pPr>
          </w:p>
        </w:tc>
      </w:tr>
      <w:tr>
        <w:trPr>
          <w:trHeight w:val="181"/>
        </w:trPr>
        <w:tc>
          <w:tcPr>
            <w:tcW w:w="4820" w:type="dxa"/>
            <w:vAlign w:val="bottom"/>
          </w:tcPr>
          <w:p>
            <w:pPr>
              <w:spacing w:after="0"/>
              <w:rPr>
                <w:sz w:val="20"/>
                <w:szCs w:val="20"/>
                <w:color w:val="auto"/>
              </w:rPr>
            </w:pPr>
            <w:r>
              <w:rPr>
                <w:rFonts w:ascii="Arial" w:cs="Arial" w:eastAsia="Arial" w:hAnsi="Arial"/>
                <w:sz w:val="14"/>
                <w:szCs w:val="14"/>
                <w:color w:val="auto"/>
              </w:rPr>
              <w:t>Income tax (provision) benefit</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11,099</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(4,430)</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(15,974)</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20"/>
                <w:szCs w:val="20"/>
                <w:color w:val="auto"/>
              </w:rPr>
            </w:pPr>
            <w:r>
              <w:rPr>
                <w:rFonts w:ascii="Arial" w:cs="Arial" w:eastAsia="Arial" w:hAnsi="Arial"/>
                <w:sz w:val="14"/>
                <w:szCs w:val="14"/>
                <w:color w:val="auto"/>
              </w:rPr>
              <w:t>Net income (loss)</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(54,631)</w:t>
            </w:r>
          </w:p>
        </w:tc>
        <w:tc>
          <w:tcPr>
            <w:tcW w:w="160" w:type="dxa"/>
            <w:vAlign w:val="bottom"/>
          </w:tcPr>
          <w:p>
            <w:pPr>
              <w:spacing w:after="0"/>
              <w:rPr>
                <w:sz w:val="14"/>
                <w:szCs w:val="14"/>
                <w:color w:val="auto"/>
              </w:rPr>
            </w:pP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26,570</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(510,157)</w:t>
            </w:r>
          </w:p>
        </w:tc>
        <w:tc>
          <w:tcPr>
            <w:tcW w:w="140" w:type="dxa"/>
            <w:vAlign w:val="bottom"/>
          </w:tcPr>
          <w:p>
            <w:pPr>
              <w:spacing w:after="0"/>
              <w:rPr>
                <w:sz w:val="14"/>
                <w:szCs w:val="14"/>
                <w:color w:val="auto"/>
              </w:rPr>
            </w:pP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104,770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820" w:type="dxa"/>
            <w:vAlign w:val="bottom"/>
          </w:tcPr>
          <w:p>
            <w:pPr>
              <w:spacing w:after="0"/>
              <w:rPr>
                <w:sz w:val="20"/>
                <w:szCs w:val="20"/>
                <w:color w:val="auto"/>
              </w:rPr>
            </w:pPr>
            <w:r>
              <w:rPr>
                <w:rFonts w:ascii="Arial" w:cs="Arial" w:eastAsia="Arial" w:hAnsi="Arial"/>
                <w:sz w:val="14"/>
                <w:szCs w:val="14"/>
                <w:color w:val="auto"/>
              </w:rPr>
              <w:t>Earnings (loss) per common share - Basic</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w:t>
            </w:r>
          </w:p>
        </w:tc>
        <w:tc>
          <w:tcPr>
            <w:tcW w:w="160" w:type="dxa"/>
            <w:vAlign w:val="bottom"/>
          </w:tcPr>
          <w:p>
            <w:pPr>
              <w:spacing w:after="0"/>
              <w:rPr>
                <w:sz w:val="24"/>
                <w:szCs w:val="24"/>
                <w:color w:val="auto"/>
              </w:rPr>
            </w:pP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0.66</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(12.56)</w:t>
            </w:r>
          </w:p>
        </w:tc>
        <w:tc>
          <w:tcPr>
            <w:tcW w:w="140" w:type="dxa"/>
            <w:vAlign w:val="bottom"/>
          </w:tcPr>
          <w:p>
            <w:pPr>
              <w:spacing w:after="0"/>
              <w:rPr>
                <w:sz w:val="24"/>
                <w:szCs w:val="24"/>
                <w:color w:val="auto"/>
              </w:rPr>
            </w:pP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color w:val="auto"/>
              </w:rPr>
              <w:t>Earnings (loss) per common share - Diluted</w:t>
            </w: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vMerge w:val="continue"/>
          </w:tcPr>
          <w:p>
            <w:pPr>
              <w:spacing w:after="0"/>
              <w:rPr>
                <w:sz w:val="13"/>
                <w:szCs w:val="13"/>
                <w:color w:val="auto"/>
              </w:rPr>
            </w:pPr>
          </w:p>
        </w:tc>
        <w:tc>
          <w:tcPr>
            <w:tcW w:w="34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(1.35)</w:t>
            </w:r>
          </w:p>
        </w:tc>
        <w:tc>
          <w:tcPr>
            <w:tcW w:w="16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0.65</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(12.56)</w:t>
            </w:r>
          </w:p>
        </w:tc>
        <w:tc>
          <w:tcPr>
            <w:tcW w:w="14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168"/>
              <w:spacing w:after="0" w:line="156"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82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3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40,506</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40,424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40,612</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40,337</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34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40,506</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40,938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40,612</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40,947</w:t>
            </w:r>
          </w:p>
        </w:tc>
        <w:tc>
          <w:tcPr>
            <w:tcW w:w="0" w:type="dxa"/>
            <w:vAlign w:val="bottom"/>
          </w:tcPr>
          <w:p>
            <w:pPr>
              <w:spacing w:after="0"/>
              <w:rPr>
                <w:sz w:val="1"/>
                <w:szCs w:val="1"/>
                <w:color w:val="auto"/>
              </w:rPr>
            </w:pPr>
          </w:p>
        </w:tc>
      </w:tr>
      <w:tr>
        <w:trPr>
          <w:trHeight w:val="309"/>
        </w:trPr>
        <w:tc>
          <w:tcPr>
            <w:tcW w:w="4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8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60" w:type="dxa"/>
            <w:vAlign w:val="bottom"/>
          </w:tcPr>
          <w:p>
            <w:pPr>
              <w:spacing w:after="0"/>
              <w:rPr>
                <w:sz w:val="20"/>
                <w:szCs w:val="20"/>
                <w:color w:val="auto"/>
              </w:rPr>
            </w:pPr>
            <w:r>
              <w:rPr>
                <w:rFonts w:ascii="Arial" w:cs="Arial" w:eastAsia="Arial" w:hAnsi="Arial"/>
                <w:sz w:val="14"/>
                <w:szCs w:val="14"/>
                <w:color w:val="auto"/>
              </w:rPr>
              <w:t>(Unaudited, in thousands)</w:t>
            </w:r>
          </w:p>
        </w:tc>
        <w:tc>
          <w:tcPr>
            <w:tcW w:w="280" w:type="dxa"/>
            <w:vAlign w:val="bottom"/>
          </w:tcPr>
          <w:p>
            <w:pPr>
              <w:spacing w:after="0"/>
              <w:rPr>
                <w:sz w:val="15"/>
                <w:szCs w:val="15"/>
                <w:color w:val="auto"/>
              </w:rPr>
            </w:pPr>
          </w:p>
        </w:tc>
        <w:tc>
          <w:tcPr>
            <w:tcW w:w="2740" w:type="dxa"/>
            <w:vAlign w:val="bottom"/>
            <w:gridSpan w:val="4"/>
            <w:vMerge w:val="restart"/>
          </w:tcPr>
          <w:p>
            <w:pPr>
              <w:jc w:val="right"/>
              <w:ind w:right="348"/>
              <w:spacing w:after="0"/>
              <w:rPr>
                <w:sz w:val="20"/>
                <w:szCs w:val="20"/>
                <w:color w:val="auto"/>
              </w:rPr>
            </w:pPr>
            <w:r>
              <w:rPr>
                <w:rFonts w:ascii="Arial" w:cs="Arial" w:eastAsia="Arial" w:hAnsi="Arial"/>
                <w:sz w:val="14"/>
                <w:szCs w:val="14"/>
                <w:b w:val="1"/>
                <w:bCs w:val="1"/>
                <w:color w:val="auto"/>
                <w:w w:val="98"/>
              </w:rPr>
              <w:t>Three Months Ended December 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4"/>
            <w:vMerge w:val="restart"/>
          </w:tcPr>
          <w:p>
            <w:pPr>
              <w:jc w:val="right"/>
              <w:ind w:right="288"/>
              <w:spacing w:after="0"/>
              <w:rPr>
                <w:sz w:val="20"/>
                <w:szCs w:val="20"/>
                <w:color w:val="auto"/>
              </w:rPr>
            </w:pPr>
            <w:r>
              <w:rPr>
                <w:rFonts w:ascii="Arial" w:cs="Arial" w:eastAsia="Arial" w:hAnsi="Arial"/>
                <w:sz w:val="14"/>
                <w:szCs w:val="14"/>
                <w:b w:val="1"/>
                <w:bCs w:val="1"/>
                <w:color w:val="auto"/>
                <w:w w:val="96"/>
              </w:rPr>
              <w:t>Twelve Months Ended December 31,</w:t>
            </w:r>
          </w:p>
        </w:tc>
        <w:tc>
          <w:tcPr>
            <w:tcW w:w="0" w:type="dxa"/>
            <w:vAlign w:val="bottom"/>
          </w:tcPr>
          <w:p>
            <w:pPr>
              <w:spacing w:after="0"/>
              <w:rPr>
                <w:sz w:val="1"/>
                <w:szCs w:val="1"/>
                <w:color w:val="auto"/>
              </w:rPr>
            </w:pPr>
          </w:p>
        </w:tc>
      </w:tr>
      <w:tr>
        <w:trPr>
          <w:trHeight w:val="174"/>
        </w:trPr>
        <w:tc>
          <w:tcPr>
            <w:tcW w:w="5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64"/>
        </w:trPr>
        <w:tc>
          <w:tcPr>
            <w:tcW w:w="53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220"/>
              <w:spacing w:after="0"/>
              <w:rPr>
                <w:sz w:val="20"/>
                <w:szCs w:val="20"/>
                <w:color w:val="auto"/>
              </w:rPr>
            </w:pPr>
            <w:r>
              <w:rPr>
                <w:rFonts w:ascii="Arial" w:cs="Arial" w:eastAsia="Arial" w:hAnsi="Arial"/>
                <w:sz w:val="14"/>
                <w:szCs w:val="14"/>
                <w:color w:val="auto"/>
              </w:rPr>
              <w:t>Itron North America</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332,882</w:t>
            </w:r>
          </w:p>
        </w:tc>
        <w:tc>
          <w:tcPr>
            <w:tcW w:w="5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321,534</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1,192,665</w:t>
            </w:r>
          </w:p>
        </w:tc>
        <w:tc>
          <w:tcPr>
            <w:tcW w:w="4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1,177,391</w:t>
            </w:r>
          </w:p>
        </w:tc>
        <w:tc>
          <w:tcPr>
            <w:tcW w:w="0" w:type="dxa"/>
            <w:vAlign w:val="bottom"/>
          </w:tcPr>
          <w:p>
            <w:pPr>
              <w:spacing w:after="0"/>
              <w:rPr>
                <w:sz w:val="1"/>
                <w:szCs w:val="1"/>
                <w:color w:val="auto"/>
              </w:rPr>
            </w:pPr>
          </w:p>
        </w:tc>
      </w:tr>
      <w:tr>
        <w:trPr>
          <w:trHeight w:val="181"/>
        </w:trPr>
        <w:tc>
          <w:tcPr>
            <w:tcW w:w="5360" w:type="dxa"/>
            <w:vAlign w:val="bottom"/>
          </w:tcPr>
          <w:p>
            <w:pPr>
              <w:ind w:left="220"/>
              <w:spacing w:after="0"/>
              <w:rPr>
                <w:sz w:val="20"/>
                <w:szCs w:val="20"/>
                <w:color w:val="auto"/>
              </w:rPr>
            </w:pPr>
            <w:r>
              <w:rPr>
                <w:rFonts w:ascii="Arial" w:cs="Arial" w:eastAsia="Arial" w:hAnsi="Arial"/>
                <w:sz w:val="14"/>
                <w:szCs w:val="14"/>
                <w:color w:val="auto"/>
              </w:rPr>
              <w:t>Itron International</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309,595</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299,124</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1,241,459</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1,081,880</w:t>
            </w:r>
          </w:p>
        </w:tc>
        <w:tc>
          <w:tcPr>
            <w:tcW w:w="0" w:type="dxa"/>
            <w:vAlign w:val="bottom"/>
          </w:tcPr>
          <w:p>
            <w:pPr>
              <w:spacing w:after="0"/>
              <w:rPr>
                <w:sz w:val="1"/>
                <w:szCs w:val="1"/>
                <w:color w:val="auto"/>
              </w:rPr>
            </w:pPr>
          </w:p>
        </w:tc>
      </w:tr>
      <w:tr>
        <w:trPr>
          <w:trHeight w:val="169"/>
        </w:trPr>
        <w:tc>
          <w:tcPr>
            <w:tcW w:w="536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642,477</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620,658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2,434,124</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2,259,271</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220"/>
              <w:spacing w:after="0"/>
              <w:rPr>
                <w:sz w:val="20"/>
                <w:szCs w:val="20"/>
                <w:color w:val="auto"/>
              </w:rPr>
            </w:pPr>
            <w:r>
              <w:rPr>
                <w:rFonts w:ascii="Arial" w:cs="Arial" w:eastAsia="Arial" w:hAnsi="Arial"/>
                <w:sz w:val="14"/>
                <w:szCs w:val="14"/>
                <w:color w:val="auto"/>
              </w:rPr>
              <w:t>Itron North America</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111,019</w:t>
            </w:r>
          </w:p>
        </w:tc>
        <w:tc>
          <w:tcPr>
            <w:tcW w:w="5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105,565</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387,618</w:t>
            </w:r>
          </w:p>
        </w:tc>
        <w:tc>
          <w:tcPr>
            <w:tcW w:w="4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394,247</w:t>
            </w:r>
          </w:p>
        </w:tc>
        <w:tc>
          <w:tcPr>
            <w:tcW w:w="0" w:type="dxa"/>
            <w:vAlign w:val="bottom"/>
          </w:tcPr>
          <w:p>
            <w:pPr>
              <w:spacing w:after="0"/>
              <w:rPr>
                <w:sz w:val="1"/>
                <w:szCs w:val="1"/>
                <w:color w:val="auto"/>
              </w:rPr>
            </w:pPr>
          </w:p>
        </w:tc>
      </w:tr>
      <w:tr>
        <w:trPr>
          <w:trHeight w:val="181"/>
        </w:trPr>
        <w:tc>
          <w:tcPr>
            <w:tcW w:w="5360" w:type="dxa"/>
            <w:vAlign w:val="bottom"/>
          </w:tcPr>
          <w:p>
            <w:pPr>
              <w:ind w:left="220"/>
              <w:spacing w:after="0"/>
              <w:rPr>
                <w:sz w:val="20"/>
                <w:szCs w:val="20"/>
                <w:color w:val="auto"/>
              </w:rPr>
            </w:pPr>
            <w:r>
              <w:rPr>
                <w:rFonts w:ascii="Arial" w:cs="Arial" w:eastAsia="Arial" w:hAnsi="Arial"/>
                <w:sz w:val="14"/>
                <w:szCs w:val="14"/>
                <w:color w:val="auto"/>
              </w:rPr>
              <w:t>Itron International</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80,588</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79,791</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355,360</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303,992</w:t>
            </w:r>
          </w:p>
        </w:tc>
        <w:tc>
          <w:tcPr>
            <w:tcW w:w="0" w:type="dxa"/>
            <w:vAlign w:val="bottom"/>
          </w:tcPr>
          <w:p>
            <w:pPr>
              <w:spacing w:after="0"/>
              <w:rPr>
                <w:sz w:val="1"/>
                <w:szCs w:val="1"/>
                <w:color w:val="auto"/>
              </w:rPr>
            </w:pPr>
          </w:p>
        </w:tc>
      </w:tr>
      <w:tr>
        <w:trPr>
          <w:trHeight w:val="169"/>
        </w:trPr>
        <w:tc>
          <w:tcPr>
            <w:tcW w:w="536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191,607</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185,356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742,978</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698,239</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220"/>
              <w:spacing w:after="0"/>
              <w:rPr>
                <w:sz w:val="20"/>
                <w:szCs w:val="20"/>
                <w:color w:val="auto"/>
              </w:rPr>
            </w:pPr>
            <w:r>
              <w:rPr>
                <w:rFonts w:ascii="Arial" w:cs="Arial" w:eastAsia="Arial" w:hAnsi="Arial"/>
                <w:sz w:val="14"/>
                <w:szCs w:val="14"/>
                <w:color w:val="auto"/>
              </w:rPr>
              <w:t>Itron North America</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44,033</w:t>
            </w:r>
          </w:p>
        </w:tc>
        <w:tc>
          <w:tcPr>
            <w:tcW w:w="5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51,716</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168,583</w:t>
            </w:r>
          </w:p>
        </w:tc>
        <w:tc>
          <w:tcPr>
            <w:tcW w:w="4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201,410</w:t>
            </w:r>
          </w:p>
        </w:tc>
        <w:tc>
          <w:tcPr>
            <w:tcW w:w="0" w:type="dxa"/>
            <w:vAlign w:val="bottom"/>
          </w:tcPr>
          <w:p>
            <w:pPr>
              <w:spacing w:after="0"/>
              <w:rPr>
                <w:sz w:val="1"/>
                <w:szCs w:val="1"/>
                <w:color w:val="auto"/>
              </w:rPr>
            </w:pPr>
          </w:p>
        </w:tc>
      </w:tr>
      <w:tr>
        <w:trPr>
          <w:trHeight w:val="176"/>
        </w:trPr>
        <w:tc>
          <w:tcPr>
            <w:tcW w:w="5360" w:type="dxa"/>
            <w:vAlign w:val="bottom"/>
          </w:tcPr>
          <w:p>
            <w:pPr>
              <w:ind w:left="220"/>
              <w:spacing w:after="0"/>
              <w:rPr>
                <w:sz w:val="20"/>
                <w:szCs w:val="20"/>
                <w:color w:val="auto"/>
              </w:rPr>
            </w:pPr>
            <w:r>
              <w:rPr>
                <w:rFonts w:ascii="Arial" w:cs="Arial" w:eastAsia="Arial" w:hAnsi="Arial"/>
                <w:sz w:val="14"/>
                <w:szCs w:val="14"/>
                <w:color w:val="auto"/>
              </w:rPr>
              <w:t>Itron International</w:t>
            </w:r>
          </w:p>
        </w:tc>
        <w:tc>
          <w:tcPr>
            <w:tcW w:w="28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(92,489)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3,394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(585,189)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26,363</w:t>
            </w:r>
          </w:p>
        </w:tc>
        <w:tc>
          <w:tcPr>
            <w:tcW w:w="0" w:type="dxa"/>
            <w:vAlign w:val="bottom"/>
          </w:tcPr>
          <w:p>
            <w:pPr>
              <w:spacing w:after="0"/>
              <w:rPr>
                <w:sz w:val="1"/>
                <w:szCs w:val="1"/>
                <w:color w:val="auto"/>
              </w:rPr>
            </w:pPr>
          </w:p>
        </w:tc>
      </w:tr>
      <w:tr>
        <w:trPr>
          <w:trHeight w:val="181"/>
        </w:trPr>
        <w:tc>
          <w:tcPr>
            <w:tcW w:w="5360" w:type="dxa"/>
            <w:vAlign w:val="bottom"/>
          </w:tcPr>
          <w:p>
            <w:pPr>
              <w:ind w:left="220"/>
              <w:spacing w:after="0"/>
              <w:rPr>
                <w:sz w:val="20"/>
                <w:szCs w:val="20"/>
                <w:color w:val="auto"/>
              </w:rPr>
            </w:pPr>
            <w:r>
              <w:rPr>
                <w:rFonts w:ascii="Arial" w:cs="Arial" w:eastAsia="Arial" w:hAnsi="Arial"/>
                <w:sz w:val="14"/>
                <w:szCs w:val="14"/>
                <w:color w:val="auto"/>
              </w:rPr>
              <w:t>Corporate unallocated</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(11,649)</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(11,477)</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(42,577)</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(43,576)</w:t>
            </w:r>
          </w:p>
        </w:tc>
        <w:tc>
          <w:tcPr>
            <w:tcW w:w="0" w:type="dxa"/>
            <w:vAlign w:val="bottom"/>
          </w:tcPr>
          <w:p>
            <w:pPr>
              <w:spacing w:after="0"/>
              <w:rPr>
                <w:sz w:val="1"/>
                <w:szCs w:val="1"/>
                <w:color w:val="auto"/>
              </w:rPr>
            </w:pPr>
          </w:p>
        </w:tc>
      </w:tr>
      <w:tr>
        <w:trPr>
          <w:trHeight w:val="169"/>
        </w:trPr>
        <w:tc>
          <w:tcPr>
            <w:tcW w:w="536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(60,105)</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43,633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(459,183)</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184,197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5360" w:type="dxa"/>
            <w:vAlign w:val="bottom"/>
            <w:vMerge w:val="restart"/>
          </w:tcPr>
          <w:p>
            <w:pPr>
              <w:spacing w:after="0"/>
              <w:rPr>
                <w:sz w:val="20"/>
                <w:szCs w:val="20"/>
                <w:color w:val="auto"/>
              </w:rPr>
            </w:pPr>
            <w:r>
              <w:rPr>
                <w:rFonts w:ascii="Arial" w:cs="Arial" w:eastAsia="Arial" w:hAnsi="Arial"/>
                <w:sz w:val="14"/>
                <w:szCs w:val="14"/>
                <w:color w:val="auto"/>
              </w:rPr>
              <w:t>(Units in thousands)</w:t>
            </w:r>
          </w:p>
        </w:tc>
        <w:tc>
          <w:tcPr>
            <w:tcW w:w="3020" w:type="dxa"/>
            <w:vAlign w:val="bottom"/>
            <w:gridSpan w:val="5"/>
          </w:tcPr>
          <w:p>
            <w:pPr>
              <w:jc w:val="right"/>
              <w:ind w:right="588"/>
              <w:spacing w:after="0"/>
              <w:rPr>
                <w:sz w:val="20"/>
                <w:szCs w:val="20"/>
                <w:color w:val="auto"/>
              </w:rPr>
            </w:pPr>
            <w:r>
              <w:rPr>
                <w:rFonts w:ascii="Arial" w:cs="Arial" w:eastAsia="Arial" w:hAnsi="Arial"/>
                <w:sz w:val="14"/>
                <w:szCs w:val="14"/>
                <w:b w:val="1"/>
                <w:bCs w:val="1"/>
                <w:color w:val="auto"/>
              </w:rPr>
              <w:t>METER AND MODULE SUMMARY</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740" w:type="dxa"/>
            <w:vAlign w:val="bottom"/>
            <w:gridSpan w:val="4"/>
            <w:vMerge w:val="restart"/>
          </w:tcPr>
          <w:p>
            <w:pPr>
              <w:jc w:val="right"/>
              <w:ind w:right="348"/>
              <w:spacing w:after="0"/>
              <w:rPr>
                <w:sz w:val="20"/>
                <w:szCs w:val="20"/>
                <w:color w:val="auto"/>
              </w:rPr>
            </w:pPr>
            <w:r>
              <w:rPr>
                <w:rFonts w:ascii="Arial" w:cs="Arial" w:eastAsia="Arial" w:hAnsi="Arial"/>
                <w:sz w:val="14"/>
                <w:szCs w:val="14"/>
                <w:b w:val="1"/>
                <w:bCs w:val="1"/>
                <w:color w:val="auto"/>
                <w:w w:val="98"/>
              </w:rPr>
              <w:t>Three Months Ended December 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4"/>
            <w:vMerge w:val="restart"/>
          </w:tcPr>
          <w:p>
            <w:pPr>
              <w:jc w:val="right"/>
              <w:ind w:right="288"/>
              <w:spacing w:after="0"/>
              <w:rPr>
                <w:sz w:val="20"/>
                <w:szCs w:val="20"/>
                <w:color w:val="auto"/>
              </w:rPr>
            </w:pPr>
            <w:r>
              <w:rPr>
                <w:rFonts w:ascii="Arial" w:cs="Arial" w:eastAsia="Arial" w:hAnsi="Arial"/>
                <w:sz w:val="14"/>
                <w:szCs w:val="14"/>
                <w:b w:val="1"/>
                <w:bCs w:val="1"/>
                <w:color w:val="auto"/>
                <w:w w:val="96"/>
              </w:rPr>
              <w:t>Twelve Months Ended December 31,</w:t>
            </w:r>
          </w:p>
        </w:tc>
        <w:tc>
          <w:tcPr>
            <w:tcW w:w="0" w:type="dxa"/>
            <w:vAlign w:val="bottom"/>
          </w:tcPr>
          <w:p>
            <w:pPr>
              <w:spacing w:after="0"/>
              <w:rPr>
                <w:sz w:val="1"/>
                <w:szCs w:val="1"/>
                <w:color w:val="auto"/>
              </w:rPr>
            </w:pPr>
          </w:p>
        </w:tc>
      </w:tr>
      <w:tr>
        <w:trPr>
          <w:trHeight w:val="174"/>
        </w:trPr>
        <w:tc>
          <w:tcPr>
            <w:tcW w:w="5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64"/>
        </w:trPr>
        <w:tc>
          <w:tcPr>
            <w:tcW w:w="5360" w:type="dxa"/>
            <w:vAlign w:val="bottom"/>
          </w:tcPr>
          <w:p>
            <w:pPr>
              <w:spacing w:after="0"/>
              <w:rPr>
                <w:sz w:val="20"/>
                <w:szCs w:val="20"/>
                <w:color w:val="auto"/>
              </w:rPr>
            </w:pPr>
            <w:r>
              <w:rPr>
                <w:rFonts w:ascii="Arial" w:cs="Arial" w:eastAsia="Arial" w:hAnsi="Arial"/>
                <w:sz w:val="14"/>
                <w:szCs w:val="14"/>
                <w:color w:val="auto"/>
              </w:rPr>
              <w:t>Total meters (standard, advanced, and smart)</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220"/>
              <w:spacing w:after="0"/>
              <w:rPr>
                <w:sz w:val="20"/>
                <w:szCs w:val="20"/>
                <w:color w:val="auto"/>
              </w:rPr>
            </w:pPr>
            <w:r>
              <w:rPr>
                <w:rFonts w:ascii="Arial" w:cs="Arial" w:eastAsia="Arial" w:hAnsi="Arial"/>
                <w:sz w:val="14"/>
                <w:szCs w:val="14"/>
                <w:color w:val="auto"/>
              </w:rPr>
              <w:t>Itron North America</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420"/>
              <w:spacing w:after="0"/>
              <w:rPr>
                <w:sz w:val="20"/>
                <w:szCs w:val="20"/>
                <w:color w:val="auto"/>
              </w:rPr>
            </w:pPr>
            <w:r>
              <w:rPr>
                <w:rFonts w:ascii="Arial" w:cs="Arial" w:eastAsia="Arial" w:hAnsi="Arial"/>
                <w:sz w:val="14"/>
                <w:szCs w:val="14"/>
                <w:color w:val="auto"/>
              </w:rPr>
              <w:t>Electricity</w:t>
            </w:r>
          </w:p>
        </w:tc>
        <w:tc>
          <w:tcPr>
            <w:tcW w:w="28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1,950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6,790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6,940</w:t>
            </w:r>
          </w:p>
        </w:tc>
        <w:tc>
          <w:tcPr>
            <w:tcW w:w="0" w:type="dxa"/>
            <w:vAlign w:val="bottom"/>
          </w:tcPr>
          <w:p>
            <w:pPr>
              <w:spacing w:after="0"/>
              <w:rPr>
                <w:sz w:val="1"/>
                <w:szCs w:val="1"/>
                <w:color w:val="auto"/>
              </w:rPr>
            </w:pPr>
          </w:p>
        </w:tc>
      </w:tr>
      <w:tr>
        <w:trPr>
          <w:trHeight w:val="176"/>
        </w:trPr>
        <w:tc>
          <w:tcPr>
            <w:tcW w:w="5360" w:type="dxa"/>
            <w:vAlign w:val="bottom"/>
          </w:tcPr>
          <w:p>
            <w:pPr>
              <w:ind w:left="420"/>
              <w:spacing w:after="0"/>
              <w:rPr>
                <w:sz w:val="20"/>
                <w:szCs w:val="20"/>
                <w:color w:val="auto"/>
              </w:rPr>
            </w:pPr>
            <w:r>
              <w:rPr>
                <w:rFonts w:ascii="Arial" w:cs="Arial" w:eastAsia="Arial" w:hAnsi="Arial"/>
                <w:sz w:val="14"/>
                <w:szCs w:val="14"/>
                <w:color w:val="auto"/>
              </w:rPr>
              <w:t>Gas</w:t>
            </w:r>
          </w:p>
        </w:tc>
        <w:tc>
          <w:tcPr>
            <w:tcW w:w="28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76"/>
        </w:trPr>
        <w:tc>
          <w:tcPr>
            <w:tcW w:w="5360" w:type="dxa"/>
            <w:vAlign w:val="bottom"/>
          </w:tcPr>
          <w:p>
            <w:pPr>
              <w:ind w:left="220"/>
              <w:spacing w:after="0"/>
              <w:rPr>
                <w:sz w:val="20"/>
                <w:szCs w:val="20"/>
                <w:color w:val="auto"/>
              </w:rPr>
            </w:pPr>
            <w:r>
              <w:rPr>
                <w:rFonts w:ascii="Arial" w:cs="Arial" w:eastAsia="Arial" w:hAnsi="Arial"/>
                <w:sz w:val="14"/>
                <w:szCs w:val="14"/>
                <w:color w:val="auto"/>
              </w:rPr>
              <w:t>Itron International</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420"/>
              <w:spacing w:after="0"/>
              <w:rPr>
                <w:sz w:val="20"/>
                <w:szCs w:val="20"/>
                <w:color w:val="auto"/>
              </w:rPr>
            </w:pPr>
            <w:r>
              <w:rPr>
                <w:rFonts w:ascii="Arial" w:cs="Arial" w:eastAsia="Arial" w:hAnsi="Arial"/>
                <w:sz w:val="14"/>
                <w:szCs w:val="14"/>
                <w:color w:val="auto"/>
              </w:rPr>
              <w:t>Electricity</w:t>
            </w:r>
          </w:p>
        </w:tc>
        <w:tc>
          <w:tcPr>
            <w:tcW w:w="28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2,450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2,280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8,060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7,870</w:t>
            </w:r>
          </w:p>
        </w:tc>
        <w:tc>
          <w:tcPr>
            <w:tcW w:w="0" w:type="dxa"/>
            <w:vAlign w:val="bottom"/>
          </w:tcPr>
          <w:p>
            <w:pPr>
              <w:spacing w:after="0"/>
              <w:rPr>
                <w:sz w:val="1"/>
                <w:szCs w:val="1"/>
                <w:color w:val="auto"/>
              </w:rPr>
            </w:pPr>
          </w:p>
        </w:tc>
      </w:tr>
      <w:tr>
        <w:trPr>
          <w:trHeight w:val="176"/>
        </w:trPr>
        <w:tc>
          <w:tcPr>
            <w:tcW w:w="5360" w:type="dxa"/>
            <w:vAlign w:val="bottom"/>
          </w:tcPr>
          <w:p>
            <w:pPr>
              <w:ind w:left="420"/>
              <w:spacing w:after="0"/>
              <w:rPr>
                <w:sz w:val="20"/>
                <w:szCs w:val="20"/>
                <w:color w:val="auto"/>
              </w:rPr>
            </w:pPr>
            <w:r>
              <w:rPr>
                <w:rFonts w:ascii="Arial" w:cs="Arial" w:eastAsia="Arial" w:hAnsi="Arial"/>
                <w:sz w:val="14"/>
                <w:szCs w:val="14"/>
                <w:color w:val="auto"/>
              </w:rPr>
              <w:t>Gas</w:t>
            </w:r>
          </w:p>
        </w:tc>
        <w:tc>
          <w:tcPr>
            <w:tcW w:w="28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1,160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1,080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4,210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4,020</w:t>
            </w:r>
          </w:p>
        </w:tc>
        <w:tc>
          <w:tcPr>
            <w:tcW w:w="0" w:type="dxa"/>
            <w:vAlign w:val="bottom"/>
          </w:tcPr>
          <w:p>
            <w:pPr>
              <w:spacing w:after="0"/>
              <w:rPr>
                <w:sz w:val="1"/>
                <w:szCs w:val="1"/>
                <w:color w:val="auto"/>
              </w:rPr>
            </w:pPr>
          </w:p>
        </w:tc>
      </w:tr>
      <w:tr>
        <w:trPr>
          <w:trHeight w:val="181"/>
        </w:trPr>
        <w:tc>
          <w:tcPr>
            <w:tcW w:w="5360" w:type="dxa"/>
            <w:vAlign w:val="bottom"/>
          </w:tcPr>
          <w:p>
            <w:pPr>
              <w:ind w:left="420"/>
              <w:spacing w:after="0"/>
              <w:rPr>
                <w:sz w:val="20"/>
                <w:szCs w:val="20"/>
                <w:color w:val="auto"/>
              </w:rPr>
            </w:pPr>
            <w:r>
              <w:rPr>
                <w:rFonts w:ascii="Arial" w:cs="Arial" w:eastAsia="Arial" w:hAnsi="Arial"/>
                <w:sz w:val="14"/>
                <w:szCs w:val="14"/>
                <w:color w:val="auto"/>
              </w:rPr>
              <w:t>Water</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2,150</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9,350</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9,110</w:t>
            </w:r>
          </w:p>
        </w:tc>
        <w:tc>
          <w:tcPr>
            <w:tcW w:w="0" w:type="dxa"/>
            <w:vAlign w:val="bottom"/>
          </w:tcPr>
          <w:p>
            <w:pPr>
              <w:spacing w:after="0"/>
              <w:rPr>
                <w:sz w:val="1"/>
                <w:szCs w:val="1"/>
                <w:color w:val="auto"/>
              </w:rPr>
            </w:pPr>
          </w:p>
        </w:tc>
      </w:tr>
      <w:tr>
        <w:trPr>
          <w:trHeight w:val="169"/>
        </w:trPr>
        <w:tc>
          <w:tcPr>
            <w:tcW w:w="5360" w:type="dxa"/>
            <w:vAlign w:val="bottom"/>
          </w:tcPr>
          <w:p>
            <w:pPr>
              <w:ind w:left="220"/>
              <w:spacing w:after="0"/>
              <w:rPr>
                <w:sz w:val="20"/>
                <w:szCs w:val="20"/>
                <w:color w:val="auto"/>
              </w:rPr>
            </w:pPr>
            <w:r>
              <w:rPr>
                <w:rFonts w:ascii="Arial" w:cs="Arial" w:eastAsia="Arial" w:hAnsi="Arial"/>
                <w:sz w:val="14"/>
                <w:szCs w:val="14"/>
                <w:color w:val="auto"/>
              </w:rPr>
              <w:t>Total meters</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7,730</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7,550</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28,890</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28,450</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4"/>
                <w:szCs w:val="14"/>
                <w:color w:val="auto"/>
              </w:rPr>
              <w:t>Additional meter information (Total Company)</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220"/>
              <w:spacing w:after="0"/>
              <w:rPr>
                <w:sz w:val="20"/>
                <w:szCs w:val="20"/>
                <w:color w:val="auto"/>
              </w:rPr>
            </w:pPr>
            <w:r>
              <w:rPr>
                <w:rFonts w:ascii="Arial" w:cs="Arial" w:eastAsia="Arial" w:hAnsi="Arial"/>
                <w:sz w:val="14"/>
                <w:szCs w:val="14"/>
                <w:color w:val="auto"/>
              </w:rPr>
              <w:t>Advanced meters</w:t>
            </w:r>
          </w:p>
        </w:tc>
        <w:tc>
          <w:tcPr>
            <w:tcW w:w="28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1,540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1,150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4,850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3,980</w:t>
            </w:r>
          </w:p>
        </w:tc>
        <w:tc>
          <w:tcPr>
            <w:tcW w:w="0" w:type="dxa"/>
            <w:vAlign w:val="bottom"/>
          </w:tcPr>
          <w:p>
            <w:pPr>
              <w:spacing w:after="0"/>
              <w:rPr>
                <w:sz w:val="1"/>
                <w:szCs w:val="1"/>
                <w:color w:val="auto"/>
              </w:rPr>
            </w:pPr>
          </w:p>
        </w:tc>
      </w:tr>
      <w:tr>
        <w:trPr>
          <w:trHeight w:val="176"/>
        </w:trPr>
        <w:tc>
          <w:tcPr>
            <w:tcW w:w="5360" w:type="dxa"/>
            <w:vAlign w:val="bottom"/>
          </w:tcPr>
          <w:p>
            <w:pPr>
              <w:ind w:left="220"/>
              <w:spacing w:after="0"/>
              <w:rPr>
                <w:sz w:val="20"/>
                <w:szCs w:val="20"/>
                <w:color w:val="auto"/>
              </w:rPr>
            </w:pPr>
            <w:r>
              <w:rPr>
                <w:rFonts w:ascii="Arial" w:cs="Arial" w:eastAsia="Arial" w:hAnsi="Arial"/>
                <w:sz w:val="14"/>
                <w:szCs w:val="14"/>
                <w:color w:val="auto"/>
              </w:rPr>
              <w:t>Smart meters</w:t>
            </w:r>
          </w:p>
        </w:tc>
        <w:tc>
          <w:tcPr>
            <w:tcW w:w="28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1,470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1,470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4,470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4,460</w:t>
            </w:r>
          </w:p>
        </w:tc>
        <w:tc>
          <w:tcPr>
            <w:tcW w:w="0" w:type="dxa"/>
            <w:vAlign w:val="bottom"/>
          </w:tcPr>
          <w:p>
            <w:pPr>
              <w:spacing w:after="0"/>
              <w:rPr>
                <w:sz w:val="1"/>
                <w:szCs w:val="1"/>
                <w:color w:val="auto"/>
              </w:rPr>
            </w:pPr>
          </w:p>
        </w:tc>
      </w:tr>
      <w:tr>
        <w:trPr>
          <w:trHeight w:val="208"/>
        </w:trPr>
        <w:tc>
          <w:tcPr>
            <w:tcW w:w="5360" w:type="dxa"/>
            <w:vAlign w:val="bottom"/>
          </w:tcPr>
          <w:p>
            <w:pPr>
              <w:spacing w:after="0"/>
              <w:rPr>
                <w:sz w:val="20"/>
                <w:szCs w:val="20"/>
                <w:color w:val="auto"/>
              </w:rPr>
            </w:pPr>
            <w:r>
              <w:rPr>
                <w:rFonts w:ascii="Arial" w:cs="Arial" w:eastAsia="Arial" w:hAnsi="Arial"/>
                <w:sz w:val="14"/>
                <w:szCs w:val="14"/>
                <w:color w:val="auto"/>
              </w:rPr>
              <w:t>Standalone advanced and smart communication modules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1,490</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1,550</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6,330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5,960</w:t>
            </w:r>
          </w:p>
        </w:tc>
        <w:tc>
          <w:tcPr>
            <w:tcW w:w="0" w:type="dxa"/>
            <w:vAlign w:val="bottom"/>
          </w:tcPr>
          <w:p>
            <w:pPr>
              <w:spacing w:after="0"/>
              <w:rPr>
                <w:sz w:val="1"/>
                <w:szCs w:val="1"/>
                <w:color w:val="auto"/>
              </w:rPr>
            </w:pPr>
          </w:p>
        </w:tc>
      </w:tr>
      <w:tr>
        <w:trPr>
          <w:trHeight w:val="196"/>
        </w:trPr>
        <w:tc>
          <w:tcPr>
            <w:tcW w:w="5360" w:type="dxa"/>
            <w:vAlign w:val="bottom"/>
          </w:tcPr>
          <w:p>
            <w:pPr>
              <w:ind w:left="420"/>
              <w:spacing w:after="0"/>
              <w:rPr>
                <w:sz w:val="20"/>
                <w:szCs w:val="20"/>
                <w:color w:val="auto"/>
              </w:rPr>
            </w:pPr>
            <w:r>
              <w:rPr>
                <w:rFonts w:ascii="Arial" w:cs="Arial" w:eastAsia="Arial" w:hAnsi="Arial"/>
                <w:sz w:val="14"/>
                <w:szCs w:val="14"/>
                <w:color w:val="auto"/>
              </w:rPr>
              <w:t>Advanced and smart meters and communication modules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4,170</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15,650</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14,400</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4"/>
                <w:szCs w:val="14"/>
                <w:color w:val="auto"/>
              </w:rPr>
              <w:t>Meters with other vendors' advanced or smart communication modules</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60" w:type="dxa"/>
            <w:vAlign w:val="bottom"/>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3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60" w:type="dxa"/>
            <w:vAlign w:val="bottom"/>
          </w:tcPr>
          <w:p>
            <w:pPr>
              <w:spacing w:after="0"/>
              <w:rPr>
                <w:sz w:val="20"/>
                <w:szCs w:val="20"/>
                <w:color w:val="auto"/>
              </w:rPr>
            </w:pPr>
            <w:r>
              <w:rPr>
                <w:rFonts w:ascii="Arial" w:cs="Arial" w:eastAsia="Arial" w:hAnsi="Arial"/>
                <w:sz w:val="14"/>
                <w:szCs w:val="14"/>
                <w:color w:val="auto"/>
              </w:rPr>
              <w:t>(Unaudited, in thousands)</w:t>
            </w:r>
          </w:p>
        </w:tc>
        <w:tc>
          <w:tcPr>
            <w:tcW w:w="440" w:type="dxa"/>
            <w:vAlign w:val="bottom"/>
          </w:tcPr>
          <w:p>
            <w:pPr>
              <w:spacing w:after="0"/>
              <w:rPr>
                <w:sz w:val="15"/>
                <w:szCs w:val="15"/>
                <w:color w:val="auto"/>
              </w:rPr>
            </w:pPr>
          </w:p>
        </w:tc>
        <w:tc>
          <w:tcPr>
            <w:tcW w:w="194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December 31, 2011</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74"/>
        </w:trPr>
        <w:tc>
          <w:tcPr>
            <w:tcW w:w="64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460" w:type="dxa"/>
            <w:vAlign w:val="bottom"/>
          </w:tcPr>
          <w:p>
            <w:pPr>
              <w:ind w:left="2960"/>
              <w:spacing w:after="0"/>
              <w:rPr>
                <w:sz w:val="20"/>
                <w:szCs w:val="20"/>
                <w:color w:val="auto"/>
              </w:rPr>
            </w:pPr>
            <w:r>
              <w:rPr>
                <w:rFonts w:ascii="Arial" w:cs="Arial" w:eastAsia="Arial" w:hAnsi="Arial"/>
                <w:sz w:val="14"/>
                <w:szCs w:val="14"/>
                <w:b w:val="1"/>
                <w:bCs w:val="1"/>
                <w:color w:val="auto"/>
              </w:rPr>
              <w:t>ASSETS</w:t>
            </w: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tcPr>
          <w:p>
            <w:pPr>
              <w:spacing w:after="0"/>
              <w:rPr>
                <w:sz w:val="20"/>
                <w:szCs w:val="20"/>
                <w:color w:val="auto"/>
              </w:rPr>
            </w:pPr>
            <w:r>
              <w:rPr>
                <w:rFonts w:ascii="Arial" w:cs="Arial" w:eastAsia="Arial" w:hAnsi="Arial"/>
                <w:sz w:val="14"/>
                <w:szCs w:val="14"/>
                <w:color w:val="auto"/>
              </w:rPr>
              <w:t>Current assets</w:t>
            </w:r>
          </w:p>
        </w:tc>
        <w:tc>
          <w:tcPr>
            <w:tcW w:w="4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420"/>
              <w:spacing w:after="0"/>
              <w:rPr>
                <w:sz w:val="20"/>
                <w:szCs w:val="20"/>
                <w:color w:val="auto"/>
              </w:rPr>
            </w:pPr>
            <w:r>
              <w:rPr>
                <w:rFonts w:ascii="Arial" w:cs="Arial" w:eastAsia="Arial" w:hAnsi="Arial"/>
                <w:sz w:val="14"/>
                <w:szCs w:val="14"/>
                <w:color w:val="auto"/>
              </w:rPr>
              <w:t>Cash and cash equivalents</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133,086</w:t>
            </w:r>
          </w:p>
        </w:tc>
        <w:tc>
          <w:tcPr>
            <w:tcW w:w="5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169,477</w:t>
            </w:r>
          </w:p>
        </w:tc>
        <w:tc>
          <w:tcPr>
            <w:tcW w:w="0" w:type="dxa"/>
            <w:vAlign w:val="bottom"/>
          </w:tcPr>
          <w:p>
            <w:pPr>
              <w:spacing w:after="0"/>
              <w:rPr>
                <w:sz w:val="1"/>
                <w:szCs w:val="1"/>
                <w:color w:val="auto"/>
              </w:rPr>
            </w:pPr>
          </w:p>
        </w:tc>
      </w:tr>
      <w:tr>
        <w:trPr>
          <w:trHeight w:val="176"/>
        </w:trPr>
        <w:tc>
          <w:tcPr>
            <w:tcW w:w="6460" w:type="dxa"/>
            <w:vAlign w:val="bottom"/>
          </w:tcPr>
          <w:p>
            <w:pPr>
              <w:ind w:left="420"/>
              <w:spacing w:after="0"/>
              <w:rPr>
                <w:sz w:val="20"/>
                <w:szCs w:val="20"/>
                <w:color w:val="auto"/>
              </w:rPr>
            </w:pPr>
            <w:r>
              <w:rPr>
                <w:rFonts w:ascii="Arial" w:cs="Arial" w:eastAsia="Arial" w:hAnsi="Arial"/>
                <w:sz w:val="14"/>
                <w:szCs w:val="14"/>
                <w:color w:val="auto"/>
              </w:rPr>
              <w:t>Accounts receivable, net</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371,641</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371,662</w:t>
            </w:r>
          </w:p>
        </w:tc>
        <w:tc>
          <w:tcPr>
            <w:tcW w:w="0" w:type="dxa"/>
            <w:vAlign w:val="bottom"/>
          </w:tcPr>
          <w:p>
            <w:pPr>
              <w:spacing w:after="0"/>
              <w:rPr>
                <w:sz w:val="1"/>
                <w:szCs w:val="1"/>
                <w:color w:val="auto"/>
              </w:rPr>
            </w:pPr>
          </w:p>
        </w:tc>
      </w:tr>
      <w:tr>
        <w:trPr>
          <w:trHeight w:val="176"/>
        </w:trPr>
        <w:tc>
          <w:tcPr>
            <w:tcW w:w="6460" w:type="dxa"/>
            <w:vAlign w:val="bottom"/>
          </w:tcPr>
          <w:p>
            <w:pPr>
              <w:ind w:left="420"/>
              <w:spacing w:after="0"/>
              <w:rPr>
                <w:sz w:val="20"/>
                <w:szCs w:val="20"/>
                <w:color w:val="auto"/>
              </w:rPr>
            </w:pPr>
            <w:r>
              <w:rPr>
                <w:rFonts w:ascii="Arial" w:cs="Arial" w:eastAsia="Arial" w:hAnsi="Arial"/>
                <w:sz w:val="14"/>
                <w:szCs w:val="14"/>
                <w:color w:val="auto"/>
              </w:rPr>
              <w:t>Inventories</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195,837</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208,157</w:t>
            </w:r>
          </w:p>
        </w:tc>
        <w:tc>
          <w:tcPr>
            <w:tcW w:w="0" w:type="dxa"/>
            <w:vAlign w:val="bottom"/>
          </w:tcPr>
          <w:p>
            <w:pPr>
              <w:spacing w:after="0"/>
              <w:rPr>
                <w:sz w:val="1"/>
                <w:szCs w:val="1"/>
                <w:color w:val="auto"/>
              </w:rPr>
            </w:pPr>
          </w:p>
        </w:tc>
      </w:tr>
      <w:tr>
        <w:trPr>
          <w:trHeight w:val="176"/>
        </w:trPr>
        <w:tc>
          <w:tcPr>
            <w:tcW w:w="6460" w:type="dxa"/>
            <w:vAlign w:val="bottom"/>
          </w:tcPr>
          <w:p>
            <w:pPr>
              <w:ind w:left="420"/>
              <w:spacing w:after="0"/>
              <w:rPr>
                <w:sz w:val="20"/>
                <w:szCs w:val="20"/>
                <w:color w:val="auto"/>
              </w:rPr>
            </w:pPr>
            <w:r>
              <w:rPr>
                <w:rFonts w:ascii="Arial" w:cs="Arial" w:eastAsia="Arial" w:hAnsi="Arial"/>
                <w:sz w:val="14"/>
                <w:szCs w:val="14"/>
                <w:color w:val="auto"/>
              </w:rPr>
              <w:t>Deferred tax assets current, net</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58,172</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55,351</w:t>
            </w:r>
          </w:p>
        </w:tc>
        <w:tc>
          <w:tcPr>
            <w:tcW w:w="0" w:type="dxa"/>
            <w:vAlign w:val="bottom"/>
          </w:tcPr>
          <w:p>
            <w:pPr>
              <w:spacing w:after="0"/>
              <w:rPr>
                <w:sz w:val="1"/>
                <w:szCs w:val="1"/>
                <w:color w:val="auto"/>
              </w:rPr>
            </w:pPr>
          </w:p>
        </w:tc>
      </w:tr>
      <w:tr>
        <w:trPr>
          <w:trHeight w:val="181"/>
        </w:trPr>
        <w:tc>
          <w:tcPr>
            <w:tcW w:w="6460" w:type="dxa"/>
            <w:vAlign w:val="bottom"/>
          </w:tcPr>
          <w:p>
            <w:pPr>
              <w:ind w:left="420"/>
              <w:spacing w:after="0"/>
              <w:rPr>
                <w:sz w:val="20"/>
                <w:szCs w:val="20"/>
                <w:color w:val="auto"/>
              </w:rPr>
            </w:pPr>
            <w:r>
              <w:rPr>
                <w:rFonts w:ascii="Arial" w:cs="Arial" w:eastAsia="Arial" w:hAnsi="Arial"/>
                <w:sz w:val="14"/>
                <w:szCs w:val="14"/>
                <w:color w:val="auto"/>
              </w:rPr>
              <w:t>Other current assets</w:t>
            </w: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81,618</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77,570</w:t>
            </w:r>
          </w:p>
        </w:tc>
        <w:tc>
          <w:tcPr>
            <w:tcW w:w="0" w:type="dxa"/>
            <w:vAlign w:val="bottom"/>
          </w:tcPr>
          <w:p>
            <w:pPr>
              <w:spacing w:after="0"/>
              <w:rPr>
                <w:sz w:val="1"/>
                <w:szCs w:val="1"/>
                <w:color w:val="auto"/>
              </w:rPr>
            </w:pPr>
          </w:p>
        </w:tc>
      </w:tr>
      <w:tr>
        <w:trPr>
          <w:trHeight w:val="176"/>
        </w:trPr>
        <w:tc>
          <w:tcPr>
            <w:tcW w:w="6460" w:type="dxa"/>
            <w:vAlign w:val="bottom"/>
          </w:tcPr>
          <w:p>
            <w:pPr>
              <w:ind w:left="620"/>
              <w:spacing w:after="0"/>
              <w:rPr>
                <w:sz w:val="20"/>
                <w:szCs w:val="20"/>
                <w:color w:val="auto"/>
              </w:rPr>
            </w:pPr>
            <w:r>
              <w:rPr>
                <w:rFonts w:ascii="Arial" w:cs="Arial" w:eastAsia="Arial" w:hAnsi="Arial"/>
                <w:sz w:val="14"/>
                <w:szCs w:val="14"/>
                <w:color w:val="auto"/>
              </w:rPr>
              <w:t>Total current assets</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840,354</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882,217</w:t>
            </w:r>
          </w:p>
        </w:tc>
        <w:tc>
          <w:tcPr>
            <w:tcW w:w="0" w:type="dxa"/>
            <w:vAlign w:val="bottom"/>
          </w:tcPr>
          <w:p>
            <w:pPr>
              <w:spacing w:after="0"/>
              <w:rPr>
                <w:sz w:val="1"/>
                <w:szCs w:val="1"/>
                <w:color w:val="auto"/>
              </w:rPr>
            </w:pPr>
          </w:p>
        </w:tc>
      </w:tr>
      <w:tr>
        <w:trPr>
          <w:trHeight w:val="339"/>
        </w:trPr>
        <w:tc>
          <w:tcPr>
            <w:tcW w:w="646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440" w:type="dxa"/>
            <w:vAlign w:val="bottom"/>
          </w:tcPr>
          <w:p>
            <w:pPr>
              <w:spacing w:after="0"/>
              <w:rPr>
                <w:sz w:val="24"/>
                <w:szCs w:val="24"/>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262,670</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299,242</w:t>
            </w:r>
          </w:p>
        </w:tc>
        <w:tc>
          <w:tcPr>
            <w:tcW w:w="0" w:type="dxa"/>
            <w:vAlign w:val="bottom"/>
          </w:tcPr>
          <w:p>
            <w:pPr>
              <w:spacing w:after="0"/>
              <w:rPr>
                <w:sz w:val="1"/>
                <w:szCs w:val="1"/>
                <w:color w:val="auto"/>
              </w:rPr>
            </w:pPr>
          </w:p>
        </w:tc>
      </w:tr>
      <w:tr>
        <w:trPr>
          <w:trHeight w:val="176"/>
        </w:trPr>
        <w:tc>
          <w:tcPr>
            <w:tcW w:w="6460" w:type="dxa"/>
            <w:vAlign w:val="bottom"/>
          </w:tcPr>
          <w:p>
            <w:pPr>
              <w:spacing w:after="0"/>
              <w:rPr>
                <w:sz w:val="20"/>
                <w:szCs w:val="20"/>
                <w:color w:val="auto"/>
              </w:rPr>
            </w:pPr>
            <w:r>
              <w:rPr>
                <w:rFonts w:ascii="Arial" w:cs="Arial" w:eastAsia="Arial" w:hAnsi="Arial"/>
                <w:sz w:val="14"/>
                <w:szCs w:val="14"/>
                <w:color w:val="auto"/>
              </w:rPr>
              <w:t>Deferred tax assets noncurrent, net</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22,144</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35,050</w:t>
            </w:r>
          </w:p>
        </w:tc>
        <w:tc>
          <w:tcPr>
            <w:tcW w:w="0" w:type="dxa"/>
            <w:vAlign w:val="bottom"/>
          </w:tcPr>
          <w:p>
            <w:pPr>
              <w:spacing w:after="0"/>
              <w:rPr>
                <w:sz w:val="1"/>
                <w:szCs w:val="1"/>
                <w:color w:val="auto"/>
              </w:rPr>
            </w:pPr>
          </w:p>
        </w:tc>
      </w:tr>
      <w:tr>
        <w:trPr>
          <w:trHeight w:val="176"/>
        </w:trPr>
        <w:tc>
          <w:tcPr>
            <w:tcW w:w="6460" w:type="dxa"/>
            <w:vAlign w:val="bottom"/>
          </w:tcPr>
          <w:p>
            <w:pPr>
              <w:spacing w:after="0"/>
              <w:rPr>
                <w:sz w:val="20"/>
                <w:szCs w:val="20"/>
                <w:color w:val="auto"/>
              </w:rPr>
            </w:pPr>
            <w:r>
              <w:rPr>
                <w:rFonts w:ascii="Arial" w:cs="Arial" w:eastAsia="Arial" w:hAnsi="Arial"/>
                <w:sz w:val="14"/>
                <w:szCs w:val="14"/>
                <w:color w:val="auto"/>
              </w:rPr>
              <w:t>Other long-term assets</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62,704</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28,242</w:t>
            </w:r>
          </w:p>
        </w:tc>
        <w:tc>
          <w:tcPr>
            <w:tcW w:w="0" w:type="dxa"/>
            <w:vAlign w:val="bottom"/>
          </w:tcPr>
          <w:p>
            <w:pPr>
              <w:spacing w:after="0"/>
              <w:rPr>
                <w:sz w:val="1"/>
                <w:szCs w:val="1"/>
                <w:color w:val="auto"/>
              </w:rPr>
            </w:pPr>
          </w:p>
        </w:tc>
      </w:tr>
      <w:tr>
        <w:trPr>
          <w:trHeight w:val="176"/>
        </w:trPr>
        <w:tc>
          <w:tcPr>
            <w:tcW w:w="6460" w:type="dxa"/>
            <w:vAlign w:val="bottom"/>
          </w:tcPr>
          <w:p>
            <w:pPr>
              <w:spacing w:after="0"/>
              <w:rPr>
                <w:sz w:val="20"/>
                <w:szCs w:val="20"/>
                <w:color w:val="auto"/>
              </w:rPr>
            </w:pPr>
            <w:r>
              <w:rPr>
                <w:rFonts w:ascii="Arial" w:cs="Arial" w:eastAsia="Arial" w:hAnsi="Arial"/>
                <w:sz w:val="14"/>
                <w:szCs w:val="14"/>
                <w:color w:val="auto"/>
              </w:rPr>
              <w:t>Intangible assets, net</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239,500</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291,670</w:t>
            </w:r>
          </w:p>
        </w:tc>
        <w:tc>
          <w:tcPr>
            <w:tcW w:w="0" w:type="dxa"/>
            <w:vAlign w:val="bottom"/>
          </w:tcPr>
          <w:p>
            <w:pPr>
              <w:spacing w:after="0"/>
              <w:rPr>
                <w:sz w:val="1"/>
                <w:szCs w:val="1"/>
                <w:color w:val="auto"/>
              </w:rPr>
            </w:pPr>
          </w:p>
        </w:tc>
      </w:tr>
      <w:tr>
        <w:trPr>
          <w:trHeight w:val="181"/>
        </w:trPr>
        <w:tc>
          <w:tcPr>
            <w:tcW w:w="6460" w:type="dxa"/>
            <w:vAlign w:val="bottom"/>
          </w:tcPr>
          <w:p>
            <w:pPr>
              <w:spacing w:after="0"/>
              <w:rPr>
                <w:sz w:val="20"/>
                <w:szCs w:val="20"/>
                <w:color w:val="auto"/>
              </w:rPr>
            </w:pPr>
            <w:r>
              <w:rPr>
                <w:rFonts w:ascii="Arial" w:cs="Arial" w:eastAsia="Arial" w:hAnsi="Arial"/>
                <w:sz w:val="14"/>
                <w:szCs w:val="14"/>
                <w:color w:val="auto"/>
              </w:rPr>
              <w:t>Goodwill</w:t>
            </w: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636,910</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1,209,376</w:t>
            </w:r>
          </w:p>
        </w:tc>
        <w:tc>
          <w:tcPr>
            <w:tcW w:w="0" w:type="dxa"/>
            <w:vAlign w:val="bottom"/>
          </w:tcPr>
          <w:p>
            <w:pPr>
              <w:spacing w:after="0"/>
              <w:rPr>
                <w:sz w:val="1"/>
                <w:szCs w:val="1"/>
                <w:color w:val="auto"/>
              </w:rPr>
            </w:pPr>
          </w:p>
        </w:tc>
      </w:tr>
      <w:tr>
        <w:trPr>
          <w:trHeight w:val="169"/>
        </w:trPr>
        <w:tc>
          <w:tcPr>
            <w:tcW w:w="6460" w:type="dxa"/>
            <w:vAlign w:val="bottom"/>
          </w:tcPr>
          <w:p>
            <w:pPr>
              <w:ind w:left="620"/>
              <w:spacing w:after="0"/>
              <w:rPr>
                <w:sz w:val="20"/>
                <w:szCs w:val="20"/>
                <w:color w:val="auto"/>
              </w:rPr>
            </w:pPr>
            <w:r>
              <w:rPr>
                <w:rFonts w:ascii="Arial" w:cs="Arial" w:eastAsia="Arial" w:hAnsi="Arial"/>
                <w:sz w:val="14"/>
                <w:szCs w:val="14"/>
                <w:color w:val="auto"/>
              </w:rPr>
              <w:t>Total assets</w:t>
            </w: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2,064,282</w:t>
            </w:r>
          </w:p>
        </w:tc>
        <w:tc>
          <w:tcPr>
            <w:tcW w:w="140" w:type="dxa"/>
            <w:vAlign w:val="bottom"/>
          </w:tcPr>
          <w:p>
            <w:pPr>
              <w:spacing w:after="0"/>
              <w:rPr>
                <w:sz w:val="14"/>
                <w:szCs w:val="14"/>
                <w:color w:val="auto"/>
              </w:rPr>
            </w:pP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2,745,797</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LIABILITIES AND SHAREHOLDERS' EQUITY</w:t>
            </w:r>
          </w:p>
        </w:tc>
        <w:tc>
          <w:tcPr>
            <w:tcW w:w="4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4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460" w:type="dxa"/>
            <w:vAlign w:val="bottom"/>
          </w:tcPr>
          <w:p>
            <w:pPr>
              <w:spacing w:after="0"/>
              <w:rPr>
                <w:sz w:val="20"/>
                <w:szCs w:val="20"/>
                <w:color w:val="auto"/>
              </w:rPr>
            </w:pPr>
            <w:r>
              <w:rPr>
                <w:rFonts w:ascii="Arial" w:cs="Arial" w:eastAsia="Arial" w:hAnsi="Arial"/>
                <w:sz w:val="14"/>
                <w:szCs w:val="14"/>
                <w:color w:val="auto"/>
              </w:rPr>
              <w:t>Current liabilities</w:t>
            </w:r>
          </w:p>
        </w:tc>
        <w:tc>
          <w:tcPr>
            <w:tcW w:w="4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420"/>
              <w:spacing w:after="0"/>
              <w:rPr>
                <w:sz w:val="20"/>
                <w:szCs w:val="20"/>
                <w:color w:val="auto"/>
              </w:rPr>
            </w:pPr>
            <w:r>
              <w:rPr>
                <w:rFonts w:ascii="Arial" w:cs="Arial" w:eastAsia="Arial" w:hAnsi="Arial"/>
                <w:sz w:val="14"/>
                <w:szCs w:val="14"/>
                <w:color w:val="auto"/>
              </w:rPr>
              <w:t>Accounts payable</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246,775</w:t>
            </w:r>
          </w:p>
        </w:tc>
        <w:tc>
          <w:tcPr>
            <w:tcW w:w="5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241,949</w:t>
            </w:r>
          </w:p>
        </w:tc>
        <w:tc>
          <w:tcPr>
            <w:tcW w:w="0" w:type="dxa"/>
            <w:vAlign w:val="bottom"/>
          </w:tcPr>
          <w:p>
            <w:pPr>
              <w:spacing w:after="0"/>
              <w:rPr>
                <w:sz w:val="1"/>
                <w:szCs w:val="1"/>
                <w:color w:val="auto"/>
              </w:rPr>
            </w:pPr>
          </w:p>
        </w:tc>
      </w:tr>
      <w:tr>
        <w:trPr>
          <w:trHeight w:val="176"/>
        </w:trPr>
        <w:tc>
          <w:tcPr>
            <w:tcW w:w="6460" w:type="dxa"/>
            <w:vAlign w:val="bottom"/>
          </w:tcPr>
          <w:p>
            <w:pPr>
              <w:ind w:left="420"/>
              <w:spacing w:after="0"/>
              <w:rPr>
                <w:sz w:val="20"/>
                <w:szCs w:val="20"/>
                <w:color w:val="auto"/>
              </w:rPr>
            </w:pPr>
            <w:r>
              <w:rPr>
                <w:rFonts w:ascii="Arial" w:cs="Arial" w:eastAsia="Arial" w:hAnsi="Arial"/>
                <w:sz w:val="14"/>
                <w:szCs w:val="14"/>
                <w:color w:val="auto"/>
              </w:rPr>
              <w:t>Other current liabilities</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53,734</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49,690</w:t>
            </w:r>
          </w:p>
        </w:tc>
        <w:tc>
          <w:tcPr>
            <w:tcW w:w="0" w:type="dxa"/>
            <w:vAlign w:val="bottom"/>
          </w:tcPr>
          <w:p>
            <w:pPr>
              <w:spacing w:after="0"/>
              <w:rPr>
                <w:sz w:val="1"/>
                <w:szCs w:val="1"/>
                <w:color w:val="auto"/>
              </w:rPr>
            </w:pPr>
          </w:p>
        </w:tc>
      </w:tr>
      <w:tr>
        <w:trPr>
          <w:trHeight w:val="176"/>
        </w:trPr>
        <w:tc>
          <w:tcPr>
            <w:tcW w:w="6460" w:type="dxa"/>
            <w:vAlign w:val="bottom"/>
          </w:tcPr>
          <w:p>
            <w:pPr>
              <w:ind w:left="420"/>
              <w:spacing w:after="0"/>
              <w:rPr>
                <w:sz w:val="20"/>
                <w:szCs w:val="20"/>
                <w:color w:val="auto"/>
              </w:rPr>
            </w:pPr>
            <w:r>
              <w:rPr>
                <w:rFonts w:ascii="Arial" w:cs="Arial" w:eastAsia="Arial" w:hAnsi="Arial"/>
                <w:sz w:val="14"/>
                <w:szCs w:val="14"/>
                <w:color w:val="auto"/>
              </w:rPr>
              <w:t>Wages and benefits payable</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93,730</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110,479</w:t>
            </w:r>
          </w:p>
        </w:tc>
        <w:tc>
          <w:tcPr>
            <w:tcW w:w="0" w:type="dxa"/>
            <w:vAlign w:val="bottom"/>
          </w:tcPr>
          <w:p>
            <w:pPr>
              <w:spacing w:after="0"/>
              <w:rPr>
                <w:sz w:val="1"/>
                <w:szCs w:val="1"/>
                <w:color w:val="auto"/>
              </w:rPr>
            </w:pPr>
          </w:p>
        </w:tc>
      </w:tr>
      <w:tr>
        <w:trPr>
          <w:trHeight w:val="176"/>
        </w:trPr>
        <w:tc>
          <w:tcPr>
            <w:tcW w:w="6460" w:type="dxa"/>
            <w:vAlign w:val="bottom"/>
          </w:tcPr>
          <w:p>
            <w:pPr>
              <w:ind w:left="420"/>
              <w:spacing w:after="0"/>
              <w:rPr>
                <w:sz w:val="20"/>
                <w:szCs w:val="20"/>
                <w:color w:val="auto"/>
              </w:rPr>
            </w:pPr>
            <w:r>
              <w:rPr>
                <w:rFonts w:ascii="Arial" w:cs="Arial" w:eastAsia="Arial" w:hAnsi="Arial"/>
                <w:sz w:val="14"/>
                <w:szCs w:val="14"/>
                <w:color w:val="auto"/>
              </w:rPr>
              <w:t>Taxes payable</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11,526</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19,725</w:t>
            </w:r>
          </w:p>
        </w:tc>
        <w:tc>
          <w:tcPr>
            <w:tcW w:w="0" w:type="dxa"/>
            <w:vAlign w:val="bottom"/>
          </w:tcPr>
          <w:p>
            <w:pPr>
              <w:spacing w:after="0"/>
              <w:rPr>
                <w:sz w:val="1"/>
                <w:szCs w:val="1"/>
                <w:color w:val="auto"/>
              </w:rPr>
            </w:pPr>
          </w:p>
        </w:tc>
      </w:tr>
      <w:tr>
        <w:trPr>
          <w:trHeight w:val="176"/>
        </w:trPr>
        <w:tc>
          <w:tcPr>
            <w:tcW w:w="6460" w:type="dxa"/>
            <w:vAlign w:val="bottom"/>
          </w:tcPr>
          <w:p>
            <w:pPr>
              <w:ind w:left="420"/>
              <w:spacing w:after="0"/>
              <w:rPr>
                <w:sz w:val="20"/>
                <w:szCs w:val="20"/>
                <w:color w:val="auto"/>
              </w:rPr>
            </w:pPr>
            <w:r>
              <w:rPr>
                <w:rFonts w:ascii="Arial" w:cs="Arial" w:eastAsia="Arial" w:hAnsi="Arial"/>
                <w:sz w:val="14"/>
                <w:szCs w:val="14"/>
                <w:color w:val="auto"/>
              </w:rPr>
              <w:t>Current portion of debt</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15,000</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228,721</w:t>
            </w:r>
          </w:p>
        </w:tc>
        <w:tc>
          <w:tcPr>
            <w:tcW w:w="0" w:type="dxa"/>
            <w:vAlign w:val="bottom"/>
          </w:tcPr>
          <w:p>
            <w:pPr>
              <w:spacing w:after="0"/>
              <w:rPr>
                <w:sz w:val="1"/>
                <w:szCs w:val="1"/>
                <w:color w:val="auto"/>
              </w:rPr>
            </w:pPr>
          </w:p>
        </w:tc>
      </w:tr>
      <w:tr>
        <w:trPr>
          <w:trHeight w:val="176"/>
        </w:trPr>
        <w:tc>
          <w:tcPr>
            <w:tcW w:w="6460" w:type="dxa"/>
            <w:vAlign w:val="bottom"/>
          </w:tcPr>
          <w:p>
            <w:pPr>
              <w:ind w:left="420"/>
              <w:spacing w:after="0"/>
              <w:rPr>
                <w:sz w:val="20"/>
                <w:szCs w:val="20"/>
                <w:color w:val="auto"/>
              </w:rPr>
            </w:pPr>
            <w:r>
              <w:rPr>
                <w:rFonts w:ascii="Arial" w:cs="Arial" w:eastAsia="Arial" w:hAnsi="Arial"/>
                <w:sz w:val="14"/>
                <w:szCs w:val="14"/>
                <w:color w:val="auto"/>
              </w:rPr>
              <w:t>Current portion of warranty</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52,588</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24,912</w:t>
            </w:r>
          </w:p>
        </w:tc>
        <w:tc>
          <w:tcPr>
            <w:tcW w:w="0" w:type="dxa"/>
            <w:vAlign w:val="bottom"/>
          </w:tcPr>
          <w:p>
            <w:pPr>
              <w:spacing w:after="0"/>
              <w:rPr>
                <w:sz w:val="1"/>
                <w:szCs w:val="1"/>
                <w:color w:val="auto"/>
              </w:rPr>
            </w:pPr>
          </w:p>
        </w:tc>
      </w:tr>
      <w:tr>
        <w:trPr>
          <w:trHeight w:val="181"/>
        </w:trPr>
        <w:tc>
          <w:tcPr>
            <w:tcW w:w="6460" w:type="dxa"/>
            <w:vAlign w:val="bottom"/>
          </w:tcPr>
          <w:p>
            <w:pPr>
              <w:ind w:left="420"/>
              <w:spacing w:after="0"/>
              <w:rPr>
                <w:sz w:val="20"/>
                <w:szCs w:val="20"/>
                <w:color w:val="auto"/>
              </w:rPr>
            </w:pPr>
            <w:r>
              <w:rPr>
                <w:rFonts w:ascii="Arial" w:cs="Arial" w:eastAsia="Arial" w:hAnsi="Arial"/>
                <w:sz w:val="14"/>
                <w:szCs w:val="14"/>
                <w:color w:val="auto"/>
              </w:rPr>
              <w:t>Unearned revenue</w:t>
            </w: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37,369</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28,258</w:t>
            </w:r>
          </w:p>
        </w:tc>
        <w:tc>
          <w:tcPr>
            <w:tcW w:w="0" w:type="dxa"/>
            <w:vAlign w:val="bottom"/>
          </w:tcPr>
          <w:p>
            <w:pPr>
              <w:spacing w:after="0"/>
              <w:rPr>
                <w:sz w:val="1"/>
                <w:szCs w:val="1"/>
                <w:color w:val="auto"/>
              </w:rPr>
            </w:pPr>
          </w:p>
        </w:tc>
      </w:tr>
      <w:tr>
        <w:trPr>
          <w:trHeight w:val="176"/>
        </w:trPr>
        <w:tc>
          <w:tcPr>
            <w:tcW w:w="6460" w:type="dxa"/>
            <w:vAlign w:val="bottom"/>
          </w:tcPr>
          <w:p>
            <w:pPr>
              <w:ind w:left="620"/>
              <w:spacing w:after="0"/>
              <w:rPr>
                <w:sz w:val="20"/>
                <w:szCs w:val="20"/>
                <w:color w:val="auto"/>
              </w:rPr>
            </w:pPr>
            <w:r>
              <w:rPr>
                <w:rFonts w:ascii="Arial" w:cs="Arial" w:eastAsia="Arial" w:hAnsi="Arial"/>
                <w:sz w:val="14"/>
                <w:szCs w:val="14"/>
                <w:color w:val="auto"/>
              </w:rPr>
              <w:t>Total current liabilities</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510,722</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703,734</w:t>
            </w:r>
          </w:p>
        </w:tc>
        <w:tc>
          <w:tcPr>
            <w:tcW w:w="0" w:type="dxa"/>
            <w:vAlign w:val="bottom"/>
          </w:tcPr>
          <w:p>
            <w:pPr>
              <w:spacing w:after="0"/>
              <w:rPr>
                <w:sz w:val="1"/>
                <w:szCs w:val="1"/>
                <w:color w:val="auto"/>
              </w:rPr>
            </w:pPr>
          </w:p>
        </w:tc>
      </w:tr>
      <w:tr>
        <w:trPr>
          <w:trHeight w:val="339"/>
        </w:trPr>
        <w:tc>
          <w:tcPr>
            <w:tcW w:w="6460" w:type="dxa"/>
            <w:vAlign w:val="bottom"/>
          </w:tcPr>
          <w:p>
            <w:pPr>
              <w:spacing w:after="0"/>
              <w:rPr>
                <w:sz w:val="20"/>
                <w:szCs w:val="20"/>
                <w:color w:val="auto"/>
              </w:rPr>
            </w:pPr>
            <w:r>
              <w:rPr>
                <w:rFonts w:ascii="Arial" w:cs="Arial" w:eastAsia="Arial" w:hAnsi="Arial"/>
                <w:sz w:val="14"/>
                <w:szCs w:val="14"/>
                <w:color w:val="auto"/>
              </w:rPr>
              <w:t>Long-term debt</w:t>
            </w:r>
          </w:p>
        </w:tc>
        <w:tc>
          <w:tcPr>
            <w:tcW w:w="440" w:type="dxa"/>
            <w:vAlign w:val="bottom"/>
          </w:tcPr>
          <w:p>
            <w:pPr>
              <w:spacing w:after="0"/>
              <w:rPr>
                <w:sz w:val="24"/>
                <w:szCs w:val="24"/>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437,502</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382,220</w:t>
            </w:r>
          </w:p>
        </w:tc>
        <w:tc>
          <w:tcPr>
            <w:tcW w:w="0" w:type="dxa"/>
            <w:vAlign w:val="bottom"/>
          </w:tcPr>
          <w:p>
            <w:pPr>
              <w:spacing w:after="0"/>
              <w:rPr>
                <w:sz w:val="1"/>
                <w:szCs w:val="1"/>
                <w:color w:val="auto"/>
              </w:rPr>
            </w:pPr>
          </w:p>
        </w:tc>
      </w:tr>
      <w:tr>
        <w:trPr>
          <w:trHeight w:val="176"/>
        </w:trPr>
        <w:tc>
          <w:tcPr>
            <w:tcW w:w="6460" w:type="dxa"/>
            <w:vAlign w:val="bottom"/>
          </w:tcPr>
          <w:p>
            <w:pPr>
              <w:spacing w:after="0"/>
              <w:rPr>
                <w:sz w:val="20"/>
                <w:szCs w:val="20"/>
                <w:color w:val="auto"/>
              </w:rPr>
            </w:pPr>
            <w:r>
              <w:rPr>
                <w:rFonts w:ascii="Arial" w:cs="Arial" w:eastAsia="Arial" w:hAnsi="Arial"/>
                <w:sz w:val="14"/>
                <w:szCs w:val="14"/>
                <w:color w:val="auto"/>
              </w:rPr>
              <w:t>Long-term warranty</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26,948</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26,371</w:t>
            </w:r>
          </w:p>
        </w:tc>
        <w:tc>
          <w:tcPr>
            <w:tcW w:w="0" w:type="dxa"/>
            <w:vAlign w:val="bottom"/>
          </w:tcPr>
          <w:p>
            <w:pPr>
              <w:spacing w:after="0"/>
              <w:rPr>
                <w:sz w:val="1"/>
                <w:szCs w:val="1"/>
                <w:color w:val="auto"/>
              </w:rPr>
            </w:pPr>
          </w:p>
        </w:tc>
      </w:tr>
      <w:tr>
        <w:trPr>
          <w:trHeight w:val="176"/>
        </w:trPr>
        <w:tc>
          <w:tcPr>
            <w:tcW w:w="6460" w:type="dxa"/>
            <w:vAlign w:val="bottom"/>
          </w:tcPr>
          <w:p>
            <w:pPr>
              <w:spacing w:after="0"/>
              <w:rPr>
                <w:sz w:val="20"/>
                <w:szCs w:val="20"/>
                <w:color w:val="auto"/>
              </w:rPr>
            </w:pPr>
            <w:r>
              <w:rPr>
                <w:rFonts w:ascii="Arial" w:cs="Arial" w:eastAsia="Arial" w:hAnsi="Arial"/>
                <w:sz w:val="14"/>
                <w:szCs w:val="14"/>
                <w:color w:val="auto"/>
              </w:rPr>
              <w:t>Pension plan benefit liability</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62,449</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61,450</w:t>
            </w:r>
          </w:p>
        </w:tc>
        <w:tc>
          <w:tcPr>
            <w:tcW w:w="0" w:type="dxa"/>
            <w:vAlign w:val="bottom"/>
          </w:tcPr>
          <w:p>
            <w:pPr>
              <w:spacing w:after="0"/>
              <w:rPr>
                <w:sz w:val="1"/>
                <w:szCs w:val="1"/>
                <w:color w:val="auto"/>
              </w:rPr>
            </w:pPr>
          </w:p>
        </w:tc>
      </w:tr>
      <w:tr>
        <w:trPr>
          <w:trHeight w:val="176"/>
        </w:trPr>
        <w:tc>
          <w:tcPr>
            <w:tcW w:w="6460" w:type="dxa"/>
            <w:vAlign w:val="bottom"/>
          </w:tcPr>
          <w:p>
            <w:pPr>
              <w:spacing w:after="0"/>
              <w:rPr>
                <w:sz w:val="20"/>
                <w:szCs w:val="20"/>
                <w:color w:val="auto"/>
              </w:rPr>
            </w:pPr>
            <w:r>
              <w:rPr>
                <w:rFonts w:ascii="Arial" w:cs="Arial" w:eastAsia="Arial" w:hAnsi="Arial"/>
                <w:sz w:val="14"/>
                <w:szCs w:val="14"/>
                <w:color w:val="auto"/>
              </w:rPr>
              <w:t>Deferred tax liabilities noncurrent, net</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31,699</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54,412</w:t>
            </w:r>
          </w:p>
        </w:tc>
        <w:tc>
          <w:tcPr>
            <w:tcW w:w="0" w:type="dxa"/>
            <w:vAlign w:val="bottom"/>
          </w:tcPr>
          <w:p>
            <w:pPr>
              <w:spacing w:after="0"/>
              <w:rPr>
                <w:sz w:val="1"/>
                <w:szCs w:val="1"/>
                <w:color w:val="auto"/>
              </w:rPr>
            </w:pPr>
          </w:p>
        </w:tc>
      </w:tr>
      <w:tr>
        <w:trPr>
          <w:trHeight w:val="181"/>
        </w:trPr>
        <w:tc>
          <w:tcPr>
            <w:tcW w:w="646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88,037</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89,315</w:t>
            </w:r>
          </w:p>
        </w:tc>
        <w:tc>
          <w:tcPr>
            <w:tcW w:w="0" w:type="dxa"/>
            <w:vAlign w:val="bottom"/>
          </w:tcPr>
          <w:p>
            <w:pPr>
              <w:spacing w:after="0"/>
              <w:rPr>
                <w:sz w:val="1"/>
                <w:szCs w:val="1"/>
                <w:color w:val="auto"/>
              </w:rPr>
            </w:pPr>
          </w:p>
        </w:tc>
      </w:tr>
      <w:tr>
        <w:trPr>
          <w:trHeight w:val="176"/>
        </w:trPr>
        <w:tc>
          <w:tcPr>
            <w:tcW w:w="6460" w:type="dxa"/>
            <w:vAlign w:val="bottom"/>
          </w:tcPr>
          <w:p>
            <w:pPr>
              <w:ind w:left="620"/>
              <w:spacing w:after="0"/>
              <w:rPr>
                <w:sz w:val="20"/>
                <w:szCs w:val="20"/>
                <w:color w:val="auto"/>
              </w:rPr>
            </w:pPr>
            <w:r>
              <w:rPr>
                <w:rFonts w:ascii="Arial" w:cs="Arial" w:eastAsia="Arial" w:hAnsi="Arial"/>
                <w:sz w:val="14"/>
                <w:szCs w:val="14"/>
                <w:color w:val="auto"/>
              </w:rPr>
              <w:t>Total liabilities</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1,157,357</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1,317,502</w:t>
            </w:r>
          </w:p>
        </w:tc>
        <w:tc>
          <w:tcPr>
            <w:tcW w:w="0" w:type="dxa"/>
            <w:vAlign w:val="bottom"/>
          </w:tcPr>
          <w:p>
            <w:pPr>
              <w:spacing w:after="0"/>
              <w:rPr>
                <w:sz w:val="1"/>
                <w:szCs w:val="1"/>
                <w:color w:val="auto"/>
              </w:rPr>
            </w:pPr>
          </w:p>
        </w:tc>
      </w:tr>
      <w:tr>
        <w:trPr>
          <w:trHeight w:val="346"/>
        </w:trPr>
        <w:tc>
          <w:tcPr>
            <w:tcW w:w="646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460" w:type="dxa"/>
            <w:vAlign w:val="bottom"/>
          </w:tcPr>
          <w:p>
            <w:pPr>
              <w:spacing w:after="0"/>
              <w:rPr>
                <w:sz w:val="20"/>
                <w:szCs w:val="20"/>
                <w:color w:val="auto"/>
              </w:rPr>
            </w:pPr>
            <w:r>
              <w:rPr>
                <w:rFonts w:ascii="Arial" w:cs="Arial" w:eastAsia="Arial" w:hAnsi="Arial"/>
                <w:sz w:val="14"/>
                <w:szCs w:val="14"/>
                <w:color w:val="auto"/>
              </w:rPr>
              <w:t>Shareholders' equity</w:t>
            </w: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420"/>
              <w:spacing w:after="0"/>
              <w:rPr>
                <w:sz w:val="20"/>
                <w:szCs w:val="20"/>
                <w:color w:val="auto"/>
              </w:rPr>
            </w:pPr>
            <w:r>
              <w:rPr>
                <w:rFonts w:ascii="Arial" w:cs="Arial" w:eastAsia="Arial" w:hAnsi="Arial"/>
                <w:sz w:val="14"/>
                <w:szCs w:val="14"/>
                <w:color w:val="auto"/>
              </w:rPr>
              <w:t>Preferred stock</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460" w:type="dxa"/>
            <w:vAlign w:val="bottom"/>
          </w:tcPr>
          <w:p>
            <w:pPr>
              <w:ind w:left="420"/>
              <w:spacing w:after="0"/>
              <w:rPr>
                <w:sz w:val="20"/>
                <w:szCs w:val="20"/>
                <w:color w:val="auto"/>
              </w:rPr>
            </w:pPr>
            <w:r>
              <w:rPr>
                <w:rFonts w:ascii="Arial" w:cs="Arial" w:eastAsia="Arial" w:hAnsi="Arial"/>
                <w:sz w:val="14"/>
                <w:szCs w:val="14"/>
                <w:color w:val="auto"/>
              </w:rPr>
              <w:t>Common stock</w:t>
            </w:r>
          </w:p>
        </w:tc>
        <w:tc>
          <w:tcPr>
            <w:tcW w:w="440" w:type="dxa"/>
            <w:vAlign w:val="bottom"/>
          </w:tcPr>
          <w:p>
            <w:pPr>
              <w:spacing w:after="0"/>
              <w:rPr>
                <w:sz w:val="15"/>
                <w:szCs w:val="15"/>
                <w:color w:val="auto"/>
              </w:rPr>
            </w:pPr>
          </w:p>
        </w:tc>
        <w:tc>
          <w:tcPr>
            <w:tcW w:w="1940" w:type="dxa"/>
            <w:vAlign w:val="bottom"/>
          </w:tcPr>
          <w:p>
            <w:pPr>
              <w:jc w:val="right"/>
              <w:ind w:right="168"/>
              <w:spacing w:after="0"/>
              <w:rPr>
                <w:sz w:val="20"/>
                <w:szCs w:val="20"/>
                <w:color w:val="auto"/>
              </w:rPr>
            </w:pPr>
            <w:r>
              <w:rPr>
                <w:rFonts w:ascii="Arial" w:cs="Arial" w:eastAsia="Arial" w:hAnsi="Arial"/>
                <w:sz w:val="14"/>
                <w:szCs w:val="14"/>
                <w:color w:val="auto"/>
              </w:rPr>
              <w:t>1,319,222</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1,328,249</w:t>
            </w:r>
          </w:p>
        </w:tc>
        <w:tc>
          <w:tcPr>
            <w:tcW w:w="0" w:type="dxa"/>
            <w:vAlign w:val="bottom"/>
          </w:tcPr>
          <w:p>
            <w:pPr>
              <w:spacing w:after="0"/>
              <w:rPr>
                <w:sz w:val="1"/>
                <w:szCs w:val="1"/>
                <w:color w:val="auto"/>
              </w:rPr>
            </w:pPr>
          </w:p>
        </w:tc>
      </w:tr>
      <w:tr>
        <w:trPr>
          <w:trHeight w:val="176"/>
        </w:trPr>
        <w:tc>
          <w:tcPr>
            <w:tcW w:w="6460" w:type="dxa"/>
            <w:vAlign w:val="bottom"/>
          </w:tcPr>
          <w:p>
            <w:pPr>
              <w:ind w:left="420"/>
              <w:spacing w:after="0"/>
              <w:rPr>
                <w:sz w:val="20"/>
                <w:szCs w:val="20"/>
                <w:color w:val="auto"/>
              </w:rPr>
            </w:pPr>
            <w:r>
              <w:rPr>
                <w:rFonts w:ascii="Arial" w:cs="Arial" w:eastAsia="Arial" w:hAnsi="Arial"/>
                <w:sz w:val="14"/>
                <w:szCs w:val="14"/>
                <w:color w:val="auto"/>
              </w:rPr>
              <w:t>Accumulated other comprehensive loss, net</w:t>
            </w:r>
          </w:p>
        </w:tc>
        <w:tc>
          <w:tcPr>
            <w:tcW w:w="440" w:type="dxa"/>
            <w:vAlign w:val="bottom"/>
          </w:tcPr>
          <w:p>
            <w:pPr>
              <w:spacing w:after="0"/>
              <w:rPr>
                <w:sz w:val="15"/>
                <w:szCs w:val="15"/>
                <w:color w:val="auto"/>
              </w:rPr>
            </w:pPr>
          </w:p>
        </w:tc>
        <w:tc>
          <w:tcPr>
            <w:tcW w:w="1940" w:type="dxa"/>
            <w:vAlign w:val="bottom"/>
          </w:tcPr>
          <w:p>
            <w:pPr>
              <w:jc w:val="right"/>
              <w:ind w:right="128"/>
              <w:spacing w:after="0"/>
              <w:rPr>
                <w:sz w:val="20"/>
                <w:szCs w:val="20"/>
                <w:color w:val="auto"/>
              </w:rPr>
            </w:pPr>
            <w:r>
              <w:rPr>
                <w:rFonts w:ascii="Arial" w:cs="Arial" w:eastAsia="Arial" w:hAnsi="Arial"/>
                <w:sz w:val="14"/>
                <w:szCs w:val="14"/>
                <w:color w:val="auto"/>
              </w:rPr>
              <w:t>(37,160)</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Pr>
          <w:p>
            <w:pPr>
              <w:jc w:val="right"/>
              <w:ind w:right="128"/>
              <w:spacing w:after="0"/>
              <w:rPr>
                <w:sz w:val="20"/>
                <w:szCs w:val="20"/>
                <w:color w:val="auto"/>
              </w:rPr>
            </w:pPr>
            <w:r>
              <w:rPr>
                <w:rFonts w:ascii="Arial" w:cs="Arial" w:eastAsia="Arial" w:hAnsi="Arial"/>
                <w:sz w:val="14"/>
                <w:szCs w:val="14"/>
                <w:color w:val="auto"/>
              </w:rPr>
              <w:t>(34,974)</w:t>
            </w:r>
          </w:p>
        </w:tc>
        <w:tc>
          <w:tcPr>
            <w:tcW w:w="0" w:type="dxa"/>
            <w:vAlign w:val="bottom"/>
          </w:tcPr>
          <w:p>
            <w:pPr>
              <w:spacing w:after="0"/>
              <w:rPr>
                <w:sz w:val="1"/>
                <w:szCs w:val="1"/>
                <w:color w:val="auto"/>
              </w:rPr>
            </w:pPr>
          </w:p>
        </w:tc>
      </w:tr>
      <w:tr>
        <w:trPr>
          <w:trHeight w:val="181"/>
        </w:trPr>
        <w:tc>
          <w:tcPr>
            <w:tcW w:w="6460" w:type="dxa"/>
            <w:vAlign w:val="bottom"/>
          </w:tcPr>
          <w:p>
            <w:pPr>
              <w:ind w:left="420"/>
              <w:spacing w:after="0"/>
              <w:rPr>
                <w:sz w:val="20"/>
                <w:szCs w:val="20"/>
                <w:color w:val="auto"/>
              </w:rPr>
            </w:pPr>
            <w:r>
              <w:rPr>
                <w:rFonts w:ascii="Arial" w:cs="Arial" w:eastAsia="Arial" w:hAnsi="Arial"/>
                <w:sz w:val="14"/>
                <w:szCs w:val="14"/>
                <w:color w:val="auto"/>
              </w:rPr>
              <w:t>(Accumulated deficit) retained earnings</w:t>
            </w: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(375,137)</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135,020</w:t>
            </w:r>
          </w:p>
        </w:tc>
        <w:tc>
          <w:tcPr>
            <w:tcW w:w="0" w:type="dxa"/>
            <w:vAlign w:val="bottom"/>
          </w:tcPr>
          <w:p>
            <w:pPr>
              <w:spacing w:after="0"/>
              <w:rPr>
                <w:sz w:val="1"/>
                <w:szCs w:val="1"/>
                <w:color w:val="auto"/>
              </w:rPr>
            </w:pPr>
          </w:p>
        </w:tc>
      </w:tr>
      <w:tr>
        <w:trPr>
          <w:trHeight w:val="169"/>
        </w:trPr>
        <w:tc>
          <w:tcPr>
            <w:tcW w:w="6460" w:type="dxa"/>
            <w:vAlign w:val="bottom"/>
          </w:tcPr>
          <w:p>
            <w:pPr>
              <w:ind w:left="620"/>
              <w:spacing w:after="0"/>
              <w:rPr>
                <w:sz w:val="20"/>
                <w:szCs w:val="20"/>
                <w:color w:val="auto"/>
              </w:rPr>
            </w:pPr>
            <w:r>
              <w:rPr>
                <w:rFonts w:ascii="Arial" w:cs="Arial" w:eastAsia="Arial" w:hAnsi="Arial"/>
                <w:sz w:val="14"/>
                <w:szCs w:val="14"/>
                <w:color w:val="auto"/>
              </w:rPr>
              <w:t>Total shareholders' equity</w:t>
            </w:r>
          </w:p>
        </w:tc>
        <w:tc>
          <w:tcPr>
            <w:tcW w:w="4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906,925</w:t>
            </w: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1,428,295</w:t>
            </w:r>
          </w:p>
        </w:tc>
        <w:tc>
          <w:tcPr>
            <w:tcW w:w="0" w:type="dxa"/>
            <w:vAlign w:val="bottom"/>
          </w:tcPr>
          <w:p>
            <w:pPr>
              <w:spacing w:after="0"/>
              <w:rPr>
                <w:sz w:val="1"/>
                <w:szCs w:val="1"/>
                <w:color w:val="auto"/>
              </w:rPr>
            </w:pPr>
          </w:p>
        </w:tc>
      </w:tr>
      <w:tr>
        <w:trPr>
          <w:trHeight w:val="169"/>
        </w:trPr>
        <w:tc>
          <w:tcPr>
            <w:tcW w:w="6460" w:type="dxa"/>
            <w:vAlign w:val="bottom"/>
          </w:tcPr>
          <w:p>
            <w:pPr>
              <w:ind w:left="620"/>
              <w:spacing w:after="0"/>
              <w:rPr>
                <w:sz w:val="20"/>
                <w:szCs w:val="20"/>
                <w:color w:val="auto"/>
              </w:rPr>
            </w:pPr>
            <w:r>
              <w:rPr>
                <w:rFonts w:ascii="Arial" w:cs="Arial" w:eastAsia="Arial" w:hAnsi="Arial"/>
                <w:sz w:val="14"/>
                <w:szCs w:val="14"/>
                <w:color w:val="auto"/>
              </w:rPr>
              <w:t>Total liabilities and shareholders' equity</w:t>
            </w: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2,064,282</w:t>
            </w:r>
          </w:p>
        </w:tc>
        <w:tc>
          <w:tcPr>
            <w:tcW w:w="140" w:type="dxa"/>
            <w:vAlign w:val="bottom"/>
          </w:tcPr>
          <w:p>
            <w:pPr>
              <w:spacing w:after="0"/>
              <w:rPr>
                <w:sz w:val="14"/>
                <w:szCs w:val="14"/>
                <w:color w:val="auto"/>
              </w:rPr>
            </w:pP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2,745,797</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46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9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20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00" w:type="dxa"/>
            <w:vAlign w:val="bottom"/>
          </w:tcPr>
          <w:p>
            <w:pPr>
              <w:spacing w:after="0"/>
              <w:rPr>
                <w:sz w:val="20"/>
                <w:szCs w:val="20"/>
                <w:color w:val="auto"/>
              </w:rPr>
            </w:pPr>
            <w:r>
              <w:rPr>
                <w:rFonts w:ascii="Arial" w:cs="Arial" w:eastAsia="Arial" w:hAnsi="Arial"/>
                <w:sz w:val="14"/>
                <w:szCs w:val="14"/>
                <w:color w:val="auto"/>
              </w:rPr>
              <w:t>(Unaudited, in thousands)</w:t>
            </w:r>
          </w:p>
        </w:tc>
        <w:tc>
          <w:tcPr>
            <w:tcW w:w="380" w:type="dxa"/>
            <w:vAlign w:val="bottom"/>
          </w:tcPr>
          <w:p>
            <w:pPr>
              <w:spacing w:after="0"/>
              <w:rPr>
                <w:sz w:val="15"/>
                <w:szCs w:val="15"/>
                <w:color w:val="auto"/>
              </w:rPr>
            </w:pPr>
          </w:p>
        </w:tc>
        <w:tc>
          <w:tcPr>
            <w:tcW w:w="3040" w:type="dxa"/>
            <w:vAlign w:val="bottom"/>
            <w:gridSpan w:val="4"/>
            <w:vMerge w:val="restart"/>
          </w:tcPr>
          <w:p>
            <w:pPr>
              <w:jc w:val="right"/>
              <w:ind w:right="508"/>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74"/>
        </w:trPr>
        <w:tc>
          <w:tcPr>
            <w:tcW w:w="8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64"/>
        </w:trPr>
        <w:tc>
          <w:tcPr>
            <w:tcW w:w="8000" w:type="dxa"/>
            <w:vAlign w:val="bottom"/>
          </w:tcPr>
          <w:p>
            <w:pPr>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(510,157)</w:t>
            </w:r>
          </w:p>
        </w:tc>
        <w:tc>
          <w:tcPr>
            <w:tcW w:w="5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104,770</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0" w:type="dxa"/>
            <w:vAlign w:val="bottom"/>
          </w:tcPr>
          <w:p>
            <w:pPr>
              <w:ind w:left="62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129,466</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131,205</w:t>
            </w:r>
          </w:p>
        </w:tc>
        <w:tc>
          <w:tcPr>
            <w:tcW w:w="0" w:type="dxa"/>
            <w:vAlign w:val="bottom"/>
          </w:tcPr>
          <w:p>
            <w:pPr>
              <w:spacing w:after="0"/>
              <w:rPr>
                <w:sz w:val="1"/>
                <w:szCs w:val="1"/>
                <w:color w:val="auto"/>
              </w:rPr>
            </w:pPr>
          </w:p>
        </w:tc>
      </w:tr>
      <w:tr>
        <w:trPr>
          <w:trHeight w:val="176"/>
        </w:trPr>
        <w:tc>
          <w:tcPr>
            <w:tcW w:w="8000" w:type="dxa"/>
            <w:vAlign w:val="bottom"/>
          </w:tcPr>
          <w:p>
            <w:pPr>
              <w:ind w:left="620"/>
              <w:spacing w:after="0"/>
              <w:rPr>
                <w:sz w:val="20"/>
                <w:szCs w:val="20"/>
                <w:color w:val="auto"/>
              </w:rPr>
            </w:pPr>
            <w:r>
              <w:rPr>
                <w:rFonts w:ascii="Arial" w:cs="Arial" w:eastAsia="Arial" w:hAnsi="Arial"/>
                <w:sz w:val="14"/>
                <w:szCs w:val="14"/>
                <w:color w:val="auto"/>
              </w:rPr>
              <w:t>Stock-based compensation</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16,411</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19,107</w:t>
            </w:r>
          </w:p>
        </w:tc>
        <w:tc>
          <w:tcPr>
            <w:tcW w:w="0" w:type="dxa"/>
            <w:vAlign w:val="bottom"/>
          </w:tcPr>
          <w:p>
            <w:pPr>
              <w:spacing w:after="0"/>
              <w:rPr>
                <w:sz w:val="1"/>
                <w:szCs w:val="1"/>
                <w:color w:val="auto"/>
              </w:rPr>
            </w:pPr>
          </w:p>
        </w:tc>
      </w:tr>
      <w:tr>
        <w:trPr>
          <w:trHeight w:val="176"/>
        </w:trPr>
        <w:tc>
          <w:tcPr>
            <w:tcW w:w="8000" w:type="dxa"/>
            <w:vAlign w:val="bottom"/>
          </w:tcPr>
          <w:p>
            <w:pPr>
              <w:ind w:left="620"/>
              <w:spacing w:after="0"/>
              <w:rPr>
                <w:sz w:val="20"/>
                <w:szCs w:val="20"/>
                <w:color w:val="auto"/>
              </w:rPr>
            </w:pPr>
            <w:r>
              <w:rPr>
                <w:rFonts w:ascii="Arial" w:cs="Arial" w:eastAsia="Arial" w:hAnsi="Arial"/>
                <w:sz w:val="14"/>
                <w:szCs w:val="14"/>
                <w:color w:val="auto"/>
              </w:rPr>
              <w:t>Amortization of prepaid debt fees</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5,715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5,492</w:t>
            </w:r>
          </w:p>
        </w:tc>
        <w:tc>
          <w:tcPr>
            <w:tcW w:w="0" w:type="dxa"/>
            <w:vAlign w:val="bottom"/>
          </w:tcPr>
          <w:p>
            <w:pPr>
              <w:spacing w:after="0"/>
              <w:rPr>
                <w:sz w:val="1"/>
                <w:szCs w:val="1"/>
                <w:color w:val="auto"/>
              </w:rPr>
            </w:pPr>
          </w:p>
        </w:tc>
      </w:tr>
      <w:tr>
        <w:trPr>
          <w:trHeight w:val="176"/>
        </w:trPr>
        <w:tc>
          <w:tcPr>
            <w:tcW w:w="8000" w:type="dxa"/>
            <w:vAlign w:val="bottom"/>
          </w:tcPr>
          <w:p>
            <w:pPr>
              <w:ind w:left="620"/>
              <w:spacing w:after="0"/>
              <w:rPr>
                <w:sz w:val="20"/>
                <w:szCs w:val="20"/>
                <w:color w:val="auto"/>
              </w:rPr>
            </w:pPr>
            <w:r>
              <w:rPr>
                <w:rFonts w:ascii="Arial" w:cs="Arial" w:eastAsia="Arial" w:hAnsi="Arial"/>
                <w:sz w:val="14"/>
                <w:szCs w:val="14"/>
                <w:color w:val="auto"/>
              </w:rPr>
              <w:t>Amortization of convertible debt discount</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5,336</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10,099</w:t>
            </w:r>
          </w:p>
        </w:tc>
        <w:tc>
          <w:tcPr>
            <w:tcW w:w="0" w:type="dxa"/>
            <w:vAlign w:val="bottom"/>
          </w:tcPr>
          <w:p>
            <w:pPr>
              <w:spacing w:after="0"/>
              <w:rPr>
                <w:sz w:val="1"/>
                <w:szCs w:val="1"/>
                <w:color w:val="auto"/>
              </w:rPr>
            </w:pPr>
          </w:p>
        </w:tc>
      </w:tr>
      <w:tr>
        <w:trPr>
          <w:trHeight w:val="176"/>
        </w:trPr>
        <w:tc>
          <w:tcPr>
            <w:tcW w:w="8000" w:type="dxa"/>
            <w:vAlign w:val="bottom"/>
          </w:tcPr>
          <w:p>
            <w:pPr>
              <w:ind w:left="620"/>
              <w:spacing w:after="0"/>
              <w:rPr>
                <w:sz w:val="20"/>
                <w:szCs w:val="20"/>
                <w:color w:val="auto"/>
              </w:rPr>
            </w:pPr>
            <w:r>
              <w:rPr>
                <w:rFonts w:ascii="Arial" w:cs="Arial" w:eastAsia="Arial" w:hAnsi="Arial"/>
                <w:sz w:val="14"/>
                <w:szCs w:val="14"/>
                <w:color w:val="auto"/>
              </w:rPr>
              <w:t>Deferred taxes, net</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(12,985)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(17,992)</w:t>
            </w:r>
          </w:p>
        </w:tc>
        <w:tc>
          <w:tcPr>
            <w:tcW w:w="0" w:type="dxa"/>
            <w:vAlign w:val="bottom"/>
          </w:tcPr>
          <w:p>
            <w:pPr>
              <w:spacing w:after="0"/>
              <w:rPr>
                <w:sz w:val="1"/>
                <w:szCs w:val="1"/>
                <w:color w:val="auto"/>
              </w:rPr>
            </w:pPr>
          </w:p>
        </w:tc>
      </w:tr>
      <w:tr>
        <w:trPr>
          <w:trHeight w:val="176"/>
        </w:trPr>
        <w:tc>
          <w:tcPr>
            <w:tcW w:w="8000" w:type="dxa"/>
            <w:vAlign w:val="bottom"/>
          </w:tcPr>
          <w:p>
            <w:pPr>
              <w:ind w:left="620"/>
              <w:spacing w:after="0"/>
              <w:rPr>
                <w:sz w:val="20"/>
                <w:szCs w:val="20"/>
                <w:color w:val="auto"/>
              </w:rPr>
            </w:pPr>
            <w:r>
              <w:rPr>
                <w:rFonts w:ascii="Arial" w:cs="Arial" w:eastAsia="Arial" w:hAnsi="Arial"/>
                <w:sz w:val="14"/>
                <w:szCs w:val="14"/>
                <w:color w:val="auto"/>
              </w:rPr>
              <w:t>Goodwill impairment</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584,847</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000" w:type="dxa"/>
            <w:vAlign w:val="bottom"/>
          </w:tcPr>
          <w:p>
            <w:pPr>
              <w:ind w:left="620"/>
              <w:spacing w:after="0"/>
              <w:rPr>
                <w:sz w:val="20"/>
                <w:szCs w:val="20"/>
                <w:color w:val="auto"/>
              </w:rPr>
            </w:pPr>
            <w:r>
              <w:rPr>
                <w:rFonts w:ascii="Arial" w:cs="Arial" w:eastAsia="Arial" w:hAnsi="Arial"/>
                <w:sz w:val="14"/>
                <w:szCs w:val="14"/>
                <w:color w:val="auto"/>
              </w:rPr>
              <w:t>Restructuring expense, non-cash</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25,144</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000" w:type="dxa"/>
            <w:vAlign w:val="bottom"/>
          </w:tcPr>
          <w:p>
            <w:pPr>
              <w:ind w:left="620"/>
              <w:spacing w:after="0"/>
              <w:rPr>
                <w:sz w:val="20"/>
                <w:szCs w:val="20"/>
                <w:color w:val="auto"/>
              </w:rPr>
            </w:pPr>
            <w:r>
              <w:rPr>
                <w:rFonts w:ascii="Arial" w:cs="Arial" w:eastAsia="Arial" w:hAnsi="Arial"/>
                <w:sz w:val="14"/>
                <w:szCs w:val="14"/>
                <w:color w:val="auto"/>
              </w:rPr>
              <w:t>Other adjustments, net</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3,917</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5,565</w:t>
            </w:r>
          </w:p>
        </w:tc>
        <w:tc>
          <w:tcPr>
            <w:tcW w:w="0" w:type="dxa"/>
            <w:vAlign w:val="bottom"/>
          </w:tcPr>
          <w:p>
            <w:pPr>
              <w:spacing w:after="0"/>
              <w:rPr>
                <w:sz w:val="1"/>
                <w:szCs w:val="1"/>
                <w:color w:val="auto"/>
              </w:rPr>
            </w:pPr>
          </w:p>
        </w:tc>
      </w:tr>
      <w:tr>
        <w:trPr>
          <w:trHeight w:val="176"/>
        </w:trPr>
        <w:tc>
          <w:tcPr>
            <w:tcW w:w="8000" w:type="dxa"/>
            <w:vAlign w:val="bottom"/>
          </w:tcPr>
          <w:p>
            <w:pPr>
              <w:spacing w:after="0"/>
              <w:rPr>
                <w:sz w:val="20"/>
                <w:szCs w:val="20"/>
                <w:color w:val="auto"/>
              </w:rPr>
            </w:pPr>
            <w:r>
              <w:rPr>
                <w:rFonts w:ascii="Arial" w:cs="Arial" w:eastAsia="Arial" w:hAnsi="Arial"/>
                <w:sz w:val="14"/>
                <w:szCs w:val="14"/>
                <w:color w:val="auto"/>
              </w:rPr>
              <w:t>Changes in operating assets and liabilities, net of acquisition:</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(22,770)</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(45,612)</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6,389</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(41,417)</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(3,859)</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(7,655)</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Other long-term assets</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(17,401)</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(8,436)</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Accounts payables, other current liabilities, and taxes payable</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22,715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40,884</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Wages and benefits payable</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(19,813)</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42,245</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Unearned revenue</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19,070</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(2,356)</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Warranty</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29,616</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14,656</w:t>
            </w:r>
          </w:p>
        </w:tc>
        <w:tc>
          <w:tcPr>
            <w:tcW w:w="0" w:type="dxa"/>
            <w:vAlign w:val="bottom"/>
          </w:tcPr>
          <w:p>
            <w:pPr>
              <w:spacing w:after="0"/>
              <w:rPr>
                <w:sz w:val="1"/>
                <w:szCs w:val="1"/>
                <w:color w:val="auto"/>
              </w:rPr>
            </w:pPr>
          </w:p>
        </w:tc>
      </w:tr>
      <w:tr>
        <w:trPr>
          <w:trHeight w:val="181"/>
        </w:trPr>
        <w:tc>
          <w:tcPr>
            <w:tcW w:w="8000" w:type="dxa"/>
            <w:vAlign w:val="bottom"/>
          </w:tcPr>
          <w:p>
            <w:pPr>
              <w:ind w:left="220"/>
              <w:spacing w:after="0"/>
              <w:rPr>
                <w:sz w:val="20"/>
                <w:szCs w:val="20"/>
                <w:color w:val="auto"/>
              </w:rPr>
            </w:pPr>
            <w:r>
              <w:rPr>
                <w:rFonts w:ascii="Arial" w:cs="Arial" w:eastAsia="Arial" w:hAnsi="Arial"/>
                <w:sz w:val="14"/>
                <w:szCs w:val="14"/>
                <w:color w:val="auto"/>
              </w:rPr>
              <w:t>Other operating, net</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(9,283)</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4,036</w:t>
            </w:r>
          </w:p>
        </w:tc>
        <w:tc>
          <w:tcPr>
            <w:tcW w:w="0" w:type="dxa"/>
            <w:vAlign w:val="bottom"/>
          </w:tcPr>
          <w:p>
            <w:pPr>
              <w:spacing w:after="0"/>
              <w:rPr>
                <w:sz w:val="1"/>
                <w:szCs w:val="1"/>
                <w:color w:val="auto"/>
              </w:rPr>
            </w:pPr>
          </w:p>
        </w:tc>
      </w:tr>
      <w:tr>
        <w:trPr>
          <w:trHeight w:val="176"/>
        </w:trPr>
        <w:tc>
          <w:tcPr>
            <w:tcW w:w="8000" w:type="dxa"/>
            <w:vAlign w:val="bottom"/>
          </w:tcPr>
          <w:p>
            <w:pPr>
              <w:ind w:left="620"/>
              <w:spacing w:after="0"/>
              <w:rPr>
                <w:sz w:val="20"/>
                <w:szCs w:val="20"/>
                <w:color w:val="auto"/>
              </w:rPr>
            </w:pPr>
            <w:r>
              <w:rPr>
                <w:rFonts w:ascii="Arial" w:cs="Arial" w:eastAsia="Arial" w:hAnsi="Arial"/>
                <w:sz w:val="14"/>
                <w:szCs w:val="14"/>
                <w:color w:val="auto"/>
              </w:rPr>
              <w:t>Net cash provided by operating activities</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252,358</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254,591</w:t>
            </w:r>
          </w:p>
        </w:tc>
        <w:tc>
          <w:tcPr>
            <w:tcW w:w="0" w:type="dxa"/>
            <w:vAlign w:val="bottom"/>
          </w:tcPr>
          <w:p>
            <w:pPr>
              <w:spacing w:after="0"/>
              <w:rPr>
                <w:sz w:val="1"/>
                <w:szCs w:val="1"/>
                <w:color w:val="auto"/>
              </w:rPr>
            </w:pPr>
          </w:p>
        </w:tc>
      </w:tr>
      <w:tr>
        <w:trPr>
          <w:trHeight w:val="339"/>
        </w:trPr>
        <w:tc>
          <w:tcPr>
            <w:tcW w:w="8000" w:type="dxa"/>
            <w:vAlign w:val="bottom"/>
          </w:tcPr>
          <w:p>
            <w:pPr>
              <w:spacing w:after="0"/>
              <w:rPr>
                <w:sz w:val="20"/>
                <w:szCs w:val="20"/>
                <w:color w:val="auto"/>
              </w:rPr>
            </w:pPr>
            <w:r>
              <w:rPr>
                <w:rFonts w:ascii="Arial" w:cs="Arial" w:eastAsia="Arial" w:hAnsi="Arial"/>
                <w:sz w:val="14"/>
                <w:szCs w:val="14"/>
                <w:color w:val="auto"/>
              </w:rPr>
              <w:t>Investing activities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Acquisitions of property, plant, and equipment</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(60,076)</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(62,822)</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Business acquisitions, net of cash equivalents acquired</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(20,092)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000" w:type="dxa"/>
            <w:vAlign w:val="bottom"/>
          </w:tcPr>
          <w:p>
            <w:pPr>
              <w:ind w:left="220"/>
              <w:spacing w:after="0"/>
              <w:rPr>
                <w:sz w:val="20"/>
                <w:szCs w:val="20"/>
                <w:color w:val="auto"/>
              </w:rPr>
            </w:pPr>
            <w:r>
              <w:rPr>
                <w:rFonts w:ascii="Arial" w:cs="Arial" w:eastAsia="Arial" w:hAnsi="Arial"/>
                <w:sz w:val="14"/>
                <w:szCs w:val="14"/>
                <w:color w:val="auto"/>
              </w:rPr>
              <w:t>Other investing, net</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1,427</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6,548</w:t>
            </w:r>
          </w:p>
        </w:tc>
        <w:tc>
          <w:tcPr>
            <w:tcW w:w="0" w:type="dxa"/>
            <w:vAlign w:val="bottom"/>
          </w:tcPr>
          <w:p>
            <w:pPr>
              <w:spacing w:after="0"/>
              <w:rPr>
                <w:sz w:val="1"/>
                <w:szCs w:val="1"/>
                <w:color w:val="auto"/>
              </w:rPr>
            </w:pPr>
          </w:p>
        </w:tc>
      </w:tr>
      <w:tr>
        <w:trPr>
          <w:trHeight w:val="176"/>
        </w:trPr>
        <w:tc>
          <w:tcPr>
            <w:tcW w:w="8000" w:type="dxa"/>
            <w:vAlign w:val="bottom"/>
          </w:tcPr>
          <w:p>
            <w:pPr>
              <w:ind w:left="620"/>
              <w:spacing w:after="0"/>
              <w:rPr>
                <w:sz w:val="20"/>
                <w:szCs w:val="20"/>
                <w:color w:val="auto"/>
              </w:rPr>
            </w:pPr>
            <w:r>
              <w:rPr>
                <w:rFonts w:ascii="Arial" w:cs="Arial" w:eastAsia="Arial" w:hAnsi="Arial"/>
                <w:sz w:val="14"/>
                <w:szCs w:val="14"/>
                <w:color w:val="auto"/>
              </w:rPr>
              <w:t>Net cash used in investing activities</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(78,741)</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(56,274)</w:t>
            </w:r>
          </w:p>
        </w:tc>
        <w:tc>
          <w:tcPr>
            <w:tcW w:w="0" w:type="dxa"/>
            <w:vAlign w:val="bottom"/>
          </w:tcPr>
          <w:p>
            <w:pPr>
              <w:spacing w:after="0"/>
              <w:rPr>
                <w:sz w:val="1"/>
                <w:szCs w:val="1"/>
                <w:color w:val="auto"/>
              </w:rPr>
            </w:pPr>
          </w:p>
        </w:tc>
      </w:tr>
      <w:tr>
        <w:trPr>
          <w:trHeight w:val="339"/>
        </w:trPr>
        <w:tc>
          <w:tcPr>
            <w:tcW w:w="8000" w:type="dxa"/>
            <w:vAlign w:val="bottom"/>
          </w:tcPr>
          <w:p>
            <w:pPr>
              <w:spacing w:after="0"/>
              <w:rPr>
                <w:sz w:val="20"/>
                <w:szCs w:val="20"/>
                <w:color w:val="auto"/>
              </w:rPr>
            </w:pPr>
            <w:r>
              <w:rPr>
                <w:rFonts w:ascii="Arial" w:cs="Arial" w:eastAsia="Arial" w:hAnsi="Arial"/>
                <w:sz w:val="14"/>
                <w:szCs w:val="14"/>
                <w:color w:val="auto"/>
              </w:rPr>
              <w:t>Financing activities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Proceeds from borrowings</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670,000</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Payments on debt</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(848,054)</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(155,163)</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Issuance of common stock</w:t>
            </w:r>
          </w:p>
        </w:tc>
        <w:tc>
          <w:tcPr>
            <w:tcW w:w="3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4,625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8,776</w:t>
            </w:r>
          </w:p>
        </w:tc>
        <w:tc>
          <w:tcPr>
            <w:tcW w:w="0" w:type="dxa"/>
            <w:vAlign w:val="bottom"/>
          </w:tcPr>
          <w:p>
            <w:pPr>
              <w:spacing w:after="0"/>
              <w:rPr>
                <w:sz w:val="1"/>
                <w:szCs w:val="1"/>
                <w:color w:val="auto"/>
              </w:rPr>
            </w:pPr>
          </w:p>
        </w:tc>
      </w:tr>
      <w:tr>
        <w:trPr>
          <w:trHeight w:val="176"/>
        </w:trPr>
        <w:tc>
          <w:tcPr>
            <w:tcW w:w="800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(29,428)</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000" w:type="dxa"/>
            <w:vAlign w:val="bottom"/>
          </w:tcPr>
          <w:p>
            <w:pPr>
              <w:ind w:left="220"/>
              <w:spacing w:after="0"/>
              <w:rPr>
                <w:sz w:val="20"/>
                <w:szCs w:val="20"/>
                <w:color w:val="auto"/>
              </w:rPr>
            </w:pPr>
            <w:r>
              <w:rPr>
                <w:rFonts w:ascii="Arial" w:cs="Arial" w:eastAsia="Arial" w:hAnsi="Arial"/>
                <w:sz w:val="14"/>
                <w:szCs w:val="14"/>
                <w:color w:val="auto"/>
              </w:rPr>
              <w:t>Other financing, net</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(6,596)</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(2,250)</w:t>
            </w:r>
          </w:p>
        </w:tc>
        <w:tc>
          <w:tcPr>
            <w:tcW w:w="0" w:type="dxa"/>
            <w:vAlign w:val="bottom"/>
          </w:tcPr>
          <w:p>
            <w:pPr>
              <w:spacing w:after="0"/>
              <w:rPr>
                <w:sz w:val="1"/>
                <w:szCs w:val="1"/>
                <w:color w:val="auto"/>
              </w:rPr>
            </w:pPr>
          </w:p>
        </w:tc>
      </w:tr>
      <w:tr>
        <w:trPr>
          <w:trHeight w:val="176"/>
        </w:trPr>
        <w:tc>
          <w:tcPr>
            <w:tcW w:w="8000" w:type="dxa"/>
            <w:vAlign w:val="bottom"/>
          </w:tcPr>
          <w:p>
            <w:pPr>
              <w:ind w:left="620"/>
              <w:spacing w:after="0"/>
              <w:rPr>
                <w:sz w:val="20"/>
                <w:szCs w:val="20"/>
                <w:color w:val="auto"/>
              </w:rPr>
            </w:pPr>
            <w:r>
              <w:rPr>
                <w:rFonts w:ascii="Arial" w:cs="Arial" w:eastAsia="Arial" w:hAnsi="Arial"/>
                <w:sz w:val="14"/>
                <w:szCs w:val="14"/>
                <w:color w:val="auto"/>
              </w:rPr>
              <w:t>Net cash used in financing activities</w:t>
            </w:r>
          </w:p>
        </w:tc>
        <w:tc>
          <w:tcPr>
            <w:tcW w:w="3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(209,453)</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(148,637)</w:t>
            </w:r>
          </w:p>
        </w:tc>
        <w:tc>
          <w:tcPr>
            <w:tcW w:w="0" w:type="dxa"/>
            <w:vAlign w:val="bottom"/>
          </w:tcPr>
          <w:p>
            <w:pPr>
              <w:spacing w:after="0"/>
              <w:rPr>
                <w:sz w:val="1"/>
                <w:szCs w:val="1"/>
                <w:color w:val="auto"/>
              </w:rPr>
            </w:pPr>
          </w:p>
        </w:tc>
      </w:tr>
      <w:tr>
        <w:trPr>
          <w:trHeight w:val="344"/>
        </w:trPr>
        <w:tc>
          <w:tcPr>
            <w:tcW w:w="8000" w:type="dxa"/>
            <w:vAlign w:val="bottom"/>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(555)</w:t>
            </w:r>
          </w:p>
        </w:tc>
        <w:tc>
          <w:tcPr>
            <w:tcW w:w="1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(2,096)</w:t>
            </w:r>
          </w:p>
        </w:tc>
        <w:tc>
          <w:tcPr>
            <w:tcW w:w="0" w:type="dxa"/>
            <w:vAlign w:val="bottom"/>
          </w:tcPr>
          <w:p>
            <w:pPr>
              <w:spacing w:after="0"/>
              <w:rPr>
                <w:sz w:val="1"/>
                <w:szCs w:val="1"/>
                <w:color w:val="auto"/>
              </w:rPr>
            </w:pPr>
          </w:p>
        </w:tc>
      </w:tr>
      <w:tr>
        <w:trPr>
          <w:trHeight w:val="164"/>
        </w:trPr>
        <w:tc>
          <w:tcPr>
            <w:tcW w:w="800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38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(36,391)</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47,584</w:t>
            </w:r>
          </w:p>
        </w:tc>
        <w:tc>
          <w:tcPr>
            <w:tcW w:w="0" w:type="dxa"/>
            <w:vAlign w:val="bottom"/>
          </w:tcPr>
          <w:p>
            <w:pPr>
              <w:spacing w:after="0"/>
              <w:rPr>
                <w:sz w:val="1"/>
                <w:szCs w:val="1"/>
                <w:color w:val="auto"/>
              </w:rPr>
            </w:pPr>
          </w:p>
        </w:tc>
      </w:tr>
      <w:tr>
        <w:trPr>
          <w:trHeight w:val="181"/>
        </w:trPr>
        <w:tc>
          <w:tcPr>
            <w:tcW w:w="800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169,477</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121,893</w:t>
            </w:r>
          </w:p>
        </w:tc>
        <w:tc>
          <w:tcPr>
            <w:tcW w:w="0" w:type="dxa"/>
            <w:vAlign w:val="bottom"/>
          </w:tcPr>
          <w:p>
            <w:pPr>
              <w:spacing w:after="0"/>
              <w:rPr>
                <w:sz w:val="1"/>
                <w:szCs w:val="1"/>
                <w:color w:val="auto"/>
              </w:rPr>
            </w:pPr>
          </w:p>
        </w:tc>
      </w:tr>
      <w:tr>
        <w:trPr>
          <w:trHeight w:val="169"/>
        </w:trPr>
        <w:tc>
          <w:tcPr>
            <w:tcW w:w="800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133,086</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169,477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0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0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b w:val="1"/>
          <w:bCs w:val="1"/>
          <w:color w:val="auto"/>
        </w:rPr>
        <w:t>Itron,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About Non-GAAP Financial Measures</w:t>
      </w:r>
    </w:p>
    <w:p>
      <w:pPr>
        <w:spacing w:after="0" w:line="188"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The accompanying press release contains non-GAAP financial measures. To supplement our consolidated financial statements, which are prepared and presented in accordance with GAAP, we use certain non-GAAP financial measures, including non-GAAP operating expense, non-GAAP operating income, non-GAAP net income, non-GAAP diluted EPS, adjusted EBITDA,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non-recurring discrete cash and non-cash charges that are infrequent in nature such as purchase accounting adjustments,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help them analyze the health of our business.</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Non-GAAP operating expense and non-GAAP operating income – We define non-GAAP operating expense as operating expense excluding the expenses related to the amortization of intangible assets, restructuring and goodwill impairment. We define non-GAAP operating income as operating income excluding the expenses related to the amortization of intangible assets, restructuring and goodwill impairment. We consider these non-GAAP financial measures to be useful metrics for management and investors because they exclude the effect of expenses that are related to previous acquisitions and restructurings. By excluding these expenses we believe that it is easier for management and investors to compare our financial results over multiple periods and analyze trends in our operations. For example, expenses related to amortization of intangible assets are now decreasing, which is improving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 Additionally, the expenses that we exclude in our calculation of non-GAAP operating expense and non-GAAP operating income may differ from the expenses that our peer companies exclude when they report the results of their operations. We compensate for these limitations by providing specific information about the GAAP amounts we have excluded from our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ind w:right="120"/>
        <w:spacing w:after="0" w:line="245" w:lineRule="auto"/>
        <w:rPr>
          <w:sz w:val="20"/>
          <w:szCs w:val="20"/>
          <w:color w:val="auto"/>
        </w:rPr>
      </w:pPr>
      <w:r>
        <w:rPr>
          <w:rFonts w:ascii="Arial" w:cs="Arial" w:eastAsia="Arial" w:hAnsi="Arial"/>
          <w:sz w:val="21"/>
          <w:szCs w:val="21"/>
          <w:color w:val="auto"/>
        </w:rPr>
        <w:t>Non-GAAP net income and non-GAAP diluted EPS – We define non-GAAP net income as net income excluding the expenses associated with amortization of intangible assets, restructuring, goodwill impairment, amortization of debt placement fees and amortization of convertible debt discount.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186"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Adjusted EBITDA – We define adjusted EBITDA as net income (a) minus interest income, (b) plus interest expense, depreciation and amortization of intangible asset expenses, restructuring expense and goodwill impairment and (c) exclude the tax expense or benefit.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Management compensates for this limitation by providing a reconciliation of this measure to GAAP net income.</w:t>
      </w:r>
    </w:p>
    <w:p>
      <w:pPr>
        <w:spacing w:after="0" w:line="185"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Free cash flow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non-GAAP operating income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00" w:type="dxa"/>
            <w:vAlign w:val="bottom"/>
          </w:tcPr>
          <w:p>
            <w:pPr>
              <w:spacing w:after="0"/>
              <w:rPr>
                <w:sz w:val="15"/>
                <w:szCs w:val="15"/>
                <w:color w:val="auto"/>
              </w:rPr>
            </w:pPr>
          </w:p>
        </w:tc>
        <w:tc>
          <w:tcPr>
            <w:tcW w:w="278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w w:val="98"/>
              </w:rPr>
              <w:t>Three Months Ended December 31,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20" w:type="dxa"/>
            <w:vAlign w:val="bottom"/>
            <w:gridSpan w:val="4"/>
            <w:vMerge w:val="restart"/>
          </w:tcPr>
          <w:p>
            <w:pPr>
              <w:jc w:val="right"/>
              <w:ind w:right="428"/>
              <w:spacing w:after="0"/>
              <w:rPr>
                <w:sz w:val="20"/>
                <w:szCs w:val="20"/>
                <w:color w:val="auto"/>
              </w:rPr>
            </w:pPr>
            <w:r>
              <w:rPr>
                <w:rFonts w:ascii="Arial" w:cs="Arial" w:eastAsia="Arial" w:hAnsi="Arial"/>
                <w:sz w:val="14"/>
                <w:szCs w:val="14"/>
                <w:b w:val="1"/>
                <w:bCs w:val="1"/>
                <w:color w:val="auto"/>
                <w:w w:val="99"/>
              </w:rPr>
              <w:t>Twelve Months Ended December 31,</w:t>
            </w:r>
          </w:p>
        </w:tc>
        <w:tc>
          <w:tcPr>
            <w:tcW w:w="0" w:type="dxa"/>
            <w:vAlign w:val="bottom"/>
          </w:tcPr>
          <w:p>
            <w:pPr>
              <w:spacing w:after="0"/>
              <w:rPr>
                <w:sz w:val="1"/>
                <w:szCs w:val="1"/>
                <w:color w:val="auto"/>
              </w:rPr>
            </w:pPr>
          </w:p>
        </w:tc>
      </w:tr>
      <w:tr>
        <w:trPr>
          <w:trHeight w:val="174"/>
        </w:trPr>
        <w:tc>
          <w:tcPr>
            <w:tcW w:w="5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64"/>
        </w:trPr>
        <w:tc>
          <w:tcPr>
            <w:tcW w:w="5000" w:type="dxa"/>
            <w:vAlign w:val="bottom"/>
          </w:tcPr>
          <w:p>
            <w:pPr>
              <w:spacing w:after="0"/>
              <w:rPr>
                <w:sz w:val="20"/>
                <w:szCs w:val="20"/>
                <w:color w:val="auto"/>
              </w:rPr>
            </w:pPr>
            <w:r>
              <w:rPr>
                <w:rFonts w:ascii="Arial" w:cs="Arial" w:eastAsia="Arial" w:hAnsi="Arial"/>
                <w:sz w:val="14"/>
                <w:szCs w:val="14"/>
                <w:color w:val="auto"/>
              </w:rPr>
              <w:t>Non-GAAP operating expense:</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220"/>
              <w:spacing w:after="0"/>
              <w:rPr>
                <w:sz w:val="20"/>
                <w:szCs w:val="20"/>
                <w:color w:val="auto"/>
              </w:rPr>
            </w:pPr>
            <w:r>
              <w:rPr>
                <w:rFonts w:ascii="Arial" w:cs="Arial" w:eastAsia="Arial" w:hAnsi="Arial"/>
                <w:sz w:val="14"/>
                <w:szCs w:val="14"/>
                <w:color w:val="auto"/>
              </w:rPr>
              <w:t>Itron North America - GAAP operating expense</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66,986</w:t>
            </w:r>
          </w:p>
        </w:tc>
        <w:tc>
          <w:tcPr>
            <w:tcW w:w="5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53,849</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219,035</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192,837</w:t>
            </w:r>
          </w:p>
        </w:tc>
        <w:tc>
          <w:tcPr>
            <w:tcW w:w="0" w:type="dxa"/>
            <w:vAlign w:val="bottom"/>
          </w:tcPr>
          <w:p>
            <w:pPr>
              <w:spacing w:after="0"/>
              <w:rPr>
                <w:sz w:val="1"/>
                <w:szCs w:val="1"/>
                <w:color w:val="auto"/>
              </w:rPr>
            </w:pPr>
          </w:p>
        </w:tc>
      </w:tr>
      <w:tr>
        <w:trPr>
          <w:trHeight w:val="176"/>
        </w:trPr>
        <w:tc>
          <w:tcPr>
            <w:tcW w:w="5000" w:type="dxa"/>
            <w:vAlign w:val="bottom"/>
          </w:tcPr>
          <w:p>
            <w:pPr>
              <w:ind w:left="62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(3,471)</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(4,085)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(14,008)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(16,339)</w:t>
            </w:r>
          </w:p>
        </w:tc>
        <w:tc>
          <w:tcPr>
            <w:tcW w:w="0" w:type="dxa"/>
            <w:vAlign w:val="bottom"/>
          </w:tcPr>
          <w:p>
            <w:pPr>
              <w:spacing w:after="0"/>
              <w:rPr>
                <w:sz w:val="1"/>
                <w:szCs w:val="1"/>
                <w:color w:val="auto"/>
              </w:rPr>
            </w:pPr>
          </w:p>
        </w:tc>
      </w:tr>
      <w:tr>
        <w:trPr>
          <w:trHeight w:val="181"/>
        </w:trPr>
        <w:tc>
          <w:tcPr>
            <w:tcW w:w="5000" w:type="dxa"/>
            <w:vAlign w:val="bottom"/>
          </w:tcPr>
          <w:p>
            <w:pPr>
              <w:ind w:left="620"/>
              <w:spacing w:after="0"/>
              <w:rPr>
                <w:sz w:val="20"/>
                <w:szCs w:val="20"/>
                <w:color w:val="auto"/>
              </w:rPr>
            </w:pPr>
            <w:r>
              <w:rPr>
                <w:rFonts w:ascii="Arial" w:cs="Arial" w:eastAsia="Arial" w:hAnsi="Arial"/>
                <w:sz w:val="14"/>
                <w:szCs w:val="14"/>
                <w:color w:val="auto"/>
              </w:rPr>
              <w:t>Restructuring expense</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(15,230)</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(15,650)</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000" w:type="dxa"/>
            <w:vAlign w:val="bottom"/>
          </w:tcPr>
          <w:p>
            <w:pPr>
              <w:ind w:left="220"/>
              <w:spacing w:after="0"/>
              <w:rPr>
                <w:sz w:val="20"/>
                <w:szCs w:val="20"/>
                <w:color w:val="auto"/>
              </w:rPr>
            </w:pPr>
            <w:r>
              <w:rPr>
                <w:rFonts w:ascii="Arial" w:cs="Arial" w:eastAsia="Arial" w:hAnsi="Arial"/>
                <w:sz w:val="14"/>
                <w:szCs w:val="14"/>
                <w:color w:val="auto"/>
              </w:rPr>
              <w:t>Itron North America - Non-GAAP operating expense</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48,285</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49,764</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189,377</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176,498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0" w:type="dxa"/>
            <w:vAlign w:val="bottom"/>
          </w:tcPr>
          <w:p>
            <w:pPr>
              <w:ind w:left="220"/>
              <w:spacing w:after="0"/>
              <w:rPr>
                <w:sz w:val="20"/>
                <w:szCs w:val="20"/>
                <w:color w:val="auto"/>
              </w:rPr>
            </w:pPr>
            <w:r>
              <w:rPr>
                <w:rFonts w:ascii="Arial" w:cs="Arial" w:eastAsia="Arial" w:hAnsi="Arial"/>
                <w:sz w:val="14"/>
                <w:szCs w:val="14"/>
                <w:color w:val="auto"/>
              </w:rPr>
              <w:t>Itron International - GAAP operating expense</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173,077</w:t>
            </w:r>
          </w:p>
        </w:tc>
        <w:tc>
          <w:tcPr>
            <w:tcW w:w="5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76,397</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940,549</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277,629</w:t>
            </w:r>
          </w:p>
        </w:tc>
        <w:tc>
          <w:tcPr>
            <w:tcW w:w="0" w:type="dxa"/>
            <w:vAlign w:val="bottom"/>
          </w:tcPr>
          <w:p>
            <w:pPr>
              <w:spacing w:after="0"/>
              <w:rPr>
                <w:sz w:val="1"/>
                <w:szCs w:val="1"/>
                <w:color w:val="auto"/>
              </w:rPr>
            </w:pPr>
          </w:p>
        </w:tc>
      </w:tr>
      <w:tr>
        <w:trPr>
          <w:trHeight w:val="176"/>
        </w:trPr>
        <w:tc>
          <w:tcPr>
            <w:tcW w:w="5000" w:type="dxa"/>
            <w:vAlign w:val="bottom"/>
          </w:tcPr>
          <w:p>
            <w:pPr>
              <w:ind w:left="62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(12,116)</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(13,507)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(49,386)</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(52,712)</w:t>
            </w:r>
          </w:p>
        </w:tc>
        <w:tc>
          <w:tcPr>
            <w:tcW w:w="0" w:type="dxa"/>
            <w:vAlign w:val="bottom"/>
          </w:tcPr>
          <w:p>
            <w:pPr>
              <w:spacing w:after="0"/>
              <w:rPr>
                <w:sz w:val="1"/>
                <w:szCs w:val="1"/>
                <w:color w:val="auto"/>
              </w:rPr>
            </w:pPr>
          </w:p>
        </w:tc>
      </w:tr>
      <w:tr>
        <w:trPr>
          <w:trHeight w:val="176"/>
        </w:trPr>
        <w:tc>
          <w:tcPr>
            <w:tcW w:w="5000" w:type="dxa"/>
            <w:vAlign w:val="bottom"/>
          </w:tcPr>
          <w:p>
            <w:pPr>
              <w:ind w:left="620"/>
              <w:spacing w:after="0"/>
              <w:rPr>
                <w:sz w:val="20"/>
                <w:szCs w:val="20"/>
                <w:color w:val="auto"/>
              </w:rPr>
            </w:pPr>
            <w:r>
              <w:rPr>
                <w:rFonts w:ascii="Arial" w:cs="Arial" w:eastAsia="Arial" w:hAnsi="Arial"/>
                <w:sz w:val="14"/>
                <w:szCs w:val="14"/>
                <w:color w:val="auto"/>
              </w:rPr>
              <w:t>Restructuring expense</w:t>
            </w:r>
          </w:p>
        </w:tc>
        <w:tc>
          <w:tcPr>
            <w:tcW w:w="30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(49,473)</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(51,544)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000" w:type="dxa"/>
            <w:vAlign w:val="bottom"/>
          </w:tcPr>
          <w:p>
            <w:pPr>
              <w:ind w:left="620"/>
              <w:spacing w:after="0"/>
              <w:rPr>
                <w:sz w:val="20"/>
                <w:szCs w:val="20"/>
                <w:color w:val="auto"/>
              </w:rPr>
            </w:pPr>
            <w:r>
              <w:rPr>
                <w:rFonts w:ascii="Arial" w:cs="Arial" w:eastAsia="Arial" w:hAnsi="Arial"/>
                <w:sz w:val="14"/>
                <w:szCs w:val="14"/>
                <w:color w:val="auto"/>
              </w:rPr>
              <w:t>Goodwill impairment</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(44,447)</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(584,847)</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000" w:type="dxa"/>
            <w:vAlign w:val="bottom"/>
          </w:tcPr>
          <w:p>
            <w:pPr>
              <w:ind w:left="220"/>
              <w:spacing w:after="0"/>
              <w:rPr>
                <w:sz w:val="20"/>
                <w:szCs w:val="20"/>
                <w:color w:val="auto"/>
              </w:rPr>
            </w:pPr>
            <w:r>
              <w:rPr>
                <w:rFonts w:ascii="Arial" w:cs="Arial" w:eastAsia="Arial" w:hAnsi="Arial"/>
                <w:sz w:val="14"/>
                <w:szCs w:val="14"/>
                <w:color w:val="auto"/>
              </w:rPr>
              <w:t>Itron International - Non-GAAP operating expense</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67,041</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62,890</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254,772</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224,917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0" w:type="dxa"/>
            <w:vAlign w:val="bottom"/>
          </w:tcPr>
          <w:p>
            <w:pPr>
              <w:ind w:left="220"/>
              <w:spacing w:after="0"/>
              <w:rPr>
                <w:sz w:val="20"/>
                <w:szCs w:val="20"/>
                <w:color w:val="auto"/>
              </w:rPr>
            </w:pPr>
            <w:r>
              <w:rPr>
                <w:rFonts w:ascii="Arial" w:cs="Arial" w:eastAsia="Arial" w:hAnsi="Arial"/>
                <w:sz w:val="14"/>
                <w:szCs w:val="14"/>
                <w:color w:val="auto"/>
              </w:rPr>
              <w:t>Total Company - GAAP operating expense</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251,712</w:t>
            </w:r>
          </w:p>
        </w:tc>
        <w:tc>
          <w:tcPr>
            <w:tcW w:w="5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141,723</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1,202,161</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514,042</w:t>
            </w:r>
          </w:p>
        </w:tc>
        <w:tc>
          <w:tcPr>
            <w:tcW w:w="0" w:type="dxa"/>
            <w:vAlign w:val="bottom"/>
          </w:tcPr>
          <w:p>
            <w:pPr>
              <w:spacing w:after="0"/>
              <w:rPr>
                <w:sz w:val="1"/>
                <w:szCs w:val="1"/>
                <w:color w:val="auto"/>
              </w:rPr>
            </w:pPr>
          </w:p>
        </w:tc>
      </w:tr>
      <w:tr>
        <w:trPr>
          <w:trHeight w:val="176"/>
        </w:trPr>
        <w:tc>
          <w:tcPr>
            <w:tcW w:w="5000" w:type="dxa"/>
            <w:vAlign w:val="bottom"/>
          </w:tcPr>
          <w:p>
            <w:pPr>
              <w:ind w:left="62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(15,587)</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(17,592)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(63,394)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(69,051)</w:t>
            </w:r>
          </w:p>
        </w:tc>
        <w:tc>
          <w:tcPr>
            <w:tcW w:w="0" w:type="dxa"/>
            <w:vAlign w:val="bottom"/>
          </w:tcPr>
          <w:p>
            <w:pPr>
              <w:spacing w:after="0"/>
              <w:rPr>
                <w:sz w:val="1"/>
                <w:szCs w:val="1"/>
                <w:color w:val="auto"/>
              </w:rPr>
            </w:pPr>
          </w:p>
        </w:tc>
      </w:tr>
      <w:tr>
        <w:trPr>
          <w:trHeight w:val="176"/>
        </w:trPr>
        <w:tc>
          <w:tcPr>
            <w:tcW w:w="5000" w:type="dxa"/>
            <w:vAlign w:val="bottom"/>
          </w:tcPr>
          <w:p>
            <w:pPr>
              <w:ind w:left="620"/>
              <w:spacing w:after="0"/>
              <w:rPr>
                <w:sz w:val="20"/>
                <w:szCs w:val="20"/>
                <w:color w:val="auto"/>
              </w:rPr>
            </w:pPr>
            <w:r>
              <w:rPr>
                <w:rFonts w:ascii="Arial" w:cs="Arial" w:eastAsia="Arial" w:hAnsi="Arial"/>
                <w:sz w:val="14"/>
                <w:szCs w:val="14"/>
                <w:color w:val="auto"/>
              </w:rPr>
              <w:t>Restructuring expense</w:t>
            </w:r>
          </w:p>
        </w:tc>
        <w:tc>
          <w:tcPr>
            <w:tcW w:w="30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(65,079)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(68,082)</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000" w:type="dxa"/>
            <w:vAlign w:val="bottom"/>
          </w:tcPr>
          <w:p>
            <w:pPr>
              <w:ind w:left="620"/>
              <w:spacing w:after="0"/>
              <w:rPr>
                <w:sz w:val="20"/>
                <w:szCs w:val="20"/>
                <w:color w:val="auto"/>
              </w:rPr>
            </w:pPr>
            <w:r>
              <w:rPr>
                <w:rFonts w:ascii="Arial" w:cs="Arial" w:eastAsia="Arial" w:hAnsi="Arial"/>
                <w:sz w:val="14"/>
                <w:szCs w:val="14"/>
                <w:color w:val="auto"/>
              </w:rPr>
              <w:t>Goodwill impairment</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(44,447)</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(584,847)</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000" w:type="dxa"/>
            <w:vAlign w:val="bottom"/>
          </w:tcPr>
          <w:p>
            <w:pPr>
              <w:ind w:left="220"/>
              <w:spacing w:after="0"/>
              <w:rPr>
                <w:sz w:val="20"/>
                <w:szCs w:val="20"/>
                <w:color w:val="auto"/>
              </w:rPr>
            </w:pPr>
            <w:r>
              <w:rPr>
                <w:rFonts w:ascii="Arial" w:cs="Arial" w:eastAsia="Arial" w:hAnsi="Arial"/>
                <w:sz w:val="14"/>
                <w:szCs w:val="14"/>
                <w:color w:val="auto"/>
              </w:rPr>
              <w:t>Total Company - Non-GAAP operating expense</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126,599</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124,131</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485,838</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444,991</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Non-GAAP operating income:</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220"/>
              <w:spacing w:after="0"/>
              <w:rPr>
                <w:sz w:val="20"/>
                <w:szCs w:val="20"/>
                <w:color w:val="auto"/>
              </w:rPr>
            </w:pPr>
            <w:r>
              <w:rPr>
                <w:rFonts w:ascii="Arial" w:cs="Arial" w:eastAsia="Arial" w:hAnsi="Arial"/>
                <w:sz w:val="14"/>
                <w:szCs w:val="14"/>
                <w:color w:val="auto"/>
              </w:rPr>
              <w:t>GAAP operating income (loss)</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(60,105)</w:t>
            </w:r>
          </w:p>
        </w:tc>
        <w:tc>
          <w:tcPr>
            <w:tcW w:w="5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43,633</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(459,183)</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184,197</w:t>
            </w:r>
          </w:p>
        </w:tc>
        <w:tc>
          <w:tcPr>
            <w:tcW w:w="0" w:type="dxa"/>
            <w:vAlign w:val="bottom"/>
          </w:tcPr>
          <w:p>
            <w:pPr>
              <w:spacing w:after="0"/>
              <w:rPr>
                <w:sz w:val="1"/>
                <w:szCs w:val="1"/>
                <w:color w:val="auto"/>
              </w:rPr>
            </w:pPr>
          </w:p>
        </w:tc>
      </w:tr>
      <w:tr>
        <w:trPr>
          <w:trHeight w:val="176"/>
        </w:trPr>
        <w:tc>
          <w:tcPr>
            <w:tcW w:w="5000" w:type="dxa"/>
            <w:vAlign w:val="bottom"/>
          </w:tcPr>
          <w:p>
            <w:pPr>
              <w:ind w:left="62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15,587</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17,592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63,394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69,051</w:t>
            </w:r>
          </w:p>
        </w:tc>
        <w:tc>
          <w:tcPr>
            <w:tcW w:w="0" w:type="dxa"/>
            <w:vAlign w:val="bottom"/>
          </w:tcPr>
          <w:p>
            <w:pPr>
              <w:spacing w:after="0"/>
              <w:rPr>
                <w:sz w:val="1"/>
                <w:szCs w:val="1"/>
                <w:color w:val="auto"/>
              </w:rPr>
            </w:pPr>
          </w:p>
        </w:tc>
      </w:tr>
      <w:tr>
        <w:trPr>
          <w:trHeight w:val="176"/>
        </w:trPr>
        <w:tc>
          <w:tcPr>
            <w:tcW w:w="5000" w:type="dxa"/>
            <w:vAlign w:val="bottom"/>
          </w:tcPr>
          <w:p>
            <w:pPr>
              <w:ind w:left="620"/>
              <w:spacing w:after="0"/>
              <w:rPr>
                <w:sz w:val="20"/>
                <w:szCs w:val="20"/>
                <w:color w:val="auto"/>
              </w:rPr>
            </w:pPr>
            <w:r>
              <w:rPr>
                <w:rFonts w:ascii="Arial" w:cs="Arial" w:eastAsia="Arial" w:hAnsi="Arial"/>
                <w:sz w:val="14"/>
                <w:szCs w:val="14"/>
                <w:color w:val="auto"/>
              </w:rPr>
              <w:t>Restructuring expense</w:t>
            </w:r>
          </w:p>
        </w:tc>
        <w:tc>
          <w:tcPr>
            <w:tcW w:w="30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65,079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68,082</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000" w:type="dxa"/>
            <w:vAlign w:val="bottom"/>
          </w:tcPr>
          <w:p>
            <w:pPr>
              <w:ind w:left="620"/>
              <w:spacing w:after="0"/>
              <w:rPr>
                <w:sz w:val="20"/>
                <w:szCs w:val="20"/>
                <w:color w:val="auto"/>
              </w:rPr>
            </w:pPr>
            <w:r>
              <w:rPr>
                <w:rFonts w:ascii="Arial" w:cs="Arial" w:eastAsia="Arial" w:hAnsi="Arial"/>
                <w:sz w:val="14"/>
                <w:szCs w:val="14"/>
                <w:color w:val="auto"/>
              </w:rPr>
              <w:t>Goodwill impairment</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44,447</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584,847</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000" w:type="dxa"/>
            <w:vAlign w:val="bottom"/>
          </w:tcPr>
          <w:p>
            <w:pPr>
              <w:ind w:left="220"/>
              <w:spacing w:after="0"/>
              <w:rPr>
                <w:sz w:val="20"/>
                <w:szCs w:val="20"/>
                <w:color w:val="auto"/>
              </w:rPr>
            </w:pPr>
            <w:r>
              <w:rPr>
                <w:rFonts w:ascii="Arial" w:cs="Arial" w:eastAsia="Arial" w:hAnsi="Arial"/>
                <w:sz w:val="14"/>
                <w:szCs w:val="14"/>
                <w:color w:val="auto"/>
              </w:rPr>
              <w:t>Non-GAAP operating income</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65,008</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61,225</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257,140</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253,248</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Non-GAAP net income:</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220"/>
              <w:spacing w:after="0"/>
              <w:rPr>
                <w:sz w:val="20"/>
                <w:szCs w:val="20"/>
                <w:color w:val="auto"/>
              </w:rPr>
            </w:pPr>
            <w:r>
              <w:rPr>
                <w:rFonts w:ascii="Arial" w:cs="Arial" w:eastAsia="Arial" w:hAnsi="Arial"/>
                <w:sz w:val="14"/>
                <w:szCs w:val="14"/>
                <w:color w:val="auto"/>
              </w:rPr>
              <w:t>GAAP net income (loss)</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(54,631)</w:t>
            </w:r>
          </w:p>
        </w:tc>
        <w:tc>
          <w:tcPr>
            <w:tcW w:w="5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26,570</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(510,157)</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104,770</w:t>
            </w:r>
          </w:p>
        </w:tc>
        <w:tc>
          <w:tcPr>
            <w:tcW w:w="0" w:type="dxa"/>
            <w:vAlign w:val="bottom"/>
          </w:tcPr>
          <w:p>
            <w:pPr>
              <w:spacing w:after="0"/>
              <w:rPr>
                <w:sz w:val="1"/>
                <w:szCs w:val="1"/>
                <w:color w:val="auto"/>
              </w:rPr>
            </w:pPr>
          </w:p>
        </w:tc>
      </w:tr>
      <w:tr>
        <w:trPr>
          <w:trHeight w:val="176"/>
        </w:trPr>
        <w:tc>
          <w:tcPr>
            <w:tcW w:w="5000" w:type="dxa"/>
            <w:vAlign w:val="bottom"/>
          </w:tcPr>
          <w:p>
            <w:pPr>
              <w:ind w:left="62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15,587</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17,592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63,394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69,051</w:t>
            </w:r>
          </w:p>
        </w:tc>
        <w:tc>
          <w:tcPr>
            <w:tcW w:w="0" w:type="dxa"/>
            <w:vAlign w:val="bottom"/>
          </w:tcPr>
          <w:p>
            <w:pPr>
              <w:spacing w:after="0"/>
              <w:rPr>
                <w:sz w:val="1"/>
                <w:szCs w:val="1"/>
                <w:color w:val="auto"/>
              </w:rPr>
            </w:pPr>
          </w:p>
        </w:tc>
      </w:tr>
      <w:tr>
        <w:trPr>
          <w:trHeight w:val="176"/>
        </w:trPr>
        <w:tc>
          <w:tcPr>
            <w:tcW w:w="5000" w:type="dxa"/>
            <w:vAlign w:val="bottom"/>
          </w:tcPr>
          <w:p>
            <w:pPr>
              <w:ind w:left="620"/>
              <w:spacing w:after="0"/>
              <w:rPr>
                <w:sz w:val="20"/>
                <w:szCs w:val="20"/>
                <w:color w:val="auto"/>
              </w:rPr>
            </w:pPr>
            <w:r>
              <w:rPr>
                <w:rFonts w:ascii="Arial" w:cs="Arial" w:eastAsia="Arial" w:hAnsi="Arial"/>
                <w:sz w:val="14"/>
                <w:szCs w:val="14"/>
                <w:color w:val="auto"/>
              </w:rPr>
              <w:t>Amortization of debt placement fees</w:t>
            </w:r>
          </w:p>
        </w:tc>
        <w:tc>
          <w:tcPr>
            <w:tcW w:w="30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349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1,222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5,435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5,285</w:t>
            </w:r>
          </w:p>
        </w:tc>
        <w:tc>
          <w:tcPr>
            <w:tcW w:w="0" w:type="dxa"/>
            <w:vAlign w:val="bottom"/>
          </w:tcPr>
          <w:p>
            <w:pPr>
              <w:spacing w:after="0"/>
              <w:rPr>
                <w:sz w:val="1"/>
                <w:szCs w:val="1"/>
                <w:color w:val="auto"/>
              </w:rPr>
            </w:pPr>
          </w:p>
        </w:tc>
      </w:tr>
      <w:tr>
        <w:trPr>
          <w:trHeight w:val="176"/>
        </w:trPr>
        <w:tc>
          <w:tcPr>
            <w:tcW w:w="5000" w:type="dxa"/>
            <w:vAlign w:val="bottom"/>
          </w:tcPr>
          <w:p>
            <w:pPr>
              <w:ind w:left="620"/>
              <w:spacing w:after="0"/>
              <w:rPr>
                <w:sz w:val="20"/>
                <w:szCs w:val="20"/>
                <w:color w:val="auto"/>
              </w:rPr>
            </w:pPr>
            <w:r>
              <w:rPr>
                <w:rFonts w:ascii="Arial" w:cs="Arial" w:eastAsia="Arial" w:hAnsi="Arial"/>
                <w:sz w:val="14"/>
                <w:szCs w:val="14"/>
                <w:color w:val="auto"/>
              </w:rPr>
              <w:t>Amortization of convertible debt discount</w:t>
            </w:r>
          </w:p>
        </w:tc>
        <w:tc>
          <w:tcPr>
            <w:tcW w:w="30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2,595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5,336</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10,099</w:t>
            </w:r>
          </w:p>
        </w:tc>
        <w:tc>
          <w:tcPr>
            <w:tcW w:w="0" w:type="dxa"/>
            <w:vAlign w:val="bottom"/>
          </w:tcPr>
          <w:p>
            <w:pPr>
              <w:spacing w:after="0"/>
              <w:rPr>
                <w:sz w:val="1"/>
                <w:szCs w:val="1"/>
                <w:color w:val="auto"/>
              </w:rPr>
            </w:pPr>
          </w:p>
        </w:tc>
      </w:tr>
      <w:tr>
        <w:trPr>
          <w:trHeight w:val="176"/>
        </w:trPr>
        <w:tc>
          <w:tcPr>
            <w:tcW w:w="5000" w:type="dxa"/>
            <w:vAlign w:val="bottom"/>
          </w:tcPr>
          <w:p>
            <w:pPr>
              <w:ind w:left="620"/>
              <w:spacing w:after="0"/>
              <w:rPr>
                <w:sz w:val="20"/>
                <w:szCs w:val="20"/>
                <w:color w:val="auto"/>
              </w:rPr>
            </w:pPr>
            <w:r>
              <w:rPr>
                <w:rFonts w:ascii="Arial" w:cs="Arial" w:eastAsia="Arial" w:hAnsi="Arial"/>
                <w:sz w:val="14"/>
                <w:szCs w:val="14"/>
                <w:color w:val="auto"/>
              </w:rPr>
              <w:t>Restructuring expense</w:t>
            </w:r>
          </w:p>
        </w:tc>
        <w:tc>
          <w:tcPr>
            <w:tcW w:w="30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65,079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68,082</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000" w:type="dxa"/>
            <w:vAlign w:val="bottom"/>
          </w:tcPr>
          <w:p>
            <w:pPr>
              <w:ind w:left="620"/>
              <w:spacing w:after="0"/>
              <w:rPr>
                <w:sz w:val="20"/>
                <w:szCs w:val="20"/>
                <w:color w:val="auto"/>
              </w:rPr>
            </w:pPr>
            <w:r>
              <w:rPr>
                <w:rFonts w:ascii="Arial" w:cs="Arial" w:eastAsia="Arial" w:hAnsi="Arial"/>
                <w:sz w:val="14"/>
                <w:szCs w:val="14"/>
                <w:color w:val="auto"/>
              </w:rPr>
              <w:t>Goodwill impairment</w:t>
            </w:r>
          </w:p>
        </w:tc>
        <w:tc>
          <w:tcPr>
            <w:tcW w:w="30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44,447</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584,847</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000" w:type="dxa"/>
            <w:vAlign w:val="bottom"/>
          </w:tcPr>
          <w:p>
            <w:pPr>
              <w:ind w:left="620"/>
              <w:spacing w:after="0"/>
              <w:rPr>
                <w:sz w:val="20"/>
                <w:szCs w:val="20"/>
                <w:color w:val="auto"/>
              </w:rPr>
            </w:pPr>
            <w:r>
              <w:rPr>
                <w:rFonts w:ascii="Arial" w:cs="Arial" w:eastAsia="Arial" w:hAnsi="Arial"/>
                <w:sz w:val="14"/>
                <w:szCs w:val="14"/>
                <w:color w:val="auto"/>
              </w:rPr>
              <w:t>Income tax effect of non-GAAP adjustments</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(22,319)</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(9,232)</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(40,986)</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(29,752)</w:t>
            </w:r>
          </w:p>
        </w:tc>
        <w:tc>
          <w:tcPr>
            <w:tcW w:w="0" w:type="dxa"/>
            <w:vAlign w:val="bottom"/>
          </w:tcPr>
          <w:p>
            <w:pPr>
              <w:spacing w:after="0"/>
              <w:rPr>
                <w:sz w:val="1"/>
                <w:szCs w:val="1"/>
                <w:color w:val="auto"/>
              </w:rPr>
            </w:pPr>
          </w:p>
        </w:tc>
      </w:tr>
      <w:tr>
        <w:trPr>
          <w:trHeight w:val="169"/>
        </w:trPr>
        <w:tc>
          <w:tcPr>
            <w:tcW w:w="5000" w:type="dxa"/>
            <w:vAlign w:val="bottom"/>
          </w:tcPr>
          <w:p>
            <w:pPr>
              <w:ind w:left="220"/>
              <w:spacing w:after="0"/>
              <w:rPr>
                <w:sz w:val="20"/>
                <w:szCs w:val="20"/>
                <w:color w:val="auto"/>
              </w:rPr>
            </w:pPr>
            <w:r>
              <w:rPr>
                <w:rFonts w:ascii="Arial" w:cs="Arial" w:eastAsia="Arial" w:hAnsi="Arial"/>
                <w:sz w:val="14"/>
                <w:szCs w:val="14"/>
                <w:color w:val="auto"/>
              </w:rPr>
              <w:t>Non-GAAP net income</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48,512</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38,747</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175,951</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159,453</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4"/>
                <w:szCs w:val="14"/>
                <w:color w:val="auto"/>
              </w:rPr>
              <w:t>Non-GAAP diluted EPS</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0" w:type="dxa"/>
            <w:vAlign w:val="bottom"/>
            <w:vMerge w:val="continue"/>
          </w:tcPr>
          <w:p>
            <w:pPr>
              <w:spacing w:after="0"/>
              <w:rPr>
                <w:sz w:val="14"/>
                <w:szCs w:val="14"/>
                <w:color w:val="auto"/>
              </w:rPr>
            </w:pP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1.19</w:t>
            </w:r>
          </w:p>
        </w:tc>
        <w:tc>
          <w:tcPr>
            <w:tcW w:w="14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0.95</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4.29</w:t>
            </w:r>
          </w:p>
        </w:tc>
        <w:tc>
          <w:tcPr>
            <w:tcW w:w="14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000" w:type="dxa"/>
            <w:vAlign w:val="bottom"/>
          </w:tcPr>
          <w:p>
            <w:pPr>
              <w:ind w:left="220"/>
              <w:spacing w:after="0"/>
              <w:rPr>
                <w:sz w:val="20"/>
                <w:szCs w:val="20"/>
                <w:color w:val="auto"/>
              </w:rPr>
            </w:pPr>
            <w:r>
              <w:rPr>
                <w:rFonts w:ascii="Arial" w:cs="Arial" w:eastAsia="Arial" w:hAnsi="Arial"/>
                <w:sz w:val="14"/>
                <w:szCs w:val="14"/>
                <w:color w:val="auto"/>
              </w:rPr>
              <w:t>Weighted average common shares outstanding - Diluted</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40,805</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40,938</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40,985</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40,947</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Adjusted EBITDA:</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220"/>
              <w:spacing w:after="0"/>
              <w:rPr>
                <w:sz w:val="20"/>
                <w:szCs w:val="20"/>
                <w:color w:val="auto"/>
              </w:rPr>
            </w:pPr>
            <w:r>
              <w:rPr>
                <w:rFonts w:ascii="Arial" w:cs="Arial" w:eastAsia="Arial" w:hAnsi="Arial"/>
                <w:sz w:val="14"/>
                <w:szCs w:val="14"/>
                <w:color w:val="auto"/>
              </w:rPr>
              <w:t>GAAP net income (loss)</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(54,631)</w:t>
            </w:r>
          </w:p>
        </w:tc>
        <w:tc>
          <w:tcPr>
            <w:tcW w:w="5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26,570</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(510,157)</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104,770</w:t>
            </w:r>
          </w:p>
        </w:tc>
        <w:tc>
          <w:tcPr>
            <w:tcW w:w="0" w:type="dxa"/>
            <w:vAlign w:val="bottom"/>
          </w:tcPr>
          <w:p>
            <w:pPr>
              <w:spacing w:after="0"/>
              <w:rPr>
                <w:sz w:val="1"/>
                <w:szCs w:val="1"/>
                <w:color w:val="auto"/>
              </w:rPr>
            </w:pPr>
          </w:p>
        </w:tc>
      </w:tr>
      <w:tr>
        <w:trPr>
          <w:trHeight w:val="176"/>
        </w:trPr>
        <w:tc>
          <w:tcPr>
            <w:tcW w:w="5000" w:type="dxa"/>
            <w:vAlign w:val="bottom"/>
          </w:tcPr>
          <w:p>
            <w:pPr>
              <w:ind w:left="62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(862)</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76"/>
        </w:trPr>
        <w:tc>
          <w:tcPr>
            <w:tcW w:w="5000" w:type="dxa"/>
            <w:vAlign w:val="bottom"/>
          </w:tcPr>
          <w:p>
            <w:pPr>
              <w:ind w:left="6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2,464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12,688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36,794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54,904</w:t>
            </w:r>
          </w:p>
        </w:tc>
        <w:tc>
          <w:tcPr>
            <w:tcW w:w="0" w:type="dxa"/>
            <w:vAlign w:val="bottom"/>
          </w:tcPr>
          <w:p>
            <w:pPr>
              <w:spacing w:after="0"/>
              <w:rPr>
                <w:sz w:val="1"/>
                <w:szCs w:val="1"/>
                <w:color w:val="auto"/>
              </w:rPr>
            </w:pPr>
          </w:p>
        </w:tc>
      </w:tr>
      <w:tr>
        <w:trPr>
          <w:trHeight w:val="176"/>
        </w:trPr>
        <w:tc>
          <w:tcPr>
            <w:tcW w:w="5000" w:type="dxa"/>
            <w:vAlign w:val="bottom"/>
          </w:tcPr>
          <w:p>
            <w:pPr>
              <w:ind w:left="620"/>
              <w:spacing w:after="0"/>
              <w:rPr>
                <w:sz w:val="20"/>
                <w:szCs w:val="20"/>
                <w:color w:val="auto"/>
              </w:rPr>
            </w:pPr>
            <w:r>
              <w:rPr>
                <w:rFonts w:ascii="Arial" w:cs="Arial" w:eastAsia="Arial" w:hAnsi="Arial"/>
                <w:sz w:val="14"/>
                <w:szCs w:val="14"/>
                <w:color w:val="auto"/>
              </w:rPr>
              <w:t>Income tax provision (benefit)</w:t>
            </w:r>
          </w:p>
        </w:tc>
        <w:tc>
          <w:tcPr>
            <w:tcW w:w="30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(11,099)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822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4,430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15,974</w:t>
            </w:r>
          </w:p>
        </w:tc>
        <w:tc>
          <w:tcPr>
            <w:tcW w:w="0" w:type="dxa"/>
            <w:vAlign w:val="bottom"/>
          </w:tcPr>
          <w:p>
            <w:pPr>
              <w:spacing w:after="0"/>
              <w:rPr>
                <w:sz w:val="1"/>
                <w:szCs w:val="1"/>
                <w:color w:val="auto"/>
              </w:rPr>
            </w:pPr>
          </w:p>
        </w:tc>
      </w:tr>
      <w:tr>
        <w:trPr>
          <w:trHeight w:val="176"/>
        </w:trPr>
        <w:tc>
          <w:tcPr>
            <w:tcW w:w="5000" w:type="dxa"/>
            <w:vAlign w:val="bottom"/>
          </w:tcPr>
          <w:p>
            <w:pPr>
              <w:ind w:left="6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32,547</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34,021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129,466</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131,205</w:t>
            </w:r>
          </w:p>
        </w:tc>
        <w:tc>
          <w:tcPr>
            <w:tcW w:w="0" w:type="dxa"/>
            <w:vAlign w:val="bottom"/>
          </w:tcPr>
          <w:p>
            <w:pPr>
              <w:spacing w:after="0"/>
              <w:rPr>
                <w:sz w:val="1"/>
                <w:szCs w:val="1"/>
                <w:color w:val="auto"/>
              </w:rPr>
            </w:pPr>
          </w:p>
        </w:tc>
      </w:tr>
      <w:tr>
        <w:trPr>
          <w:trHeight w:val="176"/>
        </w:trPr>
        <w:tc>
          <w:tcPr>
            <w:tcW w:w="5000" w:type="dxa"/>
            <w:vAlign w:val="bottom"/>
          </w:tcPr>
          <w:p>
            <w:pPr>
              <w:ind w:left="620"/>
              <w:spacing w:after="0"/>
              <w:rPr>
                <w:sz w:val="20"/>
                <w:szCs w:val="20"/>
                <w:color w:val="auto"/>
              </w:rPr>
            </w:pPr>
            <w:r>
              <w:rPr>
                <w:rFonts w:ascii="Arial" w:cs="Arial" w:eastAsia="Arial" w:hAnsi="Arial"/>
                <w:sz w:val="14"/>
                <w:szCs w:val="14"/>
                <w:color w:val="auto"/>
              </w:rPr>
              <w:t>Restructuring expense</w:t>
            </w:r>
          </w:p>
        </w:tc>
        <w:tc>
          <w:tcPr>
            <w:tcW w:w="30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65,079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68,082</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000" w:type="dxa"/>
            <w:vAlign w:val="bottom"/>
          </w:tcPr>
          <w:p>
            <w:pPr>
              <w:ind w:left="620"/>
              <w:spacing w:after="0"/>
              <w:rPr>
                <w:sz w:val="20"/>
                <w:szCs w:val="20"/>
                <w:color w:val="auto"/>
              </w:rPr>
            </w:pPr>
            <w:r>
              <w:rPr>
                <w:rFonts w:ascii="Arial" w:cs="Arial" w:eastAsia="Arial" w:hAnsi="Arial"/>
                <w:sz w:val="14"/>
                <w:szCs w:val="14"/>
                <w:color w:val="auto"/>
              </w:rPr>
              <w:t>Goodwill impairment</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44,447</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584,847</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000" w:type="dxa"/>
            <w:vAlign w:val="bottom"/>
          </w:tcPr>
          <w:p>
            <w:pPr>
              <w:ind w:left="220"/>
              <w:spacing w:after="0"/>
              <w:rPr>
                <w:sz w:val="20"/>
                <w:szCs w:val="20"/>
                <w:color w:val="auto"/>
              </w:rPr>
            </w:pPr>
            <w:r>
              <w:rPr>
                <w:rFonts w:ascii="Arial" w:cs="Arial" w:eastAsia="Arial" w:hAnsi="Arial"/>
                <w:sz w:val="14"/>
                <w:szCs w:val="14"/>
                <w:color w:val="auto"/>
              </w:rPr>
              <w:t>Adjusted EBITDA</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78,576</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73,953</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312,600</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306,261</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Free Cash Flow:</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6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98,557</w:t>
            </w:r>
          </w:p>
        </w:tc>
        <w:tc>
          <w:tcPr>
            <w:tcW w:w="5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87,475</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252,358</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254,591</w:t>
            </w:r>
          </w:p>
        </w:tc>
        <w:tc>
          <w:tcPr>
            <w:tcW w:w="0" w:type="dxa"/>
            <w:vAlign w:val="bottom"/>
          </w:tcPr>
          <w:p>
            <w:pPr>
              <w:spacing w:after="0"/>
              <w:rPr>
                <w:sz w:val="1"/>
                <w:szCs w:val="1"/>
                <w:color w:val="auto"/>
              </w:rPr>
            </w:pPr>
          </w:p>
        </w:tc>
      </w:tr>
      <w:tr>
        <w:trPr>
          <w:trHeight w:val="181"/>
        </w:trPr>
        <w:tc>
          <w:tcPr>
            <w:tcW w:w="5000" w:type="dxa"/>
            <w:vAlign w:val="bottom"/>
          </w:tcPr>
          <w:p>
            <w:pPr>
              <w:ind w:left="620"/>
              <w:spacing w:after="0"/>
              <w:rPr>
                <w:sz w:val="20"/>
                <w:szCs w:val="20"/>
                <w:color w:val="auto"/>
              </w:rPr>
            </w:pPr>
            <w:r>
              <w:rPr>
                <w:rFonts w:ascii="Arial" w:cs="Arial" w:eastAsia="Arial" w:hAnsi="Arial"/>
                <w:sz w:val="14"/>
                <w:szCs w:val="14"/>
                <w:color w:val="auto"/>
              </w:rPr>
              <w:t>Acquisitions of property, plant, and equipment</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(14,277)</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(17,315)</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(60,076)</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(62,822)</w:t>
            </w:r>
          </w:p>
        </w:tc>
        <w:tc>
          <w:tcPr>
            <w:tcW w:w="0" w:type="dxa"/>
            <w:vAlign w:val="bottom"/>
          </w:tcPr>
          <w:p>
            <w:pPr>
              <w:spacing w:after="0"/>
              <w:rPr>
                <w:sz w:val="1"/>
                <w:szCs w:val="1"/>
                <w:color w:val="auto"/>
              </w:rPr>
            </w:pPr>
          </w:p>
        </w:tc>
      </w:tr>
      <w:tr>
        <w:trPr>
          <w:trHeight w:val="169"/>
        </w:trPr>
        <w:tc>
          <w:tcPr>
            <w:tcW w:w="5000" w:type="dxa"/>
            <w:vAlign w:val="bottom"/>
          </w:tcPr>
          <w:p>
            <w:pPr>
              <w:ind w:left="220"/>
              <w:spacing w:after="0"/>
              <w:rPr>
                <w:sz w:val="20"/>
                <w:szCs w:val="20"/>
                <w:color w:val="auto"/>
              </w:rPr>
            </w:pPr>
            <w:r>
              <w:rPr>
                <w:rFonts w:ascii="Arial" w:cs="Arial" w:eastAsia="Arial" w:hAnsi="Arial"/>
                <w:sz w:val="14"/>
                <w:szCs w:val="14"/>
                <w:color w:val="auto"/>
              </w:rPr>
              <w:t>Free Cash Flow</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84,280</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70,160</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192,282</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191,769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Barbara Doyle, 509-891-3443</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u w:val="single" w:color="auto"/>
          <w:color w:val="auto"/>
        </w:rPr>
        <w:t>barbara.doyle@itron.com</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Marni Pilcher, 509-891-3847</w:t>
      </w:r>
    </w:p>
    <w:p>
      <w:pPr>
        <w:spacing w:after="0" w:line="231" w:lineRule="auto"/>
        <w:rPr>
          <w:sz w:val="20"/>
          <w:szCs w:val="20"/>
          <w:color w:val="auto"/>
        </w:rPr>
      </w:pPr>
      <w:r>
        <w:rPr>
          <w:rFonts w:ascii="Arial" w:cs="Arial" w:eastAsia="Arial" w:hAnsi="Arial"/>
          <w:sz w:val="22"/>
          <w:szCs w:val="22"/>
          <w:color w:val="auto"/>
        </w:rPr>
        <w:t>Director, Investor Relations</w:t>
      </w:r>
    </w:p>
    <w:p>
      <w:pPr>
        <w:spacing w:after="0"/>
        <w:rPr>
          <w:sz w:val="20"/>
          <w:szCs w:val="20"/>
          <w:color w:val="auto"/>
        </w:rPr>
      </w:pPr>
      <w:r>
        <w:rPr>
          <w:rFonts w:ascii="Arial" w:cs="Arial" w:eastAsia="Arial" w:hAnsi="Arial"/>
          <w:sz w:val="22"/>
          <w:szCs w:val="22"/>
          <w:u w:val="single" w:color="auto"/>
          <w:color w:val="auto"/>
        </w:rPr>
        <w:t>marni.pilcher@itron.com</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2019-12-09T09:52:03Z</dcterms:created>
  <dcterms:modified xsi:type="dcterms:W3CDTF">2019-12-09T09:52:03Z</dcterms:modified>
</cp:coreProperties>
</file>