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46990</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15"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53"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13" w:lineRule="exact"/>
        <w:rPr>
          <w:sz w:val="24"/>
          <w:szCs w:val="24"/>
          <w:color w:val="auto"/>
        </w:rPr>
      </w:pPr>
    </w:p>
    <w:tbl>
      <w:tblPr>
        <w:tblLayout w:type="fixed"/>
        <w:tblInd w:w="8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Arial" w:cs="Arial" w:eastAsia="Arial" w:hAnsi="Arial"/>
                <w:sz w:val="14"/>
                <w:szCs w:val="14"/>
                <w:b w:val="1"/>
                <w:bCs w:val="1"/>
                <w:color w:val="auto"/>
                <w:w w:val="91"/>
              </w:rPr>
              <w:t>(Address and telephone number of registrant's principal executive offices)</w:t>
            </w:r>
          </w:p>
        </w:tc>
      </w:tr>
      <w:tr>
        <w:trPr>
          <w:trHeight w:val="458"/>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Arial" w:cs="Arial" w:eastAsia="Arial" w:hAnsi="Arial"/>
                <w:sz w:val="18"/>
                <w:szCs w:val="18"/>
                <w:b w:val="1"/>
                <w:bCs w:val="1"/>
                <w:color w:val="auto"/>
                <w:w w:val="87"/>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1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90"/>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company"</w:t>
            </w:r>
          </w:p>
        </w:tc>
        <w:tc>
          <w:tcPr>
            <w:tcW w:w="480" w:type="dxa"/>
            <w:vAlign w:val="bottom"/>
          </w:tcPr>
          <w:p>
            <w:pPr>
              <w:spacing w:after="0"/>
              <w:rPr>
                <w:sz w:val="20"/>
                <w:szCs w:val="20"/>
                <w:color w:val="auto"/>
              </w:rPr>
            </w:pPr>
            <w:r>
              <w:rPr>
                <w:rFonts w:ascii="Arial" w:cs="Arial" w:eastAsia="Arial" w:hAnsi="Arial"/>
                <w:sz w:val="18"/>
                <w:szCs w:val="18"/>
                <w:color w:val="auto"/>
              </w:rPr>
              <w:t>in</w:t>
            </w:r>
          </w:p>
        </w:tc>
        <w:tc>
          <w:tcPr>
            <w:tcW w:w="1760" w:type="dxa"/>
            <w:vAlign w:val="bottom"/>
          </w:tcPr>
          <w:p>
            <w:pPr>
              <w:ind w:left="820"/>
              <w:spacing w:after="0"/>
              <w:rPr>
                <w:sz w:val="20"/>
                <w:szCs w:val="20"/>
                <w:color w:val="auto"/>
              </w:rPr>
            </w:pPr>
            <w:r>
              <w:rPr>
                <w:rFonts w:ascii="Arial" w:cs="Arial" w:eastAsia="Arial" w:hAnsi="Arial"/>
                <w:sz w:val="18"/>
                <w:szCs w:val="18"/>
                <w:color w:val="auto"/>
              </w:rPr>
              <w:t>Rule</w:t>
            </w:r>
          </w:p>
        </w:tc>
        <w:tc>
          <w:tcPr>
            <w:tcW w:w="1580" w:type="dxa"/>
            <w:vAlign w:val="bottom"/>
          </w:tcPr>
          <w:p>
            <w:pPr>
              <w:ind w:left="580"/>
              <w:spacing w:after="0"/>
              <w:rPr>
                <w:sz w:val="20"/>
                <w:szCs w:val="20"/>
                <w:color w:val="auto"/>
              </w:rPr>
            </w:pPr>
            <w:r>
              <w:rPr>
                <w:rFonts w:ascii="Arial" w:cs="Arial" w:eastAsia="Arial" w:hAnsi="Arial"/>
                <w:sz w:val="18"/>
                <w:szCs w:val="18"/>
                <w:color w:val="auto"/>
              </w:rPr>
              <w:t>12b-2</w:t>
            </w:r>
          </w:p>
        </w:tc>
        <w:tc>
          <w:tcPr>
            <w:tcW w:w="1260" w:type="dxa"/>
            <w:vAlign w:val="bottom"/>
          </w:tcPr>
          <w:p>
            <w:pPr>
              <w:ind w:left="600"/>
              <w:spacing w:after="0"/>
              <w:rPr>
                <w:sz w:val="20"/>
                <w:szCs w:val="20"/>
                <w:color w:val="auto"/>
              </w:rPr>
            </w:pPr>
            <w:r>
              <w:rPr>
                <w:rFonts w:ascii="Arial" w:cs="Arial" w:eastAsia="Arial" w:hAnsi="Arial"/>
                <w:sz w:val="18"/>
                <w:szCs w:val="18"/>
                <w:color w:val="auto"/>
              </w:rPr>
              <w:t>of</w:t>
            </w:r>
          </w:p>
        </w:tc>
        <w:tc>
          <w:tcPr>
            <w:tcW w:w="1880" w:type="dxa"/>
            <w:vAlign w:val="bottom"/>
          </w:tcPr>
          <w:p>
            <w:pPr>
              <w:ind w:left="660"/>
              <w:spacing w:after="0"/>
              <w:rPr>
                <w:sz w:val="20"/>
                <w:szCs w:val="20"/>
                <w:color w:val="auto"/>
              </w:rPr>
            </w:pPr>
            <w:r>
              <w:rPr>
                <w:rFonts w:ascii="Arial" w:cs="Arial" w:eastAsia="Arial" w:hAnsi="Arial"/>
                <w:sz w:val="18"/>
                <w:szCs w:val="18"/>
                <w:color w:val="auto"/>
              </w:rPr>
              <w:t>the</w:t>
            </w:r>
          </w:p>
        </w:tc>
        <w:tc>
          <w:tcPr>
            <w:tcW w:w="1260" w:type="dxa"/>
            <w:vAlign w:val="bottom"/>
          </w:tcPr>
          <w:p>
            <w:pPr>
              <w:ind w:left="160"/>
              <w:spacing w:after="0"/>
              <w:rPr>
                <w:sz w:val="20"/>
                <w:szCs w:val="20"/>
                <w:color w:val="auto"/>
              </w:rPr>
            </w:pPr>
            <w:r>
              <w:rPr>
                <w:rFonts w:ascii="Arial" w:cs="Arial" w:eastAsia="Arial" w:hAnsi="Arial"/>
                <w:sz w:val="18"/>
                <w:szCs w:val="18"/>
                <w:color w:val="auto"/>
              </w:rPr>
              <w:t>Exchange</w:t>
            </w:r>
          </w:p>
        </w:tc>
        <w:tc>
          <w:tcPr>
            <w:tcW w:w="1100" w:type="dxa"/>
            <w:vAlign w:val="bottom"/>
          </w:tcPr>
          <w:p>
            <w:pPr>
              <w:ind w:left="800"/>
              <w:spacing w:after="0"/>
              <w:rPr>
                <w:sz w:val="20"/>
                <w:szCs w:val="20"/>
                <w:color w:val="auto"/>
              </w:rPr>
            </w:pPr>
            <w:r>
              <w:rPr>
                <w:rFonts w:ascii="Arial" w:cs="Arial" w:eastAsia="Arial" w:hAnsi="Arial"/>
                <w:sz w:val="18"/>
                <w:szCs w:val="18"/>
                <w:color w:val="auto"/>
                <w:w w:val="90"/>
              </w:rPr>
              <w:t>Act.</w:t>
            </w:r>
          </w:p>
        </w:tc>
      </w:tr>
      <w:tr>
        <w:trPr>
          <w:trHeight w:val="316"/>
        </w:trPr>
        <w:tc>
          <w:tcPr>
            <w:tcW w:w="2400" w:type="dxa"/>
            <w:vAlign w:val="bottom"/>
            <w:gridSpan w:val="2"/>
          </w:tcPr>
          <w:p>
            <w:pPr>
              <w:ind w:left="400"/>
              <w:spacing w:after="0"/>
              <w:rPr>
                <w:sz w:val="20"/>
                <w:szCs w:val="20"/>
                <w:color w:val="auto"/>
              </w:rPr>
            </w:pPr>
            <w:r>
              <w:rPr>
                <w:rFonts w:ascii="Arial" w:cs="Arial" w:eastAsia="Arial" w:hAnsi="Arial"/>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Arial" w:cs="Arial" w:eastAsia="Arial" w:hAnsi="Arial"/>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Arial" w:cs="Arial" w:eastAsia="Arial" w:hAnsi="Arial"/>
                <w:sz w:val="18"/>
                <w:szCs w:val="18"/>
                <w:color w:val="auto"/>
                <w:w w:val="90"/>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Arial" w:cs="Arial" w:eastAsia="Arial" w:hAnsi="Arial"/>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6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July 31, 2021, there were outstanding 45,235,686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96"/>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980" w:type="dxa"/>
            <w:vAlign w:val="bottom"/>
            <w:gridSpan w:val="5"/>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FF"/>
                </w:rPr>
                <w:t>Financial Statements (Unaudited)</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w:t>
              </w:r>
            </w:hyperlink>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Comprehensive Income (Loss)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w:t>
              </w:r>
            </w:hyperlink>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Equity</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1">
              <w:r>
                <w:rPr>
                  <w:rFonts w:ascii="Arial" w:cs="Arial" w:eastAsia="Arial" w:hAnsi="Arial"/>
                  <w:sz w:val="18"/>
                  <w:szCs w:val="18"/>
                  <w:color w:val="0000FF"/>
                </w:rPr>
                <w:t>Management’s Discussion and Analysis of Financial Condition and Results of Operations</w:t>
              </w:r>
            </w:hyperlink>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1">
              <w:r>
                <w:rPr>
                  <w:rFonts w:ascii="Arial" w:cs="Arial" w:eastAsia="Arial" w:hAnsi="Arial"/>
                  <w:sz w:val="18"/>
                  <w:szCs w:val="18"/>
                  <w:color w:val="0000FF"/>
                </w:rPr>
                <w:t>Quantitative and Qualitative Disclosures About Market Risk</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3">
              <w:r>
                <w:rPr>
                  <w:rFonts w:ascii="Arial" w:cs="Arial" w:eastAsia="Arial" w:hAnsi="Arial"/>
                  <w:sz w:val="18"/>
                  <w:szCs w:val="18"/>
                  <w:color w:val="0000FF"/>
                </w:rPr>
                <w:t>Controls and Procedures</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vMerge w:val="restart"/>
          </w:tcPr>
          <w:p>
            <w:pPr>
              <w:spacing w:after="0"/>
              <w:rPr>
                <w:sz w:val="11"/>
                <w:szCs w:val="11"/>
                <w:color w:val="auto"/>
              </w:rPr>
            </w:pPr>
          </w:p>
        </w:tc>
        <w:tc>
          <w:tcPr>
            <w:tcW w:w="10200" w:type="dxa"/>
            <w:vAlign w:val="bottom"/>
            <w:gridSpan w:val="17"/>
            <w:vMerge w:val="restart"/>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PART II: OTHER INFORMATION</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4">
              <w:r>
                <w:rPr>
                  <w:rFonts w:ascii="Arial" w:cs="Arial" w:eastAsia="Arial" w:hAnsi="Arial"/>
                  <w:sz w:val="18"/>
                  <w:szCs w:val="18"/>
                  <w:color w:val="0000FF"/>
                </w:rPr>
                <w:t>Legal Proceedings</w:t>
              </w:r>
            </w:hyperlink>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4">
              <w:r>
                <w:rPr>
                  <w:rFonts w:ascii="Arial" w:cs="Arial" w:eastAsia="Arial" w:hAnsi="Arial"/>
                  <w:sz w:val="18"/>
                  <w:szCs w:val="18"/>
                  <w:color w:val="0000FF"/>
                </w:rPr>
                <w:t>Risk Factors</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4">
              <w:r>
                <w:rPr>
                  <w:rFonts w:ascii="Arial" w:cs="Arial" w:eastAsia="Arial" w:hAnsi="Arial"/>
                  <w:sz w:val="18"/>
                  <w:szCs w:val="18"/>
                  <w:color w:val="0000FF"/>
                </w:rPr>
                <w:t>Unregistered Sales of Equity Securities and Use of Proceeds</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4">
              <w:r>
                <w:rPr>
                  <w:rFonts w:ascii="Arial" w:cs="Arial" w:eastAsia="Arial" w:hAnsi="Arial"/>
                  <w:sz w:val="18"/>
                  <w:szCs w:val="18"/>
                  <w:color w:val="0000FF"/>
                </w:rPr>
                <w:t>Other Information</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4">
              <w:r>
                <w:rPr>
                  <w:rFonts w:ascii="Arial" w:cs="Arial" w:eastAsia="Arial" w:hAnsi="Arial"/>
                  <w:sz w:val="18"/>
                  <w:szCs w:val="18"/>
                  <w:color w:val="0000FF"/>
                </w:rPr>
                <w:t>Exhibits</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60" w:type="dxa"/>
            <w:vAlign w:val="bottom"/>
            <w:gridSpan w:val="18"/>
            <w:vMerge w:val="restart"/>
          </w:tcPr>
          <w:p>
            <w:pPr>
              <w:ind w:left="60"/>
              <w:spacing w:after="0"/>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SIGNATURE</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9"/>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967,122</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 revenues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140,887</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1,108,009</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cost of 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713,974</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 cost of revenues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692,067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797,926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149,875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138,517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316,919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310,083</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150,036</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48,994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100,490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102,775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22,305</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business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56,915</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329,100</w:t>
            </w: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(19,017)</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Itron,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 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 -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w w:val="98"/>
              </w:rPr>
              <w:t>Weighted average common shares outstanding - Basic</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 average common shares outstanding - Diluted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(53,325)</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(14,135)</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Foreign currency translation adjustment reclassified to</w:t>
            </w:r>
          </w:p>
        </w:tc>
        <w:tc>
          <w:tcPr>
            <w:tcW w:w="38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52,088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on sale of business</w:t>
            </w:r>
          </w:p>
        </w:tc>
        <w:tc>
          <w:tcPr>
            <w:tcW w:w="3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180"/>
              <w:spacing w:after="0" w:line="176" w:lineRule="exact"/>
              <w:rPr>
                <w:sz w:val="20"/>
                <w:szCs w:val="20"/>
                <w:color w:val="auto"/>
              </w:rPr>
            </w:pPr>
            <w:r>
              <w:rPr>
                <w:rFonts w:ascii="Arial" w:cs="Arial" w:eastAsia="Arial" w:hAnsi="Arial"/>
                <w:sz w:val="18"/>
                <w:szCs w:val="18"/>
                <w:color w:val="auto"/>
              </w:rPr>
              <w:t>Net unrealized gain (loss) on derivative instruments,</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designated as cash flow hedges</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benefit obligation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36,845</w:t>
            </w: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(16,480)</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180"/>
              <w:spacing w:after="0" w:line="176" w:lineRule="exact"/>
              <w:rPr>
                <w:sz w:val="20"/>
                <w:szCs w:val="20"/>
                <w:color w:val="auto"/>
              </w:rPr>
            </w:pPr>
            <w:r>
              <w:rPr>
                <w:rFonts w:ascii="Arial" w:cs="Arial" w:eastAsia="Arial" w:hAnsi="Arial"/>
                <w:sz w:val="18"/>
                <w:szCs w:val="18"/>
                <w:color w:val="auto"/>
                <w:w w:val="99"/>
              </w:rPr>
              <w:t>Comprehensive income attributable to noncontrolling</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Itron,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Arial" w:cs="Arial" w:eastAsia="Arial" w:hAnsi="Arial"/>
                <w:sz w:val="18"/>
                <w:szCs w:val="18"/>
                <w:b w:val="1"/>
                <w:bCs w:val="1"/>
                <w:color w:val="auto"/>
              </w:rPr>
              <w:t>ITRON, INC.</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980" w:type="dxa"/>
            <w:vAlign w:val="bottom"/>
            <w:gridSpan w:val="2"/>
          </w:tcPr>
          <w:p>
            <w:pPr>
              <w:jc w:val="center"/>
              <w:ind w:left="2610"/>
              <w:spacing w:after="0"/>
              <w:rPr>
                <w:sz w:val="20"/>
                <w:szCs w:val="20"/>
                <w:color w:val="auto"/>
              </w:rPr>
            </w:pPr>
            <w:r>
              <w:rPr>
                <w:rFonts w:ascii="Arial" w:cs="Arial" w:eastAsia="Arial" w:hAnsi="Arial"/>
                <w:sz w:val="18"/>
                <w:szCs w:val="18"/>
                <w:b w:val="1"/>
                <w:bCs w:val="1"/>
                <w:color w:val="auto"/>
                <w:w w:val="99"/>
              </w:rPr>
              <w:t>CONSOLIDATED BALANCE SHEETS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Arial" w:cs="Arial" w:eastAsia="Arial" w:hAnsi="Arial"/>
                <w:sz w:val="18"/>
                <w:szCs w:val="18"/>
                <w:b w:val="1"/>
                <w:bCs w:val="1"/>
                <w:color w:val="auto"/>
              </w:rPr>
              <w:t>(UNAUDITED)</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222"/>
        </w:trPr>
        <w:tc>
          <w:tcPr>
            <w:tcW w:w="1280" w:type="dxa"/>
            <w:vAlign w:val="bottom"/>
            <w:tcBorders>
              <w:top w:val="single" w:sz="8" w:color="auto"/>
            </w:tcBorders>
          </w:tcPr>
          <w:p>
            <w:pPr>
              <w:spacing w:after="0"/>
              <w:rPr>
                <w:sz w:val="19"/>
                <w:szCs w:val="19"/>
                <w:color w:val="auto"/>
              </w:rPr>
            </w:pPr>
          </w:p>
        </w:tc>
        <w:tc>
          <w:tcPr>
            <w:tcW w:w="548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b w:val="1"/>
                <w:bCs w:val="1"/>
                <w:color w:val="auto"/>
                <w:w w:val="94"/>
              </w:rPr>
              <w:t>ASSETS</w:t>
            </w:r>
          </w:p>
        </w:tc>
        <w:tc>
          <w:tcPr>
            <w:tcW w:w="5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206,933</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336,071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369,828</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current assets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171,124</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930,262</w:t>
            </w:r>
          </w:p>
        </w:tc>
        <w:tc>
          <w:tcPr>
            <w:tcW w:w="0" w:type="dxa"/>
            <w:vAlign w:val="bottom"/>
          </w:tcPr>
          <w:p>
            <w:pPr>
              <w:spacing w:after="0"/>
              <w:rPr>
                <w:sz w:val="1"/>
                <w:szCs w:val="1"/>
                <w:color w:val="auto"/>
              </w:rPr>
            </w:pPr>
          </w:p>
        </w:tc>
      </w:tr>
      <w:tr>
        <w:trPr>
          <w:trHeight w:val="162"/>
        </w:trPr>
        <w:tc>
          <w:tcPr>
            <w:tcW w:w="676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Deferred tax assets,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99,297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76,142</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72,059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76,276</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132,955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1,123,155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1,131,916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2,488,585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2,607,023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rPr>
              <w:t>LIABILITIES AND 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70,525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72,591</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Wages and benefits payable</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Taxes payable</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5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0" w:type="dxa"/>
            <w:vAlign w:val="bottom"/>
          </w:tcPr>
          <w:p>
            <w:pPr>
              <w:spacing w:after="0"/>
              <w:rPr>
                <w:sz w:val="1"/>
                <w:szCs w:val="1"/>
                <w:color w:val="auto"/>
              </w:rPr>
            </w:pPr>
          </w:p>
        </w:tc>
      </w:tr>
      <w:tr>
        <w:trPr>
          <w:trHeight w:val="229"/>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Current portion of warranty</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20,299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112,928</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514,365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549,899</w:t>
            </w:r>
          </w:p>
        </w:tc>
        <w:tc>
          <w:tcPr>
            <w:tcW w:w="0" w:type="dxa"/>
            <w:vAlign w:val="bottom"/>
          </w:tcPr>
          <w:p>
            <w:pPr>
              <w:spacing w:after="0"/>
              <w:rPr>
                <w:sz w:val="1"/>
                <w:szCs w:val="1"/>
                <w:color w:val="auto"/>
              </w:rPr>
            </w:pPr>
          </w:p>
        </w:tc>
      </w:tr>
      <w:tr>
        <w:trPr>
          <w:trHeight w:val="162"/>
        </w:trPr>
        <w:tc>
          <w:tcPr>
            <w:tcW w:w="6760" w:type="dxa"/>
            <w:vAlign w:val="bottom"/>
            <w:gridSpan w:val="2"/>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Long-term debt,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479,034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902,577</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warranty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Pension benefit obligation</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116,666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119,457</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62,785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66,823</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obligations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113,012</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1,287,927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1,766,750</w:t>
            </w:r>
          </w:p>
        </w:tc>
        <w:tc>
          <w:tcPr>
            <w:tcW w:w="0" w:type="dxa"/>
            <w:vAlign w:val="bottom"/>
          </w:tcPr>
          <w:p>
            <w:pPr>
              <w:spacing w:after="0"/>
              <w:rPr>
                <w:sz w:val="1"/>
                <w:szCs w:val="1"/>
                <w:color w:val="auto"/>
              </w:rPr>
            </w:pPr>
          </w:p>
        </w:tc>
      </w:tr>
      <w:tr>
        <w:trPr>
          <w:trHeight w:val="162"/>
        </w:trPr>
        <w:tc>
          <w:tcPr>
            <w:tcW w:w="6760" w:type="dxa"/>
            <w:vAlign w:val="bottom"/>
            <w:gridSpan w:val="2"/>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5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60" w:type="dxa"/>
            <w:vAlign w:val="bottom"/>
            <w:gridSpan w:val="2"/>
          </w:tcPr>
          <w:p>
            <w:pPr>
              <w:ind w:left="360"/>
              <w:spacing w:after="0" w:line="176" w:lineRule="exact"/>
              <w:rPr>
                <w:sz w:val="20"/>
                <w:szCs w:val="20"/>
                <w:color w:val="auto"/>
              </w:rPr>
            </w:pPr>
            <w:r>
              <w:rPr>
                <w:rFonts w:ascii="Arial" w:cs="Arial" w:eastAsia="Arial" w:hAnsi="Arial"/>
                <w:sz w:val="18"/>
                <w:szCs w:val="18"/>
                <w:color w:val="auto"/>
                <w:w w:val="88"/>
              </w:rPr>
              <w:t>Common stock, no par value, 75,000 shares authorized, 45,150 and 40,444 shares issued</w:t>
            </w:r>
          </w:p>
        </w:tc>
        <w:tc>
          <w:tcPr>
            <w:tcW w:w="5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1,775,315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1,389,419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and outstanding</w:t>
            </w:r>
          </w:p>
        </w:tc>
        <w:tc>
          <w:tcPr>
            <w:tcW w:w="50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(138,526)</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Accumulated deficit</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(434,345)</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Itron, Inc. shareholders' 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816,548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Noncontrolling interests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840,273</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liabilities and equity</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2,488,585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2,607,023</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restart"/>
          </w:tcPr>
          <w:p>
            <w:pPr>
              <w:ind w:left="60"/>
              <w:spacing w:after="0" w:line="122"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40,444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1,389,419</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(138,526)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816,548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840,273</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13,580</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(11,783)</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Stock issued related to equity offering</w:t>
            </w:r>
          </w:p>
        </w:tc>
        <w:tc>
          <w:tcPr>
            <w:tcW w:w="820" w:type="dxa"/>
            <w:vAlign w:val="bottom"/>
          </w:tcPr>
          <w:p>
            <w:pPr>
              <w:jc w:val="right"/>
              <w:spacing w:after="0"/>
              <w:rPr>
                <w:sz w:val="20"/>
                <w:szCs w:val="20"/>
                <w:color w:val="auto"/>
              </w:rPr>
            </w:pPr>
            <w:r>
              <w:rPr>
                <w:rFonts w:ascii="Arial" w:cs="Arial" w:eastAsia="Arial" w:hAnsi="Arial"/>
                <w:sz w:val="14"/>
                <w:szCs w:val="14"/>
                <w:color w:val="auto"/>
              </w:rPr>
              <w:t>4,472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389,419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389,419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389,419</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warrants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45,349</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4"/>
                <w:szCs w:val="14"/>
                <w:color w:val="auto"/>
                <w:w w:val="95"/>
              </w:rPr>
              <w:t>Purchases of convertible note hedge contracts,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(63,576)</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(63,576)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(63,576)</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Registration fee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Balances at March 31, 2021</w:t>
            </w:r>
          </w:p>
        </w:tc>
        <w:tc>
          <w:tcPr>
            <w:tcW w:w="820" w:type="dxa"/>
            <w:vAlign w:val="bottom"/>
          </w:tcPr>
          <w:p>
            <w:pPr>
              <w:jc w:val="right"/>
              <w:spacing w:after="0"/>
              <w:rPr>
                <w:sz w:val="20"/>
                <w:szCs w:val="20"/>
                <w:color w:val="auto"/>
              </w:rPr>
            </w:pPr>
            <w:r>
              <w:rPr>
                <w:rFonts w:ascii="Arial" w:cs="Arial" w:eastAsia="Arial" w:hAnsi="Arial"/>
                <w:sz w:val="14"/>
                <w:szCs w:val="14"/>
                <w:color w:val="auto"/>
              </w:rPr>
              <w:t>45,122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1,768,517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(150,309)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(421,742)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1,196,466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1,221,168</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(32,445)</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Registration fee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Balances at June 30,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45,150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1,775,315</w:t>
            </w:r>
          </w:p>
        </w:tc>
        <w:tc>
          <w:tcPr>
            <w:tcW w:w="100" w:type="dxa"/>
            <w:vAlign w:val="bottom"/>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(145,172)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(454,865)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1,175,278</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25,380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1,200,658</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0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6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39,941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1,357,600</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(204,672)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(376,390)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776,538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800,815</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9,162</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(25,211)</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8,482</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Balances at March 31, 2020</w:t>
            </w:r>
          </w:p>
        </w:tc>
        <w:tc>
          <w:tcPr>
            <w:tcW w:w="820" w:type="dxa"/>
            <w:vAlign w:val="bottom"/>
          </w:tcPr>
          <w:p>
            <w:pPr>
              <w:jc w:val="right"/>
              <w:spacing w:after="0"/>
              <w:rPr>
                <w:sz w:val="20"/>
                <w:szCs w:val="20"/>
                <w:color w:val="auto"/>
              </w:rPr>
            </w:pPr>
            <w:r>
              <w:rPr>
                <w:rFonts w:ascii="Arial" w:cs="Arial" w:eastAsia="Arial" w:hAnsi="Arial"/>
                <w:sz w:val="14"/>
                <w:szCs w:val="14"/>
                <w:color w:val="auto"/>
              </w:rPr>
              <w:t>40,176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1,368,329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(229,883)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(367,706)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770,740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24,755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795,495</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(62,487)</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62,056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62,056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62,056</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8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7,099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7,099</w:t>
            </w:r>
          </w:p>
        </w:tc>
        <w:tc>
          <w:tcPr>
            <w:tcW w:w="0" w:type="dxa"/>
            <w:vAlign w:val="bottom"/>
          </w:tcPr>
          <w:p>
            <w:pPr>
              <w:spacing w:after="0"/>
              <w:rPr>
                <w:sz w:val="1"/>
                <w:szCs w:val="1"/>
                <w:color w:val="auto"/>
              </w:rPr>
            </w:pPr>
          </w:p>
        </w:tc>
      </w:tr>
      <w:tr>
        <w:trPr>
          <w:trHeight w:val="20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40,234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1,376,134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(167,827)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(430,508)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777,799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802,869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81"/>
        </w:trPr>
        <w:tc>
          <w:tcPr>
            <w:tcW w:w="7780" w:type="dxa"/>
            <w:vAlign w:val="bottom"/>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(53,325)</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42,919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48,230</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Non-cash operating lease expense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8,647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9,909</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Stock-based compensation</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12,586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15,581</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Amortization of prepaid debt fees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4,315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2,013</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taxes, net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5,904</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Loss on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26,103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56,915</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Loss on extinguishment of debt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Restructuring, non-cash</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(1,146)</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adjustments, net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13,913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Changes in operating assets and liabilities, net of sale of business: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29,549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52,031</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(16,529)</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assets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22,164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(7,861)</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Other long-term assets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6,207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(3,919)</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other current liabilities, and taxes payable</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(76,144)</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Wages and benefits payable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17,815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(11,145)</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Unearned revenue</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23,099</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Warranty</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(8,417)</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operating, net</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(19,926)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(9,697)</w:t>
            </w:r>
          </w:p>
        </w:tc>
      </w:tr>
      <w:tr>
        <w:trPr>
          <w:trHeight w:val="179"/>
        </w:trPr>
        <w:tc>
          <w:tcPr>
            <w:tcW w:w="7780" w:type="dxa"/>
            <w:vAlign w:val="bottom"/>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122,680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25,786</w:t>
            </w:r>
          </w:p>
        </w:tc>
      </w:tr>
      <w:tr>
        <w:trPr>
          <w:trHeight w:val="219"/>
        </w:trPr>
        <w:tc>
          <w:tcPr>
            <w:tcW w:w="7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proceeds (payments) related to the sale of business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Acquisitions of property, plant, and equipment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(20,476)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(29,049)</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investing, net</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3,520</w:t>
            </w:r>
          </w:p>
        </w:tc>
      </w:tr>
      <w:tr>
        <w:trPr>
          <w:trHeight w:val="179"/>
        </w:trPr>
        <w:tc>
          <w:tcPr>
            <w:tcW w:w="7780" w:type="dxa"/>
            <w:vAlign w:val="bottom"/>
          </w:tcPr>
          <w:p>
            <w:pPr>
              <w:ind w:left="66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(14,515)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(29,159)</w:t>
            </w:r>
          </w:p>
        </w:tc>
      </w:tr>
      <w:tr>
        <w:trPr>
          <w:trHeight w:val="219"/>
        </w:trPr>
        <w:tc>
          <w:tcPr>
            <w:tcW w:w="7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borrowings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Payments on debt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(915,000)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Issuance of common stock</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Proceeds from common stock offering</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389,419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warrants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45,349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Purchases of convertible note hedge contracts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(84,139)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debt fees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financing, net</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(2,036)</w:t>
            </w: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cash (used in) provided by financing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(108,144)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401,963</w:t>
            </w:r>
          </w:p>
        </w:tc>
      </w:tr>
      <w:tr>
        <w:trPr>
          <w:trHeight w:val="216"/>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(3,671)</w:t>
            </w: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Increase in cash and cash equivalents</w:t>
            </w: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394,919</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206,933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149,904</w:t>
            </w: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207,131</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544,823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6"/>
        </w:trPr>
        <w:tc>
          <w:tcPr>
            <w:tcW w:w="7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paid (received) during the period for:</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Income taxes, net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3,033</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(2,994)</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7,845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32,149</w:t>
            </w: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2021 and 2020, Consolidated Statements of Equity for the three and six months ended June 30, 2021 and 2020, the Consolidated Statements of Cash Flows for the six months ended June 30, 2021 and 2020, and the Consolidated Balance Sheets as of June 30, 2021 and December 31, 2020, of Itron, Inc. and its subsidiaries. All entries required for the fair presentation of the financial statements are of a normal recurring nature, except as disclosed. The results of operations for the three and six months ended June 30, 2021 are not necessarily indicative of the results expected for the full year or for any other period.</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2020 filed with the SEC in our Annual Report on Form 10-K on February 24, 2021 (2020 Annual Report). There have been no significant changes in financial statement preparation or significant accounting policies since December 31, 2020.</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and Uncertainties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portions of the first half of 2020 certain of our European factories were closed due to government actions and local conditions, and any further closures that may be imposed on us could impact our results for 2021.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could appear across a variety of areas including mechanical, electrical and logistics portions of the supply chain, which could impact our ability to ship products in a timely manner. At this time, we have not identified any significant decrease in long-term customer demand for our products and services. Certain of our customers' projects and deployments have continued to shift later into 2021 and beyond.</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modifies certain provisions of Accounting Standards Codification (ASC) 740,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of accounting for income taxes. ASU 2019-12 was effective for us beginning with our interim financial reports in 2021. The adoption of this standard had no impact to our year-to-date consolidated financial position, results of operations, or cash flows and is not expected to have a material impact on full year 2021 financial results.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This amendment simplifies the accounting for certain financial instruments with characteristics of liabilities and equity, including convertible instruments and contracts on an entity’s own equity. We chose to early adopt ASU 2020-06 beginning January 1, 2021, due to the issuance of our convertible debt on March 9, 2021. This amendment had no retrospective changes but impacts how our newly issued convertible debt is both recognized and disclosed. ASU 2020-06 also amends the diluted earnings per share calculation for convertible instruments by requiring the use of the if-converted method. The treasury stock method is no longer available.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which provides optional expedients and exceptions for applying GAAP to contracts, hedging relationships, and other transactions affected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rate reform. ASU 2020-04 applies to contracts that reference LIBOR or another reference rate expected to be terminated because of reference rate reform. An entity may elect certain optional expedients for hedging relationships that exist as of December 31, 2022 and maintain those optional expedients through the end of the hedging relationship. ASU 2020-04 could be adopted as of March 12, 2020 or thereafter. In January 2021, the FASB issued ASU 2021-01, which further updates the scope of Topic 848. We do not currently have any contracts that have been changed to a new reference rate, but we will continue to evaluate our contracts and the effects of this standard on our consolidated financial position, results of operations, and cash flows prior to adoption.</w:t>
      </w:r>
    </w:p>
    <w:p>
      <w:pPr>
        <w:spacing w:after="0" w:line="21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available to common shareholders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(33,123)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(62,802)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(54,118)</w:t>
            </w:r>
          </w:p>
        </w:tc>
      </w:tr>
      <w:tr>
        <w:trPr>
          <w:trHeight w:val="256"/>
        </w:trPr>
        <w:tc>
          <w:tcPr>
            <w:tcW w:w="4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45,142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40,130</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Dilutive effect of stock-based awards</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Dilutive effect of convertible notes</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10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45,142</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40,216</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43,344</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40,130</w:t>
            </w: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common share - Basic</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6"/>
                <w:szCs w:val="16"/>
                <w:color w:val="auto"/>
              </w:rPr>
              <w:t>Net loss per common share - Diluted</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0"/>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0.4 million and 0.5 million stock-based awards were excluded from the calculation of diluted EPS for the three and six months ended June 30, 2021 because they were anti-dilutive. Approximately 0.9 million and 0.8 million stock-based awards were excluded from the calculation of diluted EPS for the three and six months ended June 30, 2020 because they were anti-dilutive. These stock-based awards could be dilutive in future periods.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 and Warrants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are converted. The average closing price of our common stock for the quarter ended March 31, 2021 is used as the basis for determining the dilutive effect on EPS. The average price of our common stock for the quarter ended March 31, 2021 was less than the conversion price of $126.00, and all associated shares were anti-dilutive.</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six months ended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June 30, 2021, the average share price was below the warrant strike price and therefore 3.7 million shares were considered anti-dilutive.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issuance of the Convertible Notes, we entered into privately negotiated call option contracts on our common stock (the Convertible Note Hedge Transactions) with certain commercial banks (the Counterparties). 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1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40"/>
              <w:spacing w:after="0"/>
              <w:rPr>
                <w:sz w:val="20"/>
                <w:szCs w:val="20"/>
                <w:color w:val="auto"/>
              </w:rPr>
            </w:pPr>
            <w:r>
              <w:rPr>
                <w:rFonts w:ascii="Arial" w:cs="Arial" w:eastAsia="Arial" w:hAnsi="Arial"/>
                <w:sz w:val="16"/>
                <w:szCs w:val="16"/>
                <w:i w:val="1"/>
                <w:iCs w:val="1"/>
                <w:color w:val="auto"/>
              </w:rPr>
              <w:t>Accounts receivable, net</w:t>
            </w: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9"/>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9"/>
                <w:szCs w:val="19"/>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$1,107 and $1,312)</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286,539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318,269</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Unbilled receivables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51,559</w:t>
            </w: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accounts receivable,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369,828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ind w:left="240"/>
              <w:spacing w:after="0"/>
              <w:rPr>
                <w:sz w:val="20"/>
                <w:szCs w:val="20"/>
                <w:color w:val="auto"/>
              </w:rPr>
            </w:pPr>
            <w:r>
              <w:rPr>
                <w:rFonts w:ascii="Arial" w:cs="Arial" w:eastAsia="Arial" w:hAnsi="Arial"/>
                <w:sz w:val="16"/>
                <w:szCs w:val="16"/>
                <w:i w:val="1"/>
                <w:iCs w:val="1"/>
                <w:color w:val="auto"/>
              </w:rPr>
              <w:t>Allowance for credit losses account activity</w:t>
            </w:r>
          </w:p>
        </w:tc>
        <w:tc>
          <w:tcPr>
            <w:tcW w:w="280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w w:val="94"/>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9"/>
              </w:rPr>
              <w:t>1,312</w:t>
            </w:r>
          </w:p>
        </w:tc>
        <w:tc>
          <w:tcPr>
            <w:tcW w:w="1140" w:type="dxa"/>
            <w:vAlign w:val="bottom"/>
            <w:gridSpan w:val="3"/>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Provision for (release of) doubtful accounts, net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w w:val="96"/>
              </w:rPr>
              <w:t>(171)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written-off</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6"/>
              </w:rPr>
              <w:t>(796)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9"/>
              </w:rPr>
              <w:t>1,107</w:t>
            </w:r>
          </w:p>
        </w:tc>
        <w:tc>
          <w:tcPr>
            <w:tcW w:w="1140" w:type="dxa"/>
            <w:vAlign w:val="bottom"/>
            <w:gridSpan w:val="3"/>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i w:val="1"/>
                <w:iCs w:val="1"/>
                <w:color w:val="auto"/>
              </w:rPr>
              <w:t>Inventories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117,794</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114,058</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8,094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52,168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60,225</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Total inventories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179,347</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182,377</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40"/>
              <w:spacing w:after="0"/>
              <w:rPr>
                <w:sz w:val="20"/>
                <w:szCs w:val="20"/>
                <w:color w:val="auto"/>
              </w:rPr>
            </w:pPr>
            <w:r>
              <w:rPr>
                <w:rFonts w:ascii="Arial" w:cs="Arial" w:eastAsia="Arial" w:hAnsi="Arial"/>
                <w:sz w:val="16"/>
                <w:szCs w:val="16"/>
                <w:i w:val="1"/>
                <w:iCs w:val="1"/>
                <w:color w:val="auto"/>
              </w:rPr>
              <w:t>Property, plant, and equipment, net</w:t>
            </w: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4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335,805</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334,050</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117,060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115,776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155,676</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Land</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14,303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31,425</w:t>
            </w:r>
          </w:p>
        </w:tc>
        <w:tc>
          <w:tcPr>
            <w:tcW w:w="0" w:type="dxa"/>
            <w:vAlign w:val="bottom"/>
          </w:tcPr>
          <w:p>
            <w:pPr>
              <w:spacing w:after="0"/>
              <w:rPr>
                <w:sz w:val="1"/>
                <w:szCs w:val="1"/>
                <w:color w:val="auto"/>
              </w:rPr>
            </w:pPr>
          </w:p>
        </w:tc>
      </w:tr>
      <w:tr>
        <w:trPr>
          <w:trHeight w:val="207"/>
        </w:trPr>
        <w:tc>
          <w:tcPr>
            <w:tcW w:w="4380" w:type="dxa"/>
            <w:vAlign w:val="bottom"/>
          </w:tcPr>
          <w:p>
            <w:pPr>
              <w:ind w:left="360"/>
              <w:spacing w:after="0"/>
              <w:rPr>
                <w:sz w:val="20"/>
                <w:szCs w:val="20"/>
                <w:color w:val="auto"/>
              </w:rPr>
            </w:pPr>
            <w:r>
              <w:rPr>
                <w:rFonts w:ascii="Arial" w:cs="Arial" w:eastAsia="Arial" w:hAnsi="Arial"/>
                <w:sz w:val="16"/>
                <w:szCs w:val="16"/>
                <w:color w:val="auto"/>
              </w:rPr>
              <w:t>Total cost</w:t>
            </w: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649,305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651,230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depreciation</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(453,096)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(443,414)</w:t>
            </w:r>
          </w:p>
        </w:tc>
        <w:tc>
          <w:tcPr>
            <w:tcW w:w="0" w:type="dxa"/>
            <w:vAlign w:val="bottom"/>
          </w:tcPr>
          <w:p>
            <w:pPr>
              <w:spacing w:after="0"/>
              <w:rPr>
                <w:sz w:val="1"/>
                <w:szCs w:val="1"/>
                <w:color w:val="auto"/>
              </w:rPr>
            </w:pPr>
          </w:p>
        </w:tc>
      </w:tr>
      <w:tr>
        <w:trPr>
          <w:trHeight w:val="213"/>
        </w:trPr>
        <w:tc>
          <w:tcPr>
            <w:tcW w:w="4380" w:type="dxa"/>
            <w:vAlign w:val="bottom"/>
          </w:tcPr>
          <w:p>
            <w:pPr>
              <w:ind w:left="68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196,209</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207,816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380" w:type="dxa"/>
            <w:vAlign w:val="bottom"/>
          </w:tcPr>
          <w:p>
            <w:pPr>
              <w:ind w:left="240"/>
              <w:spacing w:after="0"/>
              <w:rPr>
                <w:sz w:val="20"/>
                <w:szCs w:val="20"/>
                <w:color w:val="auto"/>
              </w:rPr>
            </w:pPr>
            <w:r>
              <w:rPr>
                <w:rFonts w:ascii="Arial" w:cs="Arial" w:eastAsia="Arial" w:hAnsi="Arial"/>
                <w:sz w:val="16"/>
                <w:szCs w:val="16"/>
                <w:i w:val="1"/>
                <w:iCs w:val="1"/>
                <w:color w:val="auto"/>
              </w:rPr>
              <w:t>Depreciation expense</w:t>
            </w:r>
          </w:p>
        </w:tc>
        <w:tc>
          <w:tcPr>
            <w:tcW w:w="280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w w:val="94"/>
              </w:rPr>
              <w:t>Three Months Ended 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12,112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13,059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24,949</w:t>
            </w:r>
          </w:p>
        </w:tc>
        <w:tc>
          <w:tcPr>
            <w:tcW w:w="1140" w:type="dxa"/>
            <w:vAlign w:val="bottom"/>
            <w:gridSpan w:val="3"/>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2021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2020</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28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Accretion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Intangible Assets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26,938</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(290,144)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90,968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383,245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(280,497)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102,748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38"/>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990,955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(877,283)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(867,082)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132,955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28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gross beginning balance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1,000,037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979,814</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Intangibles disposed in sale of business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(18,140)</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(9,082)</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(9,449)</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Intangible assets, gross ending balance</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990,955</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952,225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Intangible liabilities, gross beginning balance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(23,900)</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Intangible liabilities, gross ending balance</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(23,900)</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Assumed intangible liabilities reflect the present value of the projected cash outflows for an existing contract where remaining costs are expected to exceed projected revenues.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disposal of intangible assets was related to the sale of our Latin America business in June 2020. The net book value of these assets was $0.8 million at the disposal date. Refer to Note 17: Sale of Business for additional information on the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6"/>
                <w:szCs w:val="16"/>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Accretion</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Estimated Annual</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Amortization, net</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(amount remaining at June 30, 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17,995</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27,520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27,061</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19,908</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15,708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15,708</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14,713</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16,847</w:t>
            </w:r>
          </w:p>
        </w:tc>
        <w:tc>
          <w:tcPr>
            <w:tcW w:w="0" w:type="dxa"/>
            <w:vAlign w:val="bottom"/>
          </w:tcPr>
          <w:p>
            <w:pPr>
              <w:spacing w:after="0"/>
              <w:rPr>
                <w:sz w:val="1"/>
                <w:szCs w:val="1"/>
                <w:color w:val="auto"/>
              </w:rPr>
            </w:pPr>
          </w:p>
        </w:tc>
      </w:tr>
      <w:tr>
        <w:trPr>
          <w:trHeight w:val="234"/>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112,232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07"/>
        </w:trPr>
        <w:tc>
          <w:tcPr>
            <w:tcW w:w="4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Note 5:  Goodwill</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8280" w:type="dxa"/>
            <w:vAlign w:val="bottom"/>
            <w:gridSpan w:val="9"/>
          </w:tcPr>
          <w:p>
            <w:pPr>
              <w:spacing w:after="0"/>
              <w:rPr>
                <w:sz w:val="20"/>
                <w:szCs w:val="20"/>
                <w:color w:val="auto"/>
              </w:rPr>
            </w:pPr>
            <w:r>
              <w:rPr>
                <w:rFonts w:ascii="Arial" w:cs="Arial" w:eastAsia="Arial" w:hAnsi="Arial"/>
                <w:sz w:val="18"/>
                <w:szCs w:val="18"/>
                <w:color w:val="auto"/>
                <w:w w:val="93"/>
              </w:rPr>
              <w:t>The following table reflects changes in the carrying amount of goodwill for the six months ended June 30, 2021: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0"/>
        </w:trPr>
        <w:tc>
          <w:tcPr>
            <w:tcW w:w="4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Device Solutions</w:t>
            </w: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Networked Solutions</w:t>
            </w: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Outcomes</w:t>
            </w:r>
          </w:p>
        </w:tc>
        <w:tc>
          <w:tcPr>
            <w:tcW w:w="180" w:type="dxa"/>
            <w:vAlign w:val="bottom"/>
          </w:tcPr>
          <w:p>
            <w:pPr>
              <w:spacing w:after="0"/>
              <w:rPr>
                <w:sz w:val="20"/>
                <w:szCs w:val="20"/>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Total Company</w:t>
            </w:r>
          </w:p>
        </w:tc>
      </w:tr>
      <w:tr>
        <w:trPr>
          <w:trHeight w:val="213"/>
        </w:trPr>
        <w:tc>
          <w:tcPr>
            <w:tcW w:w="4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933,814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1,131,916</w:t>
            </w:r>
          </w:p>
        </w:tc>
      </w:tr>
      <w:tr>
        <w:trPr>
          <w:trHeight w:val="213"/>
        </w:trPr>
        <w:tc>
          <w:tcPr>
            <w:tcW w:w="4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(8,761)</w:t>
            </w:r>
          </w:p>
        </w:tc>
      </w:tr>
      <w:tr>
        <w:trPr>
          <w:trHeight w:val="234"/>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balance at June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926,537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1,123,155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our borrowings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09"/>
        </w:trPr>
        <w:tc>
          <w:tcPr>
            <w:tcW w:w="6780" w:type="dxa"/>
            <w:vAlign w:val="bottom"/>
            <w:gridSpan w:val="2"/>
          </w:tcPr>
          <w:p>
            <w:pPr>
              <w:spacing w:after="0"/>
              <w:rPr>
                <w:sz w:val="20"/>
                <w:szCs w:val="20"/>
                <w:color w:val="auto"/>
              </w:rPr>
            </w:pPr>
            <w:r>
              <w:rPr>
                <w:rFonts w:ascii="Arial" w:cs="Arial" w:eastAsia="Arial" w:hAnsi="Arial"/>
                <w:sz w:val="16"/>
                <w:szCs w:val="16"/>
                <w:color w:val="auto"/>
              </w:rPr>
              <w:t>Credit facility</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USD denominated term loan</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536,094</w:t>
            </w:r>
          </w:p>
        </w:tc>
      </w:tr>
      <w:tr>
        <w:trPr>
          <w:trHeight w:val="213"/>
        </w:trPr>
        <w:tc>
          <w:tcPr>
            <w:tcW w:w="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Convertible notes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debt</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936,094</w:t>
            </w:r>
          </w:p>
        </w:tc>
      </w:tr>
      <w:tr>
        <w:trPr>
          <w:trHeight w:val="213"/>
        </w:trPr>
        <w:tc>
          <w:tcPr>
            <w:tcW w:w="20" w:type="dxa"/>
            <w:vAlign w:val="bottom"/>
          </w:tcPr>
          <w:p>
            <w:pPr>
              <w:spacing w:after="0"/>
              <w:rPr>
                <w:sz w:val="18"/>
                <w:szCs w:val="18"/>
                <w:color w:val="auto"/>
              </w:rPr>
            </w:pPr>
          </w:p>
        </w:tc>
        <w:tc>
          <w:tcPr>
            <w:tcW w:w="6760" w:type="dxa"/>
            <w:vAlign w:val="bottom"/>
          </w:tcPr>
          <w:p>
            <w:pPr>
              <w:ind w:left="520"/>
              <w:spacing w:after="0"/>
              <w:rPr>
                <w:sz w:val="20"/>
                <w:szCs w:val="20"/>
                <w:color w:val="auto"/>
              </w:rPr>
            </w:pPr>
            <w:r>
              <w:rPr>
                <w:rFonts w:ascii="Arial" w:cs="Arial" w:eastAsia="Arial" w:hAnsi="Arial"/>
                <w:sz w:val="16"/>
                <w:szCs w:val="16"/>
                <w:color w:val="auto"/>
              </w:rPr>
              <w:t>Less: current portion of debt</w:t>
            </w:r>
          </w:p>
        </w:tc>
        <w:tc>
          <w:tcPr>
            <w:tcW w:w="3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18,359</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Less: unamortized prepaid debt fees - term loan</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r>
      <w:tr>
        <w:trPr>
          <w:trHeight w:val="213"/>
        </w:trPr>
        <w:tc>
          <w:tcPr>
            <w:tcW w:w="20" w:type="dxa"/>
            <w:vAlign w:val="bottom"/>
          </w:tcPr>
          <w:p>
            <w:pPr>
              <w:spacing w:after="0"/>
              <w:rPr>
                <w:sz w:val="18"/>
                <w:szCs w:val="18"/>
                <w:color w:val="auto"/>
              </w:rPr>
            </w:pPr>
          </w:p>
        </w:tc>
        <w:tc>
          <w:tcPr>
            <w:tcW w:w="6760" w:type="dxa"/>
            <w:vAlign w:val="bottom"/>
          </w:tcPr>
          <w:p>
            <w:pPr>
              <w:ind w:left="520"/>
              <w:spacing w:after="0"/>
              <w:rPr>
                <w:sz w:val="20"/>
                <w:szCs w:val="20"/>
                <w:color w:val="auto"/>
              </w:rPr>
            </w:pPr>
            <w:r>
              <w:rPr>
                <w:rFonts w:ascii="Arial" w:cs="Arial" w:eastAsia="Arial" w:hAnsi="Arial"/>
                <w:sz w:val="16"/>
                <w:szCs w:val="16"/>
                <w:color w:val="auto"/>
              </w:rPr>
              <w:t>Less: unamortized prepaid debt fees - senior notes</w:t>
            </w:r>
          </w:p>
        </w:tc>
        <w:tc>
          <w:tcPr>
            <w:tcW w:w="3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11,689</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Less: unamortized prepaid debt fees - convertible notes</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rPr>
              <w:t>Long-term debt, net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479,034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902,577</w:t>
            </w:r>
          </w:p>
        </w:tc>
      </w:tr>
      <w:tr>
        <w:trPr>
          <w:trHeight w:val="24"/>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On October 18, 2019, we amended our credit facility that was initially entered on January 5, 2018 (as amended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Through the third quarter of 2020, amounts not borrowed under the revolver were subject to a commitment fee, which was paid in arrears on the last day of each fiscal quarter, ranging from 0.15% to 0.25% and drawn amounts were subject to a margin ranging from 1.00% to 1.75%.</w:t>
      </w:r>
    </w:p>
    <w:p>
      <w:pPr>
        <w:spacing w:after="0" w:line="21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23"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On March 8, 2021, we entered into a third amendment to our 2018 credit facility, which modified provisions to permit cash settlement upon the conversion of the Convertible Notes, the Convertible Senior Note Hedge Transactions and Warrant Transactions and also to adjust certain settlement provisions for convertible indebtedness. See Note 7: Derivative Financial Instruments for further details of the Convertible Note Hedge Transactions and Warrant Transactions.</w:t>
      </w:r>
    </w:p>
    <w:p>
      <w:pPr>
        <w:spacing w:after="0" w:line="214"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June 30, 2021.</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firstLine="8"/>
        <w:spacing w:after="0" w:line="253"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June 30, 2021, the interest rate for both the term loan and the revolver was 1.11%, which includes the LIBOR rate plus a margin of 1.00%.</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we drew $400 million in U.S. dollars under the revolving line of credit within the 2018 credit facility to increase our cash position and preserve future financial flexibility, which was fully repaid as of December 31, 2020. At June 30, 2021, there was no amount outstanding under the revolver, and $65.5 million was utilized by outstanding standby letters of credit, resulting in $434.5 million available for additional borrowings or standby letters of credit. At June 30, 2021, $234.5 million was available for additional standby letters of credit under the letter of credit sub-facility, and no amounts were outstanding under the swingline sub-facility.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2017 and January 2018, we issued $300 million and $100 million of aggregate principal amount of 5.00% senior notes maturing January 15, 2026 (Senior Notes). The proceeds were used to refinance existing indebtedness related to the acquisition of Silver Spring Networks, Inc., pay related fees and expenses, and for general corporate purposes. Interest on the Senior Notes was payable semi-annually in arrears on January 15 and July 15. The Senior Notes were fully and unconditionally guaranteed, jointly and severally, on a senior unsecured basis by each of our subsidiaries that guarantee the senior credit facilities.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2021, we submitted a Notice of Redemption to the trustee to redeem all outstanding Senior Notes at a redemption price of 102.50%, in accordance with the indenture governing the Senior Notes, totaling $410.0 million. As of April 8, 2021 the Senior Notes were fully discharged, and no principal or unpaid interest remains outstanding. The 2.5%, or $10.0 million, early redemption premium and write off of $11.1 million prepaid debt fees were recognized upon redemption in the second quarter of 2021.</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Notes for each trading day of the measurement period was less than 98% of the product of the last reported sale price of the common stock and the conversion rate on each such trading day; (3) upon the occurrence of specified corporate events; or (4) upon redemption by us. On or after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Notes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debt in aggregate over the next five years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209"/>
        </w:trPr>
        <w:tc>
          <w:tcPr>
            <w:tcW w:w="9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(amount remaining at June 30, 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31,094</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r>
      <w:tr>
        <w:trPr>
          <w:trHeight w:val="238"/>
        </w:trPr>
        <w:tc>
          <w:tcPr>
            <w:tcW w:w="9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491,094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risk management strategy, we use derivative instruments to hedge certain foreign currency and interest rate exposures. Refer to Note 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and Note 14: Fair Value of Financial Instruments for additional disclosures on our derivative instruments.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tcBorders>
          </w:tcPr>
          <w:p>
            <w:pPr>
              <w:spacing w:after="0"/>
              <w:rPr>
                <w:sz w:val="18"/>
                <w:szCs w:val="18"/>
                <w:color w:val="auto"/>
              </w:rPr>
            </w:pPr>
          </w:p>
        </w:tc>
      </w:tr>
      <w:tr>
        <w:trPr>
          <w:trHeight w:val="21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Assets</w:t>
            </w:r>
          </w:p>
        </w:tc>
        <w:tc>
          <w:tcPr>
            <w:tcW w:w="344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Balance Sheet Location</w:t>
            </w: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June 30, 2021</w:t>
            </w: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1"/>
              </w:rPr>
              <w:t>December 31, 2020</w:t>
            </w:r>
          </w:p>
        </w:tc>
      </w:tr>
      <w:tr>
        <w:trPr>
          <w:trHeight w:val="209"/>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6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780" w:type="dxa"/>
            <w:vAlign w:val="bottom"/>
          </w:tcPr>
          <w:p>
            <w:pPr>
              <w:spacing w:after="0"/>
              <w:rPr>
                <w:sz w:val="18"/>
                <w:szCs w:val="18"/>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options</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current assets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forward contracts</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6"/>
        </w:trPr>
        <w:tc>
          <w:tcPr>
            <w:tcW w:w="3320" w:type="dxa"/>
            <w:vAlign w:val="bottom"/>
          </w:tcPr>
          <w:p>
            <w:pPr>
              <w:ind w:left="400"/>
              <w:spacing w:after="0"/>
              <w:rPr>
                <w:sz w:val="20"/>
                <w:szCs w:val="20"/>
                <w:color w:val="auto"/>
              </w:rPr>
            </w:pPr>
            <w:r>
              <w:rPr>
                <w:rFonts w:ascii="Arial" w:cs="Arial" w:eastAsia="Arial" w:hAnsi="Arial"/>
                <w:sz w:val="16"/>
                <w:szCs w:val="16"/>
                <w:b w:val="1"/>
                <w:bCs w:val="1"/>
                <w:color w:val="auto"/>
              </w:rPr>
              <w:t>Total asset derivatives</w:t>
            </w:r>
          </w:p>
        </w:tc>
        <w:tc>
          <w:tcPr>
            <w:tcW w:w="344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7"/>
        </w:trPr>
        <w:tc>
          <w:tcPr>
            <w:tcW w:w="33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Liabilities</w:t>
            </w:r>
          </w:p>
        </w:tc>
        <w:tc>
          <w:tcPr>
            <w:tcW w:w="344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r>
      <w:tr>
        <w:trPr>
          <w:trHeight w:val="212"/>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Interest rate swap contracts</w:t>
            </w:r>
          </w:p>
        </w:tc>
        <w:tc>
          <w:tcPr>
            <w:tcW w:w="3440" w:type="dxa"/>
            <w:vAlign w:val="bottom"/>
          </w:tcPr>
          <w:p>
            <w:pPr>
              <w:ind w:left="84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1,025</w:t>
            </w: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 contracts</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long-term obligations</w:t>
            </w:r>
          </w:p>
        </w:tc>
        <w:tc>
          <w:tcPr>
            <w:tcW w:w="3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Cross currency swap contract</w:t>
            </w:r>
          </w:p>
        </w:tc>
        <w:tc>
          <w:tcPr>
            <w:tcW w:w="3440" w:type="dxa"/>
            <w:vAlign w:val="bottom"/>
          </w:tcPr>
          <w:p>
            <w:pPr>
              <w:ind w:left="84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1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exchange forward contracts</w:t>
            </w:r>
          </w:p>
        </w:tc>
        <w:tc>
          <w:tcPr>
            <w:tcW w:w="344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34"/>
        </w:trPr>
        <w:tc>
          <w:tcPr>
            <w:tcW w:w="3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Total liability derivatives</w:t>
            </w:r>
          </w:p>
        </w:tc>
        <w:tc>
          <w:tcPr>
            <w:tcW w:w="3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designated as hedging instruments, net of tax, were as follows:</w:t>
      </w:r>
    </w:p>
    <w:tbl>
      <w:tblPr>
        <w:tblLayout w:type="fixed"/>
        <w:tblInd w:w="0" w:type="dxa"/>
        <w:tblCellMar>
          <w:top w:w="0" w:type="dxa"/>
          <w:left w:w="0" w:type="dxa"/>
          <w:bottom w:w="0" w:type="dxa"/>
          <w:right w:w="0" w:type="dxa"/>
        </w:tblCellMar>
      </w:tblP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loss on hedging instruments at January 1,</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(15,103)</w:t>
            </w: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Unrealized gain (loss) on derivative instruments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(1,914)</w:t>
            </w:r>
          </w:p>
        </w:tc>
      </w:tr>
      <w:tr>
        <w:trPr>
          <w:trHeight w:val="219"/>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Realized (gains) losses reclassified into net income (loss)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Net unrealized loss on hedging instruments at June 30,</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(14,693)</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(17,259)</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Included in the net unrealized gain (loss) on hedging instruments at June 30, 2021 and 2020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Gross Amounts of</w:t>
            </w:r>
          </w:p>
        </w:tc>
        <w:tc>
          <w:tcPr>
            <w:tcW w:w="100" w:type="dxa"/>
            <w:vAlign w:val="bottom"/>
          </w:tcPr>
          <w:p>
            <w:pPr>
              <w:spacing w:after="0"/>
              <w:rPr>
                <w:sz w:val="16"/>
                <w:szCs w:val="16"/>
                <w:color w:val="auto"/>
              </w:rPr>
            </w:pPr>
          </w:p>
        </w:tc>
        <w:tc>
          <w:tcPr>
            <w:tcW w:w="40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Assets</w:t>
            </w: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Recognized Assets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spacing w:after="0"/>
              <w:rPr>
                <w:sz w:val="20"/>
                <w:szCs w:val="20"/>
                <w:color w:val="auto"/>
              </w:rPr>
            </w:pPr>
            <w:r>
              <w:rPr>
                <w:rFonts w:ascii="Arial" w:cs="Arial" w:eastAsia="Arial" w:hAnsi="Arial"/>
                <w:sz w:val="16"/>
                <w:szCs w:val="16"/>
                <w:b w:val="1"/>
                <w:bCs w:val="1"/>
                <w:color w:val="auto"/>
                <w:w w:val="96"/>
              </w:rPr>
              <w:t>Cash Collateral Received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3"/>
        </w:trPr>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Gross Amounts of</w:t>
            </w:r>
          </w:p>
        </w:tc>
        <w:tc>
          <w:tcPr>
            <w:tcW w:w="100" w:type="dxa"/>
            <w:vAlign w:val="bottom"/>
          </w:tcPr>
          <w:p>
            <w:pPr>
              <w:spacing w:after="0"/>
              <w:rPr>
                <w:sz w:val="24"/>
                <w:szCs w:val="24"/>
                <w:color w:val="auto"/>
              </w:rPr>
            </w:pPr>
          </w:p>
        </w:tc>
        <w:tc>
          <w:tcPr>
            <w:tcW w:w="40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Liabilities</w:t>
            </w: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Recognized Liabilities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8"/>
              </w:rPr>
              <w:t>Cash Collateral Pledged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derivative assets and liabilities subject to netting arrangements include foreign exchange forward and interest rate contracts with four counterparties at June 30, 2021 and six counterparties at December 31, 2020. No derivative asset or liability balance with any of our counterparties was individually significant at June 30, 2021 or December 31, 2020. Our derivative contracts with each of these counterparties exist under agreements that provide for the net settlement of all contracts through a single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payment in a single currency in the event of default. We have no pledges of cash collateral against our obligations, and we have not received pledges of cash collateral from our counterparties under the associated derivative contracts.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our floating rate debt under our current credit facility, we are exposed to variability in our cash flows from changes in the applicable interest rate index. We enter into interest rate caps and swaps to reduce the variability of cash flows from increases in the LIBOR-based borrowing rates on our floating rate credit facility. These instruments do not protect us from changes to the applicable margin under our credit facility. At June 30, 2021, our LIBOR-based debt balance was $31.1 million.</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2015, we entered into one interest rate swap, which was effective from August 31, 2016 and expired on June 23, 2020, to convert $214 million of our LIBOR-based debt from a floating LIBOR interest rate to a fixed interest rate of 1.42% (excluding the applicable margin on the debt). The notional balance amortized to maturity at the same rate as required minimum payments on the outstanding term loan. This cash flow hedge was expected to be highly effective in achieving offsetting cash flows attributable to the hedged risk through the term of the hedge. Consequently, effective changes in the fair value of the interest rate swap were recognized as a component of other comprehensive income (loss) (OCI) and recognized in earnings when the hedged item affected earnings. The amounts paid or received on the hedge were recognized as adjustment to interest expense.</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we entered into one interest rate swap, which was effective from June 30, 2020 to June 30, 2023, and converted $240 million of our LIBOR-based debt from a floating LIBOR interest rate to a fixed interest rate of 0.617% (excluding the applicable margin). The notional balance amortized to maturity at the same rate of originally required amortizations on our outstanding term loan. Changes in the fair value of the interest rate swap were recognized as a component of OCI and recognized in earnings when the hedged item affected earnings. The amounts paid or received on the hedge was recognized as an adjustment to interest expense along with the earnings effect of the hedged item. On March 17, 2021 following the paydown of the term loan within the 2018 credit facility, we terminated the interest rate swap, and paid a fee of $1.7 million to settle it, since the likelihood of LIBOR-based interest payments was no longer probable of occurring.</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April 2018, we entered into one cross-currency swap, which converted $56.0 million of floating LIBOR-based U.S. dollar- denominated debt into 1.38% fixed rate euro-denominated debt. This cross-currency swap matured on April 30, 2021 and mitigated the risk associated with fluctuations in currency rates impacting cash flows related to U.S. dollar-denominated debt in a euro functional currency entity. Changes in the fair value of the cross-currency swap were recognized as a component of OCI and were recognized in earnings when the hedged item affected earnings. The amounts paid or received on the hedge were recognized as an adjustment to interest expense along with the earnings effect of the hedged item.</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forecasted inventory purchases in a non-functional currency, we are exposed to foreign exchange risk. We hedge portions of these purchases. During February 2021, we entered into foreign exchange option contracts for a total notional amount of $77 million at a cost of $1.1 million. The contracts mature ratably through the year with final maturity in October 2021. Changes in the fair values of the option contracts are recognized as a component of OCI and are recognized in product cost of revenues when the hedged item affects earnings.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before-tax effects of our accounting for derivative instruments designated as hedges on AOCI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3"/>
              </w:rPr>
              <w:t>Derivatives in ASC 815-20</w:t>
            </w:r>
          </w:p>
        </w:tc>
        <w:tc>
          <w:tcPr>
            <w:tcW w:w="2640" w:type="dxa"/>
            <w:vAlign w:val="bottom"/>
            <w:gridSpan w:val="4"/>
            <w:vMerge w:val="restart"/>
          </w:tcPr>
          <w:p>
            <w:pPr>
              <w:jc w:val="center"/>
              <w:ind w:left="739"/>
              <w:spacing w:after="0"/>
              <w:rPr>
                <w:sz w:val="20"/>
                <w:szCs w:val="20"/>
                <w:color w:val="auto"/>
              </w:rPr>
            </w:pPr>
            <w:r>
              <w:rPr>
                <w:rFonts w:ascii="Arial" w:cs="Arial" w:eastAsia="Arial" w:hAnsi="Arial"/>
                <w:sz w:val="16"/>
                <w:szCs w:val="16"/>
                <w:b w:val="1"/>
                <w:bCs w:val="1"/>
                <w:color w:val="auto"/>
                <w:w w:val="91"/>
              </w:rPr>
              <w:t>Amount of Gain (Loss)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5"/>
          </w:tcPr>
          <w:p>
            <w:pPr>
              <w:ind w:left="1540"/>
              <w:spacing w:after="0"/>
              <w:rPr>
                <w:sz w:val="20"/>
                <w:szCs w:val="20"/>
                <w:color w:val="auto"/>
              </w:rPr>
            </w:pPr>
            <w:r>
              <w:rPr>
                <w:rFonts w:ascii="Arial" w:cs="Arial" w:eastAsia="Arial" w:hAnsi="Arial"/>
                <w:sz w:val="16"/>
                <w:szCs w:val="16"/>
                <w:b w:val="1"/>
                <w:bCs w:val="1"/>
                <w:color w:val="auto"/>
              </w:rPr>
              <w:t>Gain (Loss) Reclassified from</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800" w:type="dxa"/>
            <w:vAlign w:val="bottom"/>
            <w:vMerge w:val="continue"/>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20" w:type="dxa"/>
            <w:vAlign w:val="bottom"/>
            <w:gridSpan w:val="5"/>
            <w:vMerge w:val="restart"/>
          </w:tcPr>
          <w:p>
            <w:pPr>
              <w:ind w:left="1940"/>
              <w:spacing w:after="0"/>
              <w:rPr>
                <w:sz w:val="20"/>
                <w:szCs w:val="20"/>
                <w:color w:val="auto"/>
              </w:rPr>
            </w:pPr>
            <w:r>
              <w:rPr>
                <w:rFonts w:ascii="Arial" w:cs="Arial" w:eastAsia="Arial" w:hAnsi="Arial"/>
                <w:sz w:val="16"/>
                <w:szCs w:val="16"/>
                <w:b w:val="1"/>
                <w:bCs w:val="1"/>
                <w:color w:val="auto"/>
              </w:rPr>
              <w:t>AOCI into Income</w:t>
            </w: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800" w:type="dxa"/>
            <w:vAlign w:val="bottom"/>
            <w:vMerge w:val="restart"/>
          </w:tcPr>
          <w:p>
            <w:pPr>
              <w:jc w:val="center"/>
              <w:ind w:left="239"/>
              <w:spacing w:after="0" w:line="162" w:lineRule="exact"/>
              <w:rPr>
                <w:sz w:val="20"/>
                <w:szCs w:val="20"/>
                <w:color w:val="auto"/>
              </w:rPr>
            </w:pPr>
            <w:r>
              <w:rPr>
                <w:rFonts w:ascii="Arial" w:cs="Arial" w:eastAsia="Arial" w:hAnsi="Arial"/>
                <w:sz w:val="16"/>
                <w:szCs w:val="16"/>
                <w:b w:val="1"/>
                <w:bCs w:val="1"/>
                <w:color w:val="auto"/>
                <w:w w:val="89"/>
              </w:rPr>
              <w:t>Cash Flow</w:t>
            </w:r>
          </w:p>
        </w:tc>
        <w:tc>
          <w:tcPr>
            <w:tcW w:w="2640" w:type="dxa"/>
            <w:vAlign w:val="bottom"/>
            <w:gridSpan w:val="4"/>
            <w:vMerge w:val="restart"/>
          </w:tcPr>
          <w:p>
            <w:pPr>
              <w:jc w:val="center"/>
              <w:ind w:left="739"/>
              <w:spacing w:after="0" w:line="162" w:lineRule="exact"/>
              <w:rPr>
                <w:sz w:val="20"/>
                <w:szCs w:val="20"/>
                <w:color w:val="auto"/>
              </w:rPr>
            </w:pPr>
            <w:r>
              <w:rPr>
                <w:rFonts w:ascii="Arial" w:cs="Arial" w:eastAsia="Arial" w:hAnsi="Arial"/>
                <w:sz w:val="16"/>
                <w:szCs w:val="16"/>
                <w:b w:val="1"/>
                <w:bCs w:val="1"/>
                <w:color w:val="auto"/>
                <w:w w:val="93"/>
              </w:rPr>
              <w:t>Recognized in OCI on</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20" w:type="dxa"/>
            <w:vAlign w:val="bottom"/>
            <w:tcBorders>
              <w:bottom w:val="single" w:sz="8" w:color="auto"/>
            </w:tcBorders>
            <w:gridSpan w:val="5"/>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800" w:type="dxa"/>
            <w:vAlign w:val="bottom"/>
            <w:vMerge w:val="continue"/>
          </w:tcPr>
          <w:p>
            <w:pPr>
              <w:spacing w:after="0"/>
              <w:rPr>
                <w:sz w:val="2"/>
                <w:szCs w:val="2"/>
                <w:color w:val="auto"/>
              </w:rPr>
            </w:pPr>
          </w:p>
        </w:tc>
        <w:tc>
          <w:tcPr>
            <w:tcW w:w="2640" w:type="dxa"/>
            <w:vAlign w:val="bottom"/>
            <w:gridSpan w:val="4"/>
            <w:vMerge w:val="continue"/>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gridSpan w:val="2"/>
            <w:vMerge w:val="restart"/>
          </w:tcPr>
          <w:p>
            <w:pPr>
              <w:ind w:left="820"/>
              <w:spacing w:after="0"/>
              <w:rPr>
                <w:sz w:val="20"/>
                <w:szCs w:val="20"/>
                <w:color w:val="auto"/>
              </w:rPr>
            </w:pPr>
            <w:r>
              <w:rPr>
                <w:rFonts w:ascii="Arial" w:cs="Arial" w:eastAsia="Arial" w:hAnsi="Arial"/>
                <w:sz w:val="16"/>
                <w:szCs w:val="16"/>
                <w:b w:val="1"/>
                <w:bCs w:val="1"/>
                <w:color w:val="auto"/>
              </w:rPr>
              <w:t>Location</w:t>
            </w:r>
          </w:p>
        </w:tc>
        <w:tc>
          <w:tcPr>
            <w:tcW w:w="840" w:type="dxa"/>
            <w:vAlign w:val="bottom"/>
          </w:tcPr>
          <w:p>
            <w:pPr>
              <w:spacing w:after="0"/>
              <w:rPr>
                <w:sz w:val="2"/>
                <w:szCs w:val="2"/>
                <w:color w:val="auto"/>
              </w:rPr>
            </w:pPr>
          </w:p>
        </w:tc>
        <w:tc>
          <w:tcPr>
            <w:tcW w:w="98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tcPr>
          <w:p>
            <w:pPr>
              <w:jc w:val="center"/>
              <w:ind w:left="239"/>
              <w:spacing w:after="0"/>
              <w:rPr>
                <w:sz w:val="20"/>
                <w:szCs w:val="20"/>
                <w:color w:val="auto"/>
              </w:rPr>
            </w:pPr>
            <w:r>
              <w:rPr>
                <w:rFonts w:ascii="Arial" w:cs="Arial" w:eastAsia="Arial" w:hAnsi="Arial"/>
                <w:sz w:val="16"/>
                <w:szCs w:val="16"/>
                <w:b w:val="1"/>
                <w:bCs w:val="1"/>
                <w:color w:val="auto"/>
                <w:w w:val="89"/>
              </w:rPr>
              <w:t>Hedging Relationships</w:t>
            </w:r>
          </w:p>
        </w:tc>
        <w:tc>
          <w:tcPr>
            <w:tcW w:w="1160" w:type="dxa"/>
            <w:vAlign w:val="bottom"/>
          </w:tcPr>
          <w:p>
            <w:pPr>
              <w:spacing w:after="0"/>
              <w:rPr>
                <w:sz w:val="18"/>
                <w:szCs w:val="18"/>
                <w:color w:val="auto"/>
              </w:rPr>
            </w:pPr>
          </w:p>
        </w:tc>
        <w:tc>
          <w:tcPr>
            <w:tcW w:w="148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94"/>
              </w:rPr>
              <w:t>Derivative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rate swap contracts</w:t>
            </w:r>
          </w:p>
        </w:tc>
        <w:tc>
          <w:tcPr>
            <w:tcW w:w="11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Arial" w:cs="Arial" w:eastAsia="Arial" w:hAnsi="Arial"/>
                <w:sz w:val="16"/>
                <w:szCs w:val="16"/>
                <w:color w:val="auto"/>
              </w:rPr>
              <w:t>Interest rate cap contracts</w:t>
            </w:r>
          </w:p>
        </w:tc>
        <w:tc>
          <w:tcPr>
            <w:tcW w:w="1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options</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(1,058)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Product cost of revenues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Arial" w:cs="Arial" w:eastAsia="Arial" w:hAnsi="Arial"/>
                <w:sz w:val="16"/>
                <w:szCs w:val="16"/>
                <w:color w:val="auto"/>
              </w:rPr>
              <w:t>Cross currency swap contract</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(1,744)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2"/>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Cross currency swap contract</w:t>
            </w:r>
          </w:p>
        </w:tc>
        <w:tc>
          <w:tcPr>
            <w:tcW w:w="1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income/(expense), net</w:t>
            </w: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(1,598)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470"/>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rate swap contract</w:t>
            </w:r>
          </w:p>
        </w:tc>
        <w:tc>
          <w:tcPr>
            <w:tcW w:w="11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(2,516)</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Arial" w:cs="Arial" w:eastAsia="Arial" w:hAnsi="Arial"/>
                <w:sz w:val="16"/>
                <w:szCs w:val="16"/>
                <w:color w:val="auto"/>
              </w:rPr>
              <w:t>Interest rate swap contract</w:t>
            </w:r>
          </w:p>
        </w:tc>
        <w:tc>
          <w:tcPr>
            <w:tcW w:w="1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Other income/(expense), net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(1,681)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rate cap contracts</w:t>
            </w:r>
          </w:p>
        </w:tc>
        <w:tc>
          <w:tcPr>
            <w:tcW w:w="1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Arial" w:cs="Arial" w:eastAsia="Arial" w:hAnsi="Arial"/>
                <w:sz w:val="16"/>
                <w:szCs w:val="16"/>
                <w:color w:val="auto"/>
              </w:rPr>
              <w:t>Foreign exchange options</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Product cost of revenues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Cross currency swap contract</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30"/>
        </w:trPr>
        <w:tc>
          <w:tcPr>
            <w:tcW w:w="2800" w:type="dxa"/>
            <w:vAlign w:val="bottom"/>
          </w:tcPr>
          <w:p>
            <w:pPr>
              <w:ind w:left="360"/>
              <w:spacing w:after="0"/>
              <w:rPr>
                <w:sz w:val="20"/>
                <w:szCs w:val="20"/>
                <w:color w:val="auto"/>
              </w:rPr>
            </w:pPr>
            <w:r>
              <w:rPr>
                <w:rFonts w:ascii="Arial" w:cs="Arial" w:eastAsia="Arial" w:hAnsi="Arial"/>
                <w:sz w:val="16"/>
                <w:szCs w:val="16"/>
                <w:color w:val="auto"/>
              </w:rPr>
              <w:t>Cross currency swap contract</w:t>
            </w:r>
          </w:p>
        </w:tc>
        <w:tc>
          <w:tcPr>
            <w:tcW w:w="11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Other income/(expense), net</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2021, a total of 37 contracts were offsetting our exposures from the euro, pound sterling, Indonesian rupiah, Canadian dollar, Australian dollar and various other currencies, with notional amounts ranging from $98,000 to $46.1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120"/>
              <w:spacing w:after="0"/>
              <w:rPr>
                <w:sz w:val="20"/>
                <w:szCs w:val="20"/>
                <w:color w:val="auto"/>
              </w:rPr>
            </w:pPr>
            <w:r>
              <w:rPr>
                <w:rFonts w:ascii="Arial" w:cs="Arial" w:eastAsia="Arial" w:hAnsi="Arial"/>
                <w:sz w:val="16"/>
                <w:szCs w:val="16"/>
                <w:b w:val="1"/>
                <w:bCs w:val="1"/>
                <w:color w:val="auto"/>
                <w:w w:val="92"/>
              </w:rPr>
              <w:t>Derivatives Not Designated as Hedging Instrument under</w:t>
            </w:r>
          </w:p>
        </w:tc>
        <w:tc>
          <w:tcPr>
            <w:tcW w:w="262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Location</w:t>
            </w:r>
          </w:p>
        </w:tc>
        <w:tc>
          <w:tcPr>
            <w:tcW w:w="200" w:type="dxa"/>
            <w:vAlign w:val="bottom"/>
          </w:tcPr>
          <w:p>
            <w:pPr>
              <w:spacing w:after="0"/>
              <w:rPr>
                <w:sz w:val="16"/>
                <w:szCs w:val="16"/>
                <w:color w:val="auto"/>
              </w:rPr>
            </w:pPr>
          </w:p>
        </w:tc>
        <w:tc>
          <w:tcPr>
            <w:tcW w:w="4260" w:type="dxa"/>
            <w:vAlign w:val="bottom"/>
            <w:gridSpan w:val="3"/>
          </w:tcPr>
          <w:p>
            <w:pPr>
              <w:jc w:val="right"/>
              <w:ind w:right="217"/>
              <w:spacing w:after="0"/>
              <w:rPr>
                <w:sz w:val="20"/>
                <w:szCs w:val="20"/>
                <w:color w:val="auto"/>
              </w:rPr>
            </w:pPr>
            <w:r>
              <w:rPr>
                <w:rFonts w:ascii="Arial" w:cs="Arial" w:eastAsia="Arial" w:hAnsi="Arial"/>
                <w:sz w:val="16"/>
                <w:szCs w:val="16"/>
                <w:b w:val="1"/>
                <w:bCs w:val="1"/>
                <w:color w:val="auto"/>
                <w:w w:val="93"/>
              </w:rPr>
              <w:t>Gain (Loss) Recognized on Derivatives in Other Income</w:t>
            </w:r>
          </w:p>
        </w:tc>
        <w:tc>
          <w:tcPr>
            <w:tcW w:w="0" w:type="dxa"/>
            <w:vAlign w:val="bottom"/>
          </w:tcPr>
          <w:p>
            <w:pPr>
              <w:spacing w:after="0"/>
              <w:rPr>
                <w:sz w:val="1"/>
                <w:szCs w:val="1"/>
                <w:color w:val="auto"/>
              </w:rPr>
            </w:pPr>
          </w:p>
        </w:tc>
      </w:tr>
      <w:tr>
        <w:trPr>
          <w:trHeight w:val="213"/>
        </w:trPr>
        <w:tc>
          <w:tcPr>
            <w:tcW w:w="4160" w:type="dxa"/>
            <w:vAlign w:val="bottom"/>
          </w:tcPr>
          <w:p>
            <w:pPr>
              <w:ind w:left="1700"/>
              <w:spacing w:after="0"/>
              <w:rPr>
                <w:sz w:val="20"/>
                <w:szCs w:val="20"/>
                <w:color w:val="auto"/>
              </w:rPr>
            </w:pPr>
            <w:r>
              <w:rPr>
                <w:rFonts w:ascii="Arial" w:cs="Arial" w:eastAsia="Arial" w:hAnsi="Arial"/>
                <w:sz w:val="16"/>
                <w:szCs w:val="16"/>
                <w:b w:val="1"/>
                <w:bCs w:val="1"/>
                <w:color w:val="auto"/>
              </w:rPr>
              <w:t>ASC 815-20</w:t>
            </w:r>
          </w:p>
        </w:tc>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(Expense)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5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6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6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the Convertible Notes and/or offset any cash</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those Convertible Note Hedge Transactions. The Convertible Note Hedge Transactions meet the criteria in ASC 815-40 to be classified within Stockholders' Equity, and therefore the transactions are not revalued after their issuance.</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note, and results in a $20.6 million deferred tax asset recognized through equity.</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Warrants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0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3,569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3,069</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portion of pension benefit obligation</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116,666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119,457</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Pension benefit obligation, net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120,235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122,526</w:t>
            </w:r>
          </w:p>
        </w:tc>
      </w:tr>
      <w:tr>
        <w:trPr>
          <w:trHeight w:val="2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asset investment strategy focuses on maintaining a portfolio using primarily insurance funds, which are accounted for as investments and measured at fair value, in order to achieve our long-term investment objectives on a risk-adjusted basis. Our general funding policy for these qualified pension plans is to contribute amounts sufficient to satisfy regulatory funding standards of the respective countries for each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930</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Net periodic benefit cost</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3,583</w:t>
            </w:r>
          </w:p>
        </w:tc>
      </w:tr>
      <w:tr>
        <w:trPr>
          <w:trHeight w:val="20"/>
        </w:trPr>
        <w:tc>
          <w:tcPr>
            <w:tcW w:w="4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grant stock-based compensation awards, including stock options, restricted stock units, phantom stock, and unrestricted stock units, under the Second Amended and Restated 2010 Stock Incentive Plan (Stock Incentive Plan). In the Stock Incentive Plan, we have 12,623,538 shares of common stock reserved and authorized for issuance subject to stock splits, dividends, and other similar events, and, at June 30, 2021, 5,345,201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maintain the Employee Stock Purchase Plan (ESPP), for which 160,181 shares of common stock were available for future issuance at June 30,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ESPP activity and stock-based grants other than stock options and restricted stock units were not significant for the three and six months ended June 30, 2021 and 2020.</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5,511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6,367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11,442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14,176</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Phantom stock units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r>
      <w:tr>
        <w:trPr>
          <w:trHeight w:val="238"/>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6"/>
                <w:szCs w:val="16"/>
                <w:color w:val="auto"/>
              </w:rPr>
            </w:pPr>
          </w:p>
        </w:tc>
        <w:tc>
          <w:tcPr>
            <w:tcW w:w="168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88"/>
              </w:rPr>
              <w:t>Aggregate</w:t>
            </w: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960" w:type="dxa"/>
            <w:vAlign w:val="bottom"/>
            <w:vMerge w:val="restart"/>
          </w:tcPr>
          <w:p>
            <w:pPr>
              <w:jc w:val="center"/>
              <w:ind w:left="279"/>
              <w:spacing w:after="0"/>
              <w:rPr>
                <w:sz w:val="20"/>
                <w:szCs w:val="20"/>
                <w:color w:val="auto"/>
              </w:rPr>
            </w:pPr>
            <w:r>
              <w:rPr>
                <w:rFonts w:ascii="Arial" w:cs="Arial" w:eastAsia="Arial" w:hAnsi="Arial"/>
                <w:sz w:val="16"/>
                <w:szCs w:val="16"/>
                <w:b w:val="1"/>
                <w:bCs w:val="1"/>
                <w:color w:val="auto"/>
                <w:w w:val="89"/>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8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Intrinsic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w w:val="90"/>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(years)</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color w:val="auto"/>
                <w:w w:val="92"/>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3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87.27</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Outstanding, June 30, 2020</w:t>
            </w:r>
          </w:p>
        </w:tc>
        <w:tc>
          <w:tcPr>
            <w:tcW w:w="9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61.48</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Outstanding, January 1, 2021</w:t>
            </w:r>
          </w:p>
        </w:tc>
        <w:tc>
          <w:tcPr>
            <w:tcW w:w="36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61.95</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Exercised</w:t>
            </w:r>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66.97</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Outstanding, June 30, 2021</w:t>
            </w:r>
          </w:p>
        </w:tc>
        <w:tc>
          <w:tcPr>
            <w:tcW w:w="9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61.25</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Exercisable, June 30, 2021</w:t>
            </w:r>
          </w:p>
        </w:tc>
        <w:tc>
          <w:tcPr>
            <w:tcW w:w="36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54.75</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13,048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2021, total unrecognized stock-based compensation expense related to nonvested stock options was $1.7 million, which is expected to be recognized over a weighted average period of approximately 1.5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estimate the fair value of stock options granted and the resulting weighted average fair value are as follows:</w:t>
      </w:r>
    </w:p>
    <w:p>
      <w:pPr>
        <w:spacing w:after="0" w:line="73"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2020</w:t>
            </w:r>
          </w:p>
        </w:tc>
      </w:tr>
      <w:tr>
        <w:trPr>
          <w:trHeight w:val="21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w:t>
            </w:r>
          </w:p>
        </w:tc>
      </w:tr>
      <w:tr>
        <w:trPr>
          <w:trHeight w:val="213"/>
        </w:trPr>
        <w:tc>
          <w:tcPr>
            <w:tcW w:w="820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There were no employee stock options granted for the three and six months ended June 30, 2021, and the three months ended June 30, 2020.</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fair value</w:t>
            </w:r>
          </w:p>
        </w:tc>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00" w:type="dxa"/>
            <w:vAlign w:val="bottom"/>
            <w:vMerge w:val="continue"/>
          </w:tcPr>
          <w:p>
            <w:pPr>
              <w:spacing w:after="0"/>
              <w:rPr>
                <w:sz w:val="18"/>
                <w:szCs w:val="18"/>
                <w:color w:val="auto"/>
              </w:rPr>
            </w:pPr>
          </w:p>
        </w:tc>
        <w:tc>
          <w:tcPr>
            <w:tcW w:w="2200" w:type="dxa"/>
            <w:vAlign w:val="bottom"/>
          </w:tcPr>
          <w:p>
            <w:pPr>
              <w:jc w:val="right"/>
              <w:ind w:right="239"/>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2"/>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189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85.97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June 30, 2020</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98.94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19,474</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June 30, 2021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but not released, June 30, 2021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Shares released is presented as gross shares and does not reflect shares withheld by us for employee payroll tax obligations.</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2021, total unrecognized compensation expense on restricted stock units was $36.4 million, which is expected to be recognized over a weighted average period of approximately 1.9 years.</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weighted average assumptions used to estimate the fair value of performance-based restricted stock units granted with a service and market condition and the resulting weighted average fair value are as follows:</w:t>
      </w: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340" w:type="dxa"/>
            <w:vAlign w:val="bottom"/>
            <w:tcBorders>
              <w:bottom w:val="single" w:sz="8" w:color="auto"/>
            </w:tcBorders>
          </w:tcPr>
          <w:p>
            <w:pPr>
              <w:spacing w:after="0"/>
              <w:rPr>
                <w:sz w:val="18"/>
                <w:szCs w:val="18"/>
                <w:color w:val="auto"/>
              </w:rPr>
            </w:pPr>
          </w:p>
        </w:tc>
      </w:tr>
      <w:tr>
        <w:trPr>
          <w:trHeight w:val="210"/>
        </w:trPr>
        <w:tc>
          <w:tcPr>
            <w:tcW w:w="65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95"/>
              </w:rPr>
              <w:t>2020</w:t>
            </w: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50.5 %</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37.6 %</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57"/>
        </w:trPr>
        <w:tc>
          <w:tcPr>
            <w:tcW w:w="6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113.75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performance-based restricted stock units granted for the three months ended June 30, 2021 and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tax rate for the three and six months ended June 30, 2021 of 1% and (31)%, respectively, differed from the federal statutory rate of 21% primarily due to reserves recognized on deferred purchase price receivables in the second quarter related to the 2020 divestiture of the majority of our Latin American business activities. This item was recognized for tax as a discrete and resulted in no tax benefit. Other rate drivers include losses in jurisdictions for which no benefit is recognized because of valuation allowances on deferred tax assets, the forecasted mix of earnings in domestic and international jurisdictions, a benefit related to stock-based compensation, and uncertain tax positions.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tax rate for the three and six months ended June 30, 2020 of (8)% and (30)%, respectively, differed from the federal statutory rate of 21% primarily due to a significant loss recognized in the second quarter for the divestiture of the majority of</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our Latin American business activities. This loss was recognized for tax as a discrete item and resulted in no tax benefit. Other rate drivers included losses in jurisdictions for which no benefit is recognized because of valuation allowances on deferred tax assets as well as the forecasted mix of earnings in domestic and international jurisdictions, a benefit related to stock-based compensation, and uncertain tax positions.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1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1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w:t>
            </w: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1,645</w:t>
            </w:r>
          </w:p>
        </w:tc>
      </w:tr>
    </w:tbl>
    <w:p>
      <w:pPr>
        <w:spacing w:after="0" w:line="31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tbl>
      <w:tblPr>
        <w:tblLayout w:type="fixed"/>
        <w:tblInd w:w="0" w:type="dxa"/>
        <w:tblCellMar>
          <w:top w:w="0" w:type="dxa"/>
          <w:left w:w="0" w:type="dxa"/>
          <w:bottom w:w="0" w:type="dxa"/>
          <w:right w:w="0" w:type="dxa"/>
        </w:tblCellMar>
      </w:tblPr>
      <w:tr>
        <w:trPr>
          <w:trHeight w:val="213"/>
        </w:trPr>
        <w:tc>
          <w:tcPr>
            <w:tcW w:w="64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2"/>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related to uncertain tax positions</w:t>
            </w:r>
          </w:p>
        </w:tc>
        <w:tc>
          <w:tcPr>
            <w:tcW w:w="6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135,910</w:t>
            </w: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w w:val="96"/>
              </w:rPr>
              <w:t>The amount of unrecognized tax benefits that, if recognized, would affect our effective tax rate</w:t>
            </w:r>
          </w:p>
        </w:tc>
        <w:tc>
          <w:tcPr>
            <w:tcW w:w="6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134,257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134,473</w:t>
            </w: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file income tax returns in various jurisdictions. The material jurisdictions where we are subject to examination include, among others, the United States, France, Germany, Italy, Indonesia, and the United Kingdom.</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U.S. Federal government passed the Coronavirus Aid, Relief, and Economic Security (CARES) Act to provide economic relief from COVID-19. The CARES Act contains significant business tax provisions, which the Company has evaluated and determined will not have a material impact on the Company's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CARES Act also provides employer payroll tax credits for wages paid to employees who are unable to work during the COVID-19 outbreak and options to defer payroll tax payments. The Company has elected to defer remittances of payroll and other taxes into the future as provided for under the Act.</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09"/>
        </w:trPr>
        <w:tc>
          <w:tcPr>
            <w:tcW w:w="67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(65,471)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(64,948)</w:t>
            </w:r>
          </w:p>
        </w:tc>
      </w:tr>
      <w:tr>
        <w:trPr>
          <w:trHeight w:val="234"/>
        </w:trPr>
        <w:tc>
          <w:tcPr>
            <w:tcW w:w="6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434,529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435,052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available for additional standby LOCs under sub-facility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235,052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Multicurrency revolving lines of credit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97,013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99,201</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(24,966)</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Short-term borrowings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and LOCs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64,999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Unsecured surety bonds in force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162,912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as of August 5, 2021, we do not believe that any outstanding LOC or bond will be called.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39,334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48,719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53,242</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New product warranties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2,070</w:t>
            </w: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 and expirations,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Claims activity</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(8,365)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(7,884)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(14,305)</w:t>
            </w: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7"/>
        </w:trPr>
        <w:tc>
          <w:tcPr>
            <w:tcW w:w="438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36,210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44,757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36,210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44,757</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warranty</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20,299</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33,039</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33,039</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Long-term warranty</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15,911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11,718</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11,718</w:t>
            </w:r>
          </w:p>
        </w:tc>
      </w:tr>
      <w:tr>
        <w:trPr>
          <w:trHeight w:val="21"/>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84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w w:val="96"/>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w:t>
            </w: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Warranty expense decreased during the quarter ended June 30, 2021 compared with the same period in 2020. The lower costs in 2021 are primarily the result of incremental specific reserves recognized in 2020, including $2.0 million for electric and water products in Europe, Middle East, and Africa (EMEA) Device Solutions and $0.7 million for electric products in North America (NAM) Networked Solutions.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2020 Projects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2022. The largest component of expected remaining costs to be recognized is related to a non-cash cumulative translation adjustment charge.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2020 Projects were as follows:</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Total Expected Costs at</w:t>
            </w:r>
          </w:p>
        </w:tc>
        <w:tc>
          <w:tcPr>
            <w:tcW w:w="20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4"/>
                <w:szCs w:val="14"/>
                <w:color w:val="auto"/>
              </w:rPr>
            </w:pPr>
          </w:p>
        </w:tc>
        <w:tc>
          <w:tcPr>
            <w:tcW w:w="19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89"/>
              </w:rPr>
              <w:t>Costs Recognized During</w:t>
            </w:r>
          </w:p>
        </w:tc>
        <w:tc>
          <w:tcPr>
            <w:tcW w:w="198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the Six Months Ended</w:t>
            </w:r>
          </w:p>
        </w:tc>
        <w:tc>
          <w:tcPr>
            <w:tcW w:w="200" w:type="dxa"/>
            <w:vAlign w:val="bottom"/>
          </w:tcPr>
          <w:p>
            <w:pPr>
              <w:spacing w:after="0"/>
              <w:rPr>
                <w:sz w:val="14"/>
                <w:szCs w:val="14"/>
                <w:color w:val="auto"/>
              </w:rPr>
            </w:pPr>
          </w:p>
        </w:tc>
        <w:tc>
          <w:tcPr>
            <w:tcW w:w="178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2021</w:t>
            </w:r>
          </w:p>
        </w:tc>
        <w:tc>
          <w:tcPr>
            <w:tcW w:w="4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2021</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6"/>
              </w:rPr>
              <w:t>Asset impairments &amp; net loss (gain) on sale</w:t>
            </w:r>
          </w:p>
        </w:tc>
        <w:tc>
          <w:tcPr>
            <w:tcW w:w="1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6,861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or disposal</w:t>
            </w: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15,874</w:t>
            </w:r>
          </w:p>
        </w:tc>
        <w:tc>
          <w:tcPr>
            <w:tcW w:w="0" w:type="dxa"/>
            <w:vAlign w:val="bottom"/>
          </w:tcPr>
          <w:p>
            <w:pPr>
              <w:spacing w:after="0"/>
              <w:rPr>
                <w:sz w:val="1"/>
                <w:szCs w:val="1"/>
                <w:color w:val="auto"/>
              </w:rPr>
            </w:pPr>
          </w:p>
        </w:tc>
      </w:tr>
      <w:tr>
        <w:trPr>
          <w:trHeight w:val="213"/>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55,626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43,232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our Board of Directors approved a restructuring plan (the 2018 Projects) to continue our efforts to optimize our global supply chain and manufacturing operations, research and development, and sales and marketing organizations. Actions under the 2018 Projects were substantially completed as of the end of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we incurred additional legal costs related to a facility closure, partially offset by reduced severance costs.</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were as follows:</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Total Expected Costs at</w:t>
            </w:r>
          </w:p>
        </w:tc>
        <w:tc>
          <w:tcPr>
            <w:tcW w:w="20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4"/>
                <w:szCs w:val="14"/>
                <w:color w:val="auto"/>
              </w:rPr>
            </w:pPr>
          </w:p>
        </w:tc>
        <w:tc>
          <w:tcPr>
            <w:tcW w:w="19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89"/>
              </w:rPr>
              <w:t>Costs Recognized During</w:t>
            </w:r>
          </w:p>
        </w:tc>
        <w:tc>
          <w:tcPr>
            <w:tcW w:w="198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the Six Months Ended</w:t>
            </w:r>
          </w:p>
        </w:tc>
        <w:tc>
          <w:tcPr>
            <w:tcW w:w="200" w:type="dxa"/>
            <w:vAlign w:val="bottom"/>
          </w:tcPr>
          <w:p>
            <w:pPr>
              <w:spacing w:after="0"/>
              <w:rPr>
                <w:sz w:val="14"/>
                <w:szCs w:val="14"/>
                <w:color w:val="auto"/>
              </w:rPr>
            </w:pPr>
          </w:p>
        </w:tc>
        <w:tc>
          <w:tcPr>
            <w:tcW w:w="178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2021</w:t>
            </w:r>
          </w:p>
        </w:tc>
        <w:tc>
          <w:tcPr>
            <w:tcW w:w="4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2021</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60,732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6"/>
              </w:rPr>
              <w:t>Asset impairments &amp; net loss (gain) on sale</w:t>
            </w:r>
          </w:p>
        </w:tc>
        <w:tc>
          <w:tcPr>
            <w:tcW w:w="1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2,786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or disposal</w:t>
            </w: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3"/>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84,368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The following table summarizes the activity within the restructuring-related balance sheet accounts for the 2020 Projects and 2018 Projects during the six months ended June 30, 2021:</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Accrued Employee</w:t>
            </w:r>
          </w:p>
        </w:tc>
        <w:tc>
          <w:tcPr>
            <w:tcW w:w="100" w:type="dxa"/>
            <w:vAlign w:val="bottom"/>
          </w:tcPr>
          <w:p>
            <w:pPr>
              <w:spacing w:after="0"/>
              <w:rPr>
                <w:sz w:val="14"/>
                <w:szCs w:val="14"/>
                <w:color w:val="auto"/>
              </w:rPr>
            </w:pPr>
          </w:p>
        </w:tc>
        <w:tc>
          <w:tcPr>
            <w:tcW w:w="198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92"/>
              </w:rPr>
              <w:t>Asset Impairments &amp; Net</w:t>
            </w: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Loss (Gain) on Sale or</w:t>
            </w:r>
          </w:p>
        </w:tc>
        <w:tc>
          <w:tcPr>
            <w:tcW w:w="180" w:type="dxa"/>
            <w:vAlign w:val="bottom"/>
          </w:tcPr>
          <w:p>
            <w:pPr>
              <w:spacing w:after="0"/>
              <w:rPr>
                <w:sz w:val="14"/>
                <w:szCs w:val="14"/>
                <w:color w:val="auto"/>
              </w:rPr>
            </w:pPr>
          </w:p>
        </w:tc>
        <w:tc>
          <w:tcPr>
            <w:tcW w:w="18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4"/>
              </w:rPr>
              <w:t>Other Accrued Costs</w:t>
            </w:r>
          </w:p>
        </w:tc>
        <w:tc>
          <w:tcPr>
            <w:tcW w:w="12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restart"/>
          </w:tcPr>
          <w:p>
            <w:pPr>
              <w:jc w:val="right"/>
              <w:ind w:right="7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Severance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72,626</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4,740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(14,657)</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Arial" w:cs="Arial" w:eastAsia="Arial" w:hAnsi="Arial"/>
                <w:sz w:val="16"/>
                <w:szCs w:val="16"/>
                <w:color w:val="auto"/>
              </w:rPr>
              <w:t>Cash receipts</w:t>
            </w: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assets disposed and impaired</w:t>
            </w: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Effect of change in exchange rates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June 30,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portions of restructuring liabilities were $26.5 million and $31.7 million as of June 30, 2021 and December 31, 2020 and are classified within other current liabilities on the Consolidated Balance Sheets. The long-term portions of restructuring liabilities were $27.3 million and $40.9 million as of June 30, 2021 and December 31, 2020. The long-term portions of restructuring liabilities are classified within other long-term obligations on the Consolidated Balance Sheet and includes severance accruals and facility exit costs.</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2021 or December 31,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Common Stock</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March 12, 2021, we closed the sale of 4,472,222 shares of our common stock in a public offering, resulting in net proceeds to us of approximately $389.4 million, after deducting underwriters’ discounts of the offering.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the price per share of our common stock, as measured under the terms of the Convertible Note Hedge Transactions, is greater than the strike price of the Convertible Note Hedge Transactions. The Convertible Note Hedge Transactions meet the criteria in ASC 815-40 to be classified within Stockholders' Equity, and therefore the Convertible Note Hedge Transactions are not revalued after their issuance.</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note, and results in a $20.6 million deferred tax asset recognized through equity.</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1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w w:val="91"/>
              </w:rPr>
              <w:t>Comprehensive</w:t>
            </w:r>
          </w:p>
        </w:tc>
        <w:tc>
          <w:tcPr>
            <w:tcW w:w="0" w:type="dxa"/>
            <w:vAlign w:val="bottom"/>
          </w:tcPr>
          <w:p>
            <w:pPr>
              <w:spacing w:after="0"/>
              <w:rPr>
                <w:sz w:val="1"/>
                <w:szCs w:val="1"/>
                <w:color w:val="auto"/>
              </w:rPr>
            </w:pPr>
          </w:p>
        </w:tc>
      </w:tr>
      <w:tr>
        <w:trPr>
          <w:trHeight w:val="213"/>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Income (Loss)</w:t>
            </w:r>
          </w:p>
        </w:tc>
        <w:tc>
          <w:tcPr>
            <w:tcW w:w="0" w:type="dxa"/>
            <w:vAlign w:val="bottom"/>
          </w:tcPr>
          <w:p>
            <w:pPr>
              <w:spacing w:after="0"/>
              <w:rPr>
                <w:sz w:val="1"/>
                <w:szCs w:val="1"/>
                <w:color w:val="auto"/>
              </w:rPr>
            </w:pPr>
          </w:p>
        </w:tc>
      </w:tr>
      <w:tr>
        <w:trPr>
          <w:trHeight w:val="212"/>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(204,672)</w:t>
            </w:r>
          </w:p>
        </w:tc>
        <w:tc>
          <w:tcPr>
            <w:tcW w:w="0" w:type="dxa"/>
            <w:vAlign w:val="bottom"/>
          </w:tcPr>
          <w:p>
            <w:pPr>
              <w:spacing w:after="0"/>
              <w:rPr>
                <w:sz w:val="1"/>
                <w:szCs w:val="1"/>
                <w:color w:val="auto"/>
              </w:rPr>
            </w:pPr>
          </w:p>
        </w:tc>
      </w:tr>
      <w:tr>
        <w:trPr>
          <w:trHeight w:val="206"/>
        </w:trPr>
        <w:tc>
          <w:tcPr>
            <w:tcW w:w="362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(15,966)</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52,811</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37,953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36,845</w:t>
            </w:r>
          </w:p>
        </w:tc>
        <w:tc>
          <w:tcPr>
            <w:tcW w:w="0" w:type="dxa"/>
            <w:vAlign w:val="bottom"/>
          </w:tcPr>
          <w:p>
            <w:pPr>
              <w:spacing w:after="0"/>
              <w:rPr>
                <w:sz w:val="1"/>
                <w:szCs w:val="1"/>
                <w:color w:val="auto"/>
              </w:rPr>
            </w:pPr>
          </w:p>
        </w:tc>
      </w:tr>
      <w:tr>
        <w:trPr>
          <w:trHeight w:val="23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June 30,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(167,827)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(138,526)</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(8,747)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(6,646)</w:t>
            </w:r>
          </w:p>
        </w:tc>
        <w:tc>
          <w:tcPr>
            <w:tcW w:w="0" w:type="dxa"/>
            <w:vAlign w:val="bottom"/>
          </w:tcPr>
          <w:p>
            <w:pPr>
              <w:spacing w:after="0"/>
              <w:rPr>
                <w:sz w:val="1"/>
                <w:szCs w:val="1"/>
                <w:color w:val="auto"/>
              </w:rPr>
            </w:pPr>
          </w:p>
        </w:tc>
      </w:tr>
      <w:tr>
        <w:trPr>
          <w:trHeight w:val="23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(145,172)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income tax (provision) benefit, and net-of-tax amounts related to each component of OCI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Before-tax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(15,908)</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rPr>
              <w:t>Foreign currency translation adjustment reclassified to net</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52,088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52,088</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Arial" w:cs="Arial" w:eastAsia="Arial" w:hAnsi="Arial"/>
                <w:sz w:val="16"/>
                <w:szCs w:val="16"/>
                <w:color w:val="auto"/>
              </w:rPr>
              <w:t>income (loss) on sale of business</w:t>
            </w: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2"/>
              </w:rPr>
              <w:t>Net unrealized gain (loss) on derivative instruments, designated</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 cash flow hedges</w:t>
            </w: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Net hedging (gain) loss reclassified to net income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(loss)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Tax (provision) benefit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Foreign currency translation adjustment reclassified to net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on sale of business</w:t>
            </w: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w w:val="92"/>
              </w:rPr>
              <w:t>Net unrealized gain (loss) on derivative instruments, designated</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Arial" w:cs="Arial" w:eastAsia="Arial" w:hAnsi="Arial"/>
                <w:sz w:val="16"/>
                <w:szCs w:val="16"/>
                <w:color w:val="auto"/>
              </w:rPr>
              <w:t>as cash flow hedges</w:t>
            </w: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hedging (gain) loss reclassified to net income (loss)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8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Total other comprehensive income (loss) tax (provision)</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benefit</w:t>
            </w: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Net-of-tax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(14,135)</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rPr>
              <w:t>Foreign currency translation adjustment reclassified to net</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52,088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52,088</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Arial" w:cs="Arial" w:eastAsia="Arial" w:hAnsi="Arial"/>
                <w:sz w:val="16"/>
                <w:szCs w:val="16"/>
                <w:color w:val="auto"/>
              </w:rPr>
              <w:t>income (loss) on sale of business</w:t>
            </w: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2"/>
              </w:rPr>
              <w:t>Net unrealized gain (loss) on derivative instruments, designated</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 cash flow hedges</w:t>
            </w: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Net hedging (gain) loss reclassified to net income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(loss)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36,845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fair values at June 30, 2021 and December 31, 2020 do not reflect subsequent changes in the economy, interest rates, tax rates, and other variables that may affect the determination of fair value.</w:t>
      </w: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June 30, 2021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1360" w:type="dxa"/>
            <w:vAlign w:val="bottom"/>
          </w:tcPr>
          <w:p>
            <w:pPr>
              <w:jc w:val="right"/>
              <w:ind w:right="439"/>
              <w:spacing w:after="0" w:line="158" w:lineRule="exact"/>
              <w:rPr>
                <w:sz w:val="20"/>
                <w:szCs w:val="20"/>
                <w:color w:val="auto"/>
              </w:rPr>
            </w:pPr>
            <w:r>
              <w:rPr>
                <w:rFonts w:ascii="Arial" w:cs="Arial" w:eastAsia="Arial" w:hAnsi="Arial"/>
                <w:sz w:val="16"/>
                <w:szCs w:val="16"/>
                <w:b w:val="1"/>
                <w:bCs w:val="1"/>
                <w:color w:val="auto"/>
              </w:rPr>
              <w:t>Carrying</w:t>
            </w:r>
          </w:p>
        </w:tc>
        <w:tc>
          <w:tcPr>
            <w:tcW w:w="600" w:type="dxa"/>
            <w:vAlign w:val="bottom"/>
          </w:tcPr>
          <w:p>
            <w:pPr>
              <w:spacing w:after="0"/>
              <w:rPr>
                <w:sz w:val="13"/>
                <w:szCs w:val="13"/>
                <w:color w:val="auto"/>
              </w:rPr>
            </w:pPr>
          </w:p>
        </w:tc>
        <w:tc>
          <w:tcPr>
            <w:tcW w:w="1120" w:type="dxa"/>
            <w:vAlign w:val="bottom"/>
          </w:tcPr>
          <w:p>
            <w:pPr>
              <w:jc w:val="center"/>
              <w:ind w:right="439"/>
              <w:spacing w:after="0" w:line="158" w:lineRule="exact"/>
              <w:rPr>
                <w:sz w:val="20"/>
                <w:szCs w:val="20"/>
                <w:color w:val="auto"/>
              </w:rPr>
            </w:pPr>
            <w:r>
              <w:rPr>
                <w:rFonts w:ascii="Arial" w:cs="Arial" w:eastAsia="Arial" w:hAnsi="Arial"/>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439"/>
              <w:spacing w:after="0" w:line="158" w:lineRule="exact"/>
              <w:rPr>
                <w:sz w:val="20"/>
                <w:szCs w:val="20"/>
                <w:color w:val="auto"/>
              </w:rPr>
            </w:pPr>
            <w:r>
              <w:rPr>
                <w:rFonts w:ascii="Arial" w:cs="Arial" w:eastAsia="Arial" w:hAnsi="Arial"/>
                <w:sz w:val="16"/>
                <w:szCs w:val="16"/>
                <w:b w:val="1"/>
                <w:bCs w:val="1"/>
                <w:color w:val="auto"/>
              </w:rPr>
              <w:t>Carrying</w:t>
            </w:r>
          </w:p>
        </w:tc>
        <w:tc>
          <w:tcPr>
            <w:tcW w:w="700" w:type="dxa"/>
            <w:vAlign w:val="bottom"/>
          </w:tcPr>
          <w:p>
            <w:pPr>
              <w:spacing w:after="0"/>
              <w:rPr>
                <w:sz w:val="13"/>
                <w:szCs w:val="13"/>
                <w:color w:val="auto"/>
              </w:rPr>
            </w:pPr>
          </w:p>
        </w:tc>
        <w:tc>
          <w:tcPr>
            <w:tcW w:w="1020" w:type="dxa"/>
            <w:vAlign w:val="bottom"/>
          </w:tcPr>
          <w:p>
            <w:pPr>
              <w:jc w:val="right"/>
              <w:ind w:right="579"/>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600" w:type="dxa"/>
            <w:vAlign w:val="bottom"/>
          </w:tcPr>
          <w:p>
            <w:pPr>
              <w:spacing w:after="0"/>
              <w:rPr>
                <w:sz w:val="18"/>
                <w:szCs w:val="18"/>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700" w:type="dxa"/>
            <w:vAlign w:val="bottom"/>
          </w:tcPr>
          <w:p>
            <w:pPr>
              <w:spacing w:after="0"/>
              <w:rPr>
                <w:sz w:val="18"/>
                <w:szCs w:val="18"/>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30,014</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532,625</w:t>
            </w: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520,347</w:t>
            </w:r>
          </w:p>
        </w:tc>
        <w:tc>
          <w:tcPr>
            <w:tcW w:w="0" w:type="dxa"/>
            <w:vAlign w:val="bottom"/>
          </w:tcPr>
          <w:p>
            <w:pPr>
              <w:spacing w:after="0"/>
              <w:rPr>
                <w:sz w:val="1"/>
                <w:szCs w:val="1"/>
                <w:color w:val="auto"/>
              </w:rPr>
            </w:pPr>
          </w:p>
        </w:tc>
      </w:tr>
      <w:tr>
        <w:trPr>
          <w:trHeight w:val="213"/>
        </w:trPr>
        <w:tc>
          <w:tcPr>
            <w:tcW w:w="4340" w:type="dxa"/>
            <w:vAlign w:val="bottom"/>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388,311</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410,000</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3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449,020</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476,698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the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Senior Notes and Convertible Notes: </w:t>
      </w:r>
      <w:r>
        <w:rPr>
          <w:rFonts w:ascii="Arial" w:cs="Arial" w:eastAsia="Arial" w:hAnsi="Arial"/>
          <w:sz w:val="18"/>
          <w:szCs w:val="18"/>
          <w:color w:val="auto"/>
        </w:rPr>
        <w:t>The Senior Notes and Convertible Notes are not registered securities nor listed on any securities exchange but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actively traded by qualified institutional buyers. The fair value is estimated using Level 1 inputs, as it is based on quoted prices for these instruments in active markets.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Derivative Financial Instruments for a description of our methods and assumptions in determining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which were determined using Level 2 inputs. Each derivative asset and liability has a carrying value equal to fair value.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Device Solutions, Networked Solutions, and Outcomes.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 This segment primarily includes a combination of communicating devices (e.g., smart meters, modules, endpoints, and sensors),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of these industry and smart city applications to be run and managed on a single, multi-purpose network.</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Outcomes </w:t>
      </w:r>
      <w:r>
        <w:rPr>
          <w:rFonts w:ascii="Arial" w:cs="Arial" w:eastAsia="Arial" w:hAnsi="Arial"/>
          <w:sz w:val="16"/>
          <w:szCs w:val="16"/>
          <w:color w:val="auto"/>
        </w:rPr>
        <w:t>– This segment primarily includes our value-added, enhanced software and services in which we manage, organize, analyze, and interpret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327,118</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235,167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300,351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493,870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615,788</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24,216</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411,719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438,985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854,523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967,122</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59,502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49,537</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87,024</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77,693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70,609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154,463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140,887</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331,444</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265,058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553,372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665,325</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119,866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111,240</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489,412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509,594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1,008,986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1,108,009</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44,315</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95,953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108,323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208,712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230,073</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35,695</w:t>
            </w:r>
          </w:p>
        </w:tc>
      </w:tr>
      <w:tr>
        <w:trPr>
          <w:trHeight w:val="206"/>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149,875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138,517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316,919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310,083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7"/>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17,078</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64,630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77,382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143,921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166,062</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17,424</w:t>
            </w:r>
          </w:p>
        </w:tc>
      </w:tr>
      <w:tr>
        <w:trPr>
          <w:trHeight w:val="213"/>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(104,087)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(130,875)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(184,475)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(219,581)</w:t>
            </w:r>
          </w:p>
        </w:tc>
      </w:tr>
      <w:tr>
        <w:trPr>
          <w:trHeight w:val="213"/>
        </w:trPr>
        <w:tc>
          <w:tcPr>
            <w:tcW w:w="4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(19,017)</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(21,957)</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(57,686)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(40,974)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2021, no customer represented more than 10% of total company revenue. During the three and six months ended June 30, 2020, one customer represented 13% and 12% of total company revenues.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308,673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369,862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634,209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755,187</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150,851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107,799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311,220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274,783</w:t>
            </w:r>
          </w:p>
        </w:tc>
      </w:tr>
      <w:tr>
        <w:trPr>
          <w:trHeight w:val="219"/>
        </w:trPr>
        <w:tc>
          <w:tcPr>
            <w:tcW w:w="4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Asia Pacific and Latin America</w:t>
            </w:r>
            <w:r>
              <w:rPr>
                <w:rFonts w:ascii="Arial" w:cs="Arial" w:eastAsia="Arial" w:hAnsi="Arial"/>
                <w:sz w:val="21"/>
                <w:szCs w:val="21"/>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78,039</w:t>
            </w:r>
          </w:p>
        </w:tc>
      </w:tr>
      <w:tr>
        <w:trPr>
          <w:trHeight w:val="207"/>
        </w:trPr>
        <w:tc>
          <w:tcPr>
            <w:tcW w:w="436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489,412</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509,594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1,008,986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1,108,009</w:t>
            </w:r>
          </w:p>
        </w:tc>
      </w:tr>
      <w:tr>
        <w:trPr>
          <w:trHeight w:val="2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5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On June 25, 2020, we sold our Latin American operations. We continue to sell into the region through an exclusive distributor.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is allocated to the operating segments based upon each segment's use of the assets. All amortization expense is recognized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unallocated. Depreciation and amortization of intangible assets expense associated with our operating segments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12,497</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4,333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8,527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8,070</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10,119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12,392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24,858</w:t>
            </w:r>
          </w:p>
        </w:tc>
      </w:tr>
      <w:tr>
        <w:trPr>
          <w:trHeight w:val="235"/>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21,109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24,199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42,919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ectPr>
          <w:pgSz w:w="11900" w:h="16838" w:orient="portrait"/>
          <w:cols w:equalWidth="0" w:num="1">
            <w:col w:w="11240"/>
          </w:cols>
          <w:pgMar w:left="320" w:top="125" w:right="3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 January 1, 2021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Revenues recognized from beginning contract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Cumulative catch-up adjustments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Increases due to amounts collected or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Revenues recognized from current period increases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 June 30, 2021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Contract Liabilities, Less</w:t>
      </w:r>
    </w:p>
    <w:p>
      <w:pPr>
        <w:jc w:val="center"/>
        <w:spacing w:after="0"/>
        <w:rPr>
          <w:sz w:val="20"/>
          <w:szCs w:val="20"/>
          <w:color w:val="auto"/>
        </w:rPr>
      </w:pPr>
      <w:r>
        <w:rPr>
          <w:rFonts w:ascii="Arial" w:cs="Arial" w:eastAsia="Arial" w:hAnsi="Arial"/>
          <w:sz w:val="16"/>
          <w:szCs w:val="16"/>
          <w:b w:val="1"/>
          <w:bCs w:val="1"/>
          <w:color w:val="auto"/>
        </w:rPr>
        <w:t>Contract Assets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98,388</w:t>
            </w:r>
          </w:p>
        </w:tc>
      </w:tr>
      <w:tr>
        <w:trPr>
          <w:trHeight w:val="216"/>
        </w:trPr>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(78,600)</w:t>
            </w:r>
          </w:p>
        </w:tc>
      </w:tr>
      <w:tr>
        <w:trPr>
          <w:trHeight w:val="236"/>
        </w:trPr>
        <w:tc>
          <w:tcPr>
            <w:tcW w:w="8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10,169</w:t>
            </w:r>
          </w:p>
        </w:tc>
      </w:tr>
      <w:tr>
        <w:trPr>
          <w:trHeight w:val="210"/>
        </w:trPr>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161,728</w:t>
            </w:r>
          </w:p>
        </w:tc>
      </w:tr>
      <w:tr>
        <w:trPr>
          <w:trHeight w:val="216"/>
        </w:trPr>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(59,962)</w:t>
            </w:r>
          </w:p>
        </w:tc>
      </w:tr>
      <w:tr>
        <w:trPr>
          <w:trHeight w:val="219"/>
        </w:trPr>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10"/>
        </w:trPr>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131,582</w:t>
            </w:r>
          </w:p>
        </w:tc>
      </w:tr>
      <w:tr>
        <w:trPr>
          <w:trHeight w:val="23"/>
        </w:trPr>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340" w:space="720"/>
            <w:col w:w="2180"/>
          </w:cols>
          <w:pgMar w:left="320" w:top="125" w:right="339" w:bottom="1440" w:gutter="0" w:footer="0" w:header="0"/>
          <w:type w:val="continuous"/>
        </w:sectPr>
      </w:pP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2021, total contract assets were $49.8 million and total contract liabilities were $148.2 million. On June 30, 2021, total contract assets were $33.2 million and total contract liabilities were $164.8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transaction price allocated to remaining performance obligations related to contracts is approximately $1.2 billion for the next twelve months and approximately $1.6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which revenue is recognized over the warranty period, and hardware, which is recognized as units are delivered. The estimate of when remaining performance obligations will be recognized requires significant judgment.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Sale of Business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Latin America Divestiture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pays a royalty on certain products manufactured by Accell using licensed Company intellectual property. In addition, Accell serves as the exclusive distributor for our Device Solutions, Networked Solutions, and Outcomes product and service offerings in Latin America.</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sales price of $35.0 million included deferred payments of $21.1 million for working capital, which was to be paid in full by December 31, 2020, as evidenced by a promissory note, and the remainder in cash ($4.5 million) and other deferred consideration.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2021, we agreed to extend the payment terms on the remaining outstanding working capital balance of $18.4 million. Accell had agreed to make monthly payments, including interest, through September 2022, under which we received full payments for January through March and partial payments in April and May (totaling $3.8 million including $0.7 million in interest). In July 2021, we received a revised payment plan for the remaining working capital note receivable, as well as the other deferred transaction receivables. Based on Accell's failure to make timely payments, continued requests to defer payments significantly beyond the original maturity of the working capital note, and the negative impact of the COVID-19 pandemic on the Latin American markets, we determined to fully reserve the working capital and other deferred receivables, recognizing an additional loss on sale of business for the three and six months ended June 30, 2021 of $24.7 million and $26.1 million.</w:t>
      </w:r>
    </w:p>
    <w:p>
      <w:pPr>
        <w:spacing w:after="0" w:line="20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2020 filed with the Securities and Exchange Commission (SEC) in our Annual Report on Form 10-K on February 24, 2021 (2020 Annual Report).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that the analysis will enhance a reader’s understanding of our financial condition, cash flows, and other changes in financial condition and results of operations.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Documents we provide to the SEC are available free of charge under the Investors section of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as soon as practicable after they are filed with or furnished to the SEC. In addition, these documents are available at the SEC's website (http://</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2020 Annual Report and other reports on file with the SEC. We undertake no obligation to update or revise any forward-looking statement, whether written or oral.</w:t>
      </w:r>
    </w:p>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222222"/>
        </w:rPr>
        <w:t>The impact caused by the ongoing COVID-19 pandemic includes uncertainty as to the duration, spread, severity, and any resurgence of the COVID-19 pandemic including other factors contributing to infection rates, such as reinfection or mutation of the virus, the effectiveness or widespread availability and application of vaccines,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our risk in Part I, Item 1A: Risk Factors in our 2020 Annual Report.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The product and operating definitions of the three segments are as follows: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spacing w:after="0" w:line="2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 This segment primarily includes a combination of communicating devices (e.g., smart meters, modules, endpoints, and sensors),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infrastructure, and associated application software designed and sold as a complete solution for acquiring and transporting robust application-specific data. Networked Solutions includes products and software for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implementation, installation, and management of communicating devices and data networks.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of these industry and smart city applications to be run and managed on a single, multi-purpose network.</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Outcomes </w:t>
      </w:r>
      <w:r>
        <w:rPr>
          <w:rFonts w:ascii="Arial" w:cs="Arial" w:eastAsia="Arial" w:hAnsi="Arial"/>
          <w:sz w:val="16"/>
          <w:szCs w:val="16"/>
          <w:color w:val="auto"/>
        </w:rPr>
        <w:t>– This segment primarily includes our value-added, enhanced software and services in which we manage, organize, analyze, and interpret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47-49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 months ended June 30, 2021 compared with the three months ended June 30, 2020</w:t>
      </w:r>
    </w:p>
    <w:p>
      <w:pPr>
        <w:spacing w:after="0" w:line="63" w:lineRule="exact"/>
        <w:rPr>
          <w:sz w:val="20"/>
          <w:szCs w:val="20"/>
          <w:color w:val="auto"/>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Revenues were $489.4 million compared with $509.6 million in 2020, a decrease of $20.2 million, or 4%</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30.6%</w:t>
      </w:r>
      <w:r>
        <w:rPr>
          <w:rFonts w:ascii="Arial" w:cs="Arial" w:eastAsia="Arial" w:hAnsi="Arial"/>
          <w:sz w:val="18"/>
          <w:szCs w:val="18"/>
          <w:color w:val="222222"/>
        </w:rPr>
        <w:t>, compared with 27.2%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Operating expenses decreased $27.1 million, or 15%, compared with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Net loss attributable to Itron, Inc. was $33.1 million compared with net loss of $62.8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GAAP diluted EPS increased by </w:t>
      </w:r>
      <w:r>
        <w:rPr>
          <w:rFonts w:ascii="Arial" w:cs="Arial" w:eastAsia="Arial" w:hAnsi="Arial"/>
          <w:sz w:val="18"/>
          <w:szCs w:val="18"/>
          <w:color w:val="000000"/>
        </w:rPr>
        <w:t>$0.83</w:t>
      </w:r>
      <w:r>
        <w:rPr>
          <w:rFonts w:ascii="Arial" w:cs="Arial" w:eastAsia="Arial" w:hAnsi="Arial"/>
          <w:sz w:val="18"/>
          <w:szCs w:val="18"/>
          <w:color w:val="222222"/>
        </w:rPr>
        <w:t xml:space="preserve"> to a diluted loss per share of $0.73 in 2021</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$12.6 million compared with $1.3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Non-GAAP diluted EPS was $0.28, an increase of $0.25 compared with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Adjusted EBITDA was $36.1 million compared with $31.2 million in 2020</w:t>
      </w:r>
    </w:p>
    <w:p>
      <w:pPr>
        <w:spacing w:after="0" w:line="63" w:lineRule="exact"/>
        <w:rPr>
          <w:rFonts w:ascii="Arial" w:cs="Arial" w:eastAsia="Arial" w:hAnsi="Arial"/>
          <w:sz w:val="18"/>
          <w:szCs w:val="18"/>
          <w:color w:val="222222"/>
        </w:rPr>
      </w:pPr>
    </w:p>
    <w:p>
      <w:pPr>
        <w:ind w:left="260" w:hanging="171"/>
        <w:spacing w:after="0" w:line="277" w:lineRule="auto"/>
        <w:tabs>
          <w:tab w:leader="none" w:pos="255" w:val="left"/>
        </w:tabs>
        <w:numPr>
          <w:ilvl w:val="0"/>
          <w:numId w:val="6"/>
        </w:numPr>
        <w:rPr>
          <w:rFonts w:ascii="Arial" w:cs="Arial" w:eastAsia="Arial" w:hAnsi="Arial"/>
          <w:sz w:val="18"/>
          <w:szCs w:val="18"/>
          <w:i w:val="1"/>
          <w:iCs w:val="1"/>
          <w:color w:val="222222"/>
        </w:rPr>
      </w:pPr>
      <w:r>
        <w:rPr>
          <w:rFonts w:ascii="Arial" w:cs="Arial" w:eastAsia="Arial" w:hAnsi="Arial"/>
          <w:sz w:val="18"/>
          <w:szCs w:val="18"/>
          <w:color w:val="222222"/>
        </w:rPr>
        <w:t xml:space="preserve">Total backlog was $3.5 billion and twelve-month backlog was $1.4 billion at </w:t>
      </w:r>
      <w:r>
        <w:rPr>
          <w:rFonts w:ascii="Arial" w:cs="Arial" w:eastAsia="Arial" w:hAnsi="Arial"/>
          <w:sz w:val="18"/>
          <w:szCs w:val="18"/>
          <w:color w:val="000000"/>
        </w:rPr>
        <w:t>June 30, 2021, compared with</w:t>
      </w:r>
      <w:r>
        <w:rPr>
          <w:rFonts w:ascii="Arial" w:cs="Arial" w:eastAsia="Arial" w:hAnsi="Arial"/>
          <w:sz w:val="18"/>
          <w:szCs w:val="18"/>
          <w:color w:val="222222"/>
        </w:rPr>
        <w:t xml:space="preserve"> $2.9 billion </w:t>
      </w:r>
      <w:r>
        <w:rPr>
          <w:rFonts w:ascii="Arial" w:cs="Arial" w:eastAsia="Arial" w:hAnsi="Arial"/>
          <w:sz w:val="18"/>
          <w:szCs w:val="18"/>
          <w:color w:val="000000"/>
        </w:rPr>
        <w:t>and</w:t>
      </w:r>
      <w:r>
        <w:rPr>
          <w:rFonts w:ascii="Arial" w:cs="Arial" w:eastAsia="Arial" w:hAnsi="Arial"/>
          <w:sz w:val="18"/>
          <w:szCs w:val="18"/>
          <w:color w:val="222222"/>
        </w:rPr>
        <w:t xml:space="preserve"> $1.3 billion </w:t>
      </w:r>
      <w:r>
        <w:rPr>
          <w:rFonts w:ascii="Arial" w:cs="Arial" w:eastAsia="Arial" w:hAnsi="Arial"/>
          <w:sz w:val="18"/>
          <w:szCs w:val="18"/>
          <w:color w:val="000000"/>
        </w:rPr>
        <w:t>at June 30,</w:t>
      </w:r>
      <w:r>
        <w:rPr>
          <w:rFonts w:ascii="Arial" w:cs="Arial" w:eastAsia="Arial" w:hAnsi="Arial"/>
          <w:sz w:val="18"/>
          <w:szCs w:val="18"/>
          <w:color w:val="222222"/>
        </w:rPr>
        <w:t xml:space="preserve"> </w:t>
      </w:r>
      <w:r>
        <w:rPr>
          <w:rFonts w:ascii="Arial" w:cs="Arial" w:eastAsia="Arial" w:hAnsi="Arial"/>
          <w:sz w:val="18"/>
          <w:szCs w:val="18"/>
          <w:color w:val="000000"/>
        </w:rPr>
        <w:t>2020</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six months ended </w:t>
      </w:r>
      <w:r>
        <w:rPr>
          <w:rFonts w:ascii="Arial" w:cs="Arial" w:eastAsia="Arial" w:hAnsi="Arial"/>
          <w:sz w:val="18"/>
          <w:szCs w:val="18"/>
          <w:i w:val="1"/>
          <w:iCs w:val="1"/>
          <w:color w:val="000000"/>
        </w:rPr>
        <w:t>June 30, 2021 compared with the</w:t>
      </w:r>
      <w:r>
        <w:rPr>
          <w:rFonts w:ascii="Arial" w:cs="Arial" w:eastAsia="Arial" w:hAnsi="Arial"/>
          <w:sz w:val="18"/>
          <w:szCs w:val="18"/>
          <w:i w:val="1"/>
          <w:iCs w:val="1"/>
          <w:color w:val="222222"/>
        </w:rPr>
        <w:t xml:space="preserve"> six months ended </w:t>
      </w:r>
      <w:r>
        <w:rPr>
          <w:rFonts w:ascii="Arial" w:cs="Arial" w:eastAsia="Arial" w:hAnsi="Arial"/>
          <w:sz w:val="18"/>
          <w:szCs w:val="18"/>
          <w:i w:val="1"/>
          <w:iCs w:val="1"/>
          <w:color w:val="000000"/>
        </w:rPr>
        <w:t>June 30, 2020</w:t>
      </w:r>
    </w:p>
    <w:p>
      <w:pPr>
        <w:spacing w:after="0" w:line="63" w:lineRule="exact"/>
        <w:rPr>
          <w:sz w:val="20"/>
          <w:szCs w:val="20"/>
          <w:color w:val="auto"/>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Revenues were $1.0 billion compared with $1.1 billion in 2020, a decrease of $99.0 million, or 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Gross margin was 31.4% compared with 28.0%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i w:val="1"/>
          <w:iCs w:val="1"/>
          <w:color w:val="222222"/>
        </w:rPr>
      </w:pPr>
      <w:r>
        <w:rPr>
          <w:rFonts w:ascii="Arial" w:cs="Arial" w:eastAsia="Arial" w:hAnsi="Arial"/>
          <w:sz w:val="18"/>
          <w:szCs w:val="18"/>
          <w:color w:val="222222"/>
        </w:rPr>
        <w:t>Operating expenses decreased $36.2 million, or 11%, compared with 2020</w:t>
      </w:r>
    </w:p>
    <w:p>
      <w:pPr>
        <w:spacing w:after="0" w:line="63" w:lineRule="exact"/>
        <w:rPr>
          <w:rFonts w:ascii="Arial" w:cs="Arial" w:eastAsia="Arial" w:hAnsi="Arial"/>
          <w:sz w:val="18"/>
          <w:szCs w:val="18"/>
          <w:i w:val="1"/>
          <w:iCs w:val="1"/>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Net loss attributable to Itron, Inc. was $20.5 million, compared with net loss of $54.1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GAAP diluted EPS increased by $0.88 to a diluted loss per share of $0.47 in 2021</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$34.6 million compared with $24.3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Non-GAAP diluted EPS was $0.79, an increase of $0.19 compared with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Adjusted EBITDA was $85.9 million compared with $83.2 million in 2020</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 Redemption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9, 2021, we submitted a Notice of Redemption to the trustee to redeem all outstanding Senior Notes at a redemption price of 102.50%, in accordance with the indenture governing the Senior Notes, totaling $410.0 million. As of April 8, 2021 the Senior Notes were fully discharged, and no principal or unpaid interest remains outstanding. The 2.5%, or $10.0 million, early redemption premium and write off of $11.1 million prepaid debt fees were recognized upon redemption in the second quarter of 2021. See Item 1: Financial Statements (Unaudited), Note 6: Debt, included in this Quarterly Report on Form 10-Q, for further details of the redemption.</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Reserve on Receivables from Sale of Business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pays a royalty on certain products manufactured by Accell using licensed Company intellectual property. In addition, Accell serves as the exclusive distributor for our Device Solutions, Networked Solutions, and Outcomes product and service offerings in Latin America. The total sales price of $35.0 million included deferred payments of $21.1 million for working capital, which was to be paid in full by December 31, 2020, as evidenced by a promissory note, and the remainder in cash ($4.5 million) and other deferred consideration.</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2021, we agreed to extend the payment terms on the remaining outstanding working capital balance of $18.4 million. Accell had agreed to make monthly payments, including interest, through September 2022, under which we received full payments for January through March and partial payments in April and May (totaling $3.8 million including $0.7 million in interest). In July 2021, we received a revised payment plan for the remaining working capital note receivable, as well as the other deferred transaction receivables. Based on Accell's failure to make timely payments, continued requests to defer payments significantly beyond the original maturity of the working capital note, and the negative impact of the COVID-19 pandemic on the Latin American markets, we determined to fully reserve the working capital and other deferred receivables, recognizing an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additional loss on sale of business for the three and six months ended June 30, 2021 of $24.7 million and $26.1 million.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Outlook for 2021 due to COVID-19</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portions of the first half of 2020 certain of our European factories were closed due to government actions and local conditions, and any further closures that may be imposed on us could impact our results for 2021.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could appear across a variety of areas including mechanical, electrical and logistics portions of the supply chain, which could impact our ability to ship products in a timely manner. At this time, we have not identified any significant decrease in long-term customer demand for our products and services. Certain of our customers' projects and deployments have continued to shift later into 2021 and beyond. For more information on risks associated with the COVID-19 pandemic, please see our risk in Part I, Item 1A, Risk Factors in our 2020 Annual Report.</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remains a rapidly evolving situation with varying impacts on the locations in which we do business.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or the municipalities in which we operate, including employer payroll tax credits for wages paid to employees who are unable to work during the COVID-19 pandemic. Other benefits, including options to defer payroll tax payments and additional deductions, have resulted in reduced cash costs in 2020, but will increase cash outlays during the fourth quarter of 2021 and into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7"/>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8"/>
                <w:szCs w:val="18"/>
                <w:color w:val="auto"/>
              </w:rPr>
            </w:pPr>
          </w:p>
        </w:tc>
        <w:tc>
          <w:tcPr>
            <w:tcW w:w="3480" w:type="dxa"/>
            <w:vAlign w:val="bottom"/>
            <w:gridSpan w:val="6"/>
          </w:tcPr>
          <w:p>
            <w:pPr>
              <w:ind w:left="680"/>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5"/>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172"/>
        </w:trPr>
        <w:tc>
          <w:tcPr>
            <w:tcW w:w="20" w:type="dxa"/>
            <w:vAlign w:val="bottom"/>
          </w:tcPr>
          <w:p>
            <w:pPr>
              <w:spacing w:after="0"/>
              <w:rPr>
                <w:sz w:val="14"/>
                <w:szCs w:val="14"/>
                <w:color w:val="auto"/>
              </w:rPr>
            </w:pPr>
          </w:p>
        </w:tc>
        <w:tc>
          <w:tcPr>
            <w:tcW w:w="3760" w:type="dxa"/>
            <w:vAlign w:val="bottom"/>
            <w:gridSpan w:val="5"/>
          </w:tcPr>
          <w:p>
            <w:pPr>
              <w:spacing w:after="0" w:line="172" w:lineRule="exact"/>
              <w:rPr>
                <w:sz w:val="20"/>
                <w:szCs w:val="20"/>
                <w:color w:val="auto"/>
              </w:rPr>
            </w:pPr>
            <w:r>
              <w:rPr>
                <w:rFonts w:ascii="Arial" w:cs="Arial" w:eastAsia="Arial" w:hAnsi="Arial"/>
                <w:sz w:val="16"/>
                <w:szCs w:val="16"/>
                <w:b w:val="1"/>
                <w:bCs w:val="1"/>
                <w:color w:val="auto"/>
              </w:rPr>
              <w:t>GAAP</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411,719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438,985</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854,523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967,122</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(12)%</w:t>
            </w:r>
          </w:p>
        </w:tc>
      </w:tr>
      <w:tr>
        <w:trPr>
          <w:trHeight w:val="213"/>
        </w:trPr>
        <w:tc>
          <w:tcPr>
            <w:tcW w:w="2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gridSpan w:val="5"/>
          </w:tcPr>
          <w:p>
            <w:pPr>
              <w:ind w:left="200"/>
              <w:spacing w:after="0"/>
              <w:rPr>
                <w:sz w:val="20"/>
                <w:szCs w:val="20"/>
                <w:color w:val="auto"/>
              </w:rPr>
            </w:pPr>
            <w:r>
              <w:rPr>
                <w:rFonts w:ascii="Arial" w:cs="Arial" w:eastAsia="Arial" w:hAnsi="Arial"/>
                <w:sz w:val="16"/>
                <w:szCs w:val="16"/>
                <w:color w:val="auto"/>
              </w:rPr>
              <w:t>Service revenues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77,693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70,609</w:t>
            </w:r>
          </w:p>
        </w:tc>
        <w:tc>
          <w:tcPr>
            <w:tcW w:w="118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7"/>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154,463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140,887</w:t>
            </w:r>
          </w:p>
        </w:tc>
        <w:tc>
          <w:tcPr>
            <w:tcW w:w="118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7"/>
              </w:rPr>
              <w:t>10%</w:t>
            </w:r>
          </w:p>
        </w:tc>
      </w:tr>
      <w:tr>
        <w:trPr>
          <w:trHeight w:val="213"/>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489,412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509,594</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1,008,986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1,108,009</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(9)%</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149,875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138,517</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6"/>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316,919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310,083</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6"/>
              </w:rPr>
              <w:t>2%</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156,807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183,904</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292,911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329,100</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(11)%</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(45,387)</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24,008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(19,017)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(25,729)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(12,299)</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(38,428)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(21,957)</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75%</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(4,801)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(12,351)</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(64)%</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Arial" w:cs="Arial" w:eastAsia="Arial" w:hAnsi="Arial"/>
                <w:sz w:val="16"/>
                <w:szCs w:val="16"/>
                <w:color w:val="auto"/>
              </w:rPr>
              <w:t>Net loss attributable to Itron, Inc.</w:t>
            </w: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(33,123)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(62,802)</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(20,520)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(54,118)</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(62)%</w:t>
            </w: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76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123,016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118,187</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6"/>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251,112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251,234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26,859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20,330</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65,807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58,849</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12%</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34,591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24,295</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42%</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36,136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31,201</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85,859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83,174</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6"/>
              </w:rPr>
              <w:t>3%</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7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GAAP Margins and Earnings Per Share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6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60" w:type="dxa"/>
            <w:vAlign w:val="bottom"/>
            <w:gridSpan w:val="5"/>
          </w:tcPr>
          <w:p>
            <w:pPr>
              <w:ind w:left="460"/>
              <w:spacing w:after="0"/>
              <w:rPr>
                <w:sz w:val="20"/>
                <w:szCs w:val="20"/>
                <w:color w:val="auto"/>
              </w:rPr>
            </w:pPr>
            <w:r>
              <w:rPr>
                <w:rFonts w:ascii="Arial" w:cs="Arial" w:eastAsia="Arial" w:hAnsi="Arial"/>
                <w:sz w:val="16"/>
                <w:szCs w:val="16"/>
                <w:color w:val="auto"/>
              </w:rPr>
              <w:t>Total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28.0 %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loss per common share - 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Arial" w:cs="Arial" w:eastAsia="Arial" w:hAnsi="Arial"/>
                <w:sz w:val="16"/>
                <w:szCs w:val="16"/>
                <w:color w:val="auto"/>
              </w:rPr>
              <w:t>Net loss per common share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76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 Earnings Per Share</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85" w:lineRule="exact"/>
        <w:rPr>
          <w:sz w:val="20"/>
          <w:szCs w:val="20"/>
          <w:color w:val="auto"/>
        </w:rPr>
      </w:pPr>
    </w:p>
    <w:p>
      <w:pPr>
        <w:ind w:left="340" w:right="20" w:hanging="332"/>
        <w:spacing w:after="0" w:line="223"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47-49 for information about these non-GAAP measures and reconciliations to the most comparable GAAP measures.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an Endpoint Under Management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electric, water, and gas meters; streetlights and other types of IIoT sensors and actuators; sensors and other capabilities that the end customer would like Itron to connect and manage on their behalf.</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would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under management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2200" w:type="dxa"/>
            <w:vAlign w:val="bottom"/>
            <w:tcBorders>
              <w:bottom w:val="single" w:sz="8" w:color="auto"/>
            </w:tcBorders>
            <w:gridSpan w:val="3"/>
          </w:tcPr>
          <w:p>
            <w:pPr>
              <w:ind w:left="1420"/>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18"/>
                <w:szCs w:val="18"/>
                <w:color w:val="auto"/>
              </w:rPr>
            </w:pPr>
          </w:p>
        </w:tc>
      </w:tr>
      <w:tr>
        <w:trPr>
          <w:trHeight w:val="21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Units in thousands</w:t>
            </w: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Endpoints under management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78,208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70,501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4"/>
            <w:vMerge w:val="restart"/>
          </w:tcPr>
          <w:p>
            <w:pPr>
              <w:jc w:val="right"/>
              <w:ind w:right="55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(20,182)</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149,875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11,358</w:t>
            </w:r>
          </w:p>
        </w:tc>
        <w:tc>
          <w:tcPr>
            <w:tcW w:w="0" w:type="dxa"/>
            <w:vAlign w:val="bottom"/>
          </w:tcPr>
          <w:p>
            <w:pPr>
              <w:spacing w:after="0"/>
              <w:rPr>
                <w:sz w:val="1"/>
                <w:szCs w:val="1"/>
                <w:color w:val="auto"/>
              </w:rPr>
            </w:pPr>
          </w:p>
        </w:tc>
      </w:tr>
      <w:tr>
        <w:trPr>
          <w:trHeight w:val="789"/>
        </w:trPr>
        <w:tc>
          <w:tcPr>
            <w:tcW w:w="3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4"/>
            <w:vMerge w:val="restart"/>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1,008,986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(99,023)</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316,919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310,083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6,836</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2021 vs. Three months ended June 30, 2020</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revenues decreased $20.2 million, or 4%, in the current 2021 quarter, compared with the same period in 2020. We have been unfavorably impacted by global component constraints, which limited our ability to fulfill customer demand. Component constraints and COVID-19 driven customer project timing played significant roles in the lower year-over-year results. Product revenues decreased by $27.3 million, while service revenues increased $7.1 million. Device Solutions increased by $33.8 million; Networked Solution decreased by $59.4 million; and Outcomes increased by $5.4 million when compared with the same period last year. Changes in exchange rates favorably impacted total revenues in the 2020 period by $15.6 million, of which $9.8 million favorably impacted Device Solutions.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2021 vs. Six Months Ended June 30,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Total revenues decreased $99.0 million, or 9%, for the first </w:t>
      </w:r>
      <w:r>
        <w:rPr>
          <w:rFonts w:ascii="Arial" w:cs="Arial" w:eastAsia="Arial" w:hAnsi="Arial"/>
          <w:sz w:val="18"/>
          <w:szCs w:val="18"/>
          <w:color w:val="000000"/>
        </w:rPr>
        <w:t>six months</w:t>
      </w:r>
      <w:r>
        <w:rPr>
          <w:rFonts w:ascii="Arial" w:cs="Arial" w:eastAsia="Arial" w:hAnsi="Arial"/>
          <w:sz w:val="18"/>
          <w:szCs w:val="18"/>
          <w:color w:val="222222"/>
        </w:rPr>
        <w:t xml:space="preserve"> of </w:t>
      </w:r>
      <w:r>
        <w:rPr>
          <w:rFonts w:ascii="Arial" w:cs="Arial" w:eastAsia="Arial" w:hAnsi="Arial"/>
          <w:sz w:val="18"/>
          <w:szCs w:val="18"/>
          <w:color w:val="000000"/>
        </w:rPr>
        <w:t>2021</w:t>
      </w:r>
      <w:r>
        <w:rPr>
          <w:rFonts w:ascii="Arial" w:cs="Arial" w:eastAsia="Arial" w:hAnsi="Arial"/>
          <w:sz w:val="18"/>
          <w:szCs w:val="18"/>
          <w:color w:val="222222"/>
        </w:rPr>
        <w:t xml:space="preserve">, compared with the same period in </w:t>
      </w:r>
      <w:r>
        <w:rPr>
          <w:rFonts w:ascii="Arial" w:cs="Arial" w:eastAsia="Arial" w:hAnsi="Arial"/>
          <w:sz w:val="18"/>
          <w:szCs w:val="18"/>
          <w:color w:val="000000"/>
        </w:rPr>
        <w:t>2020. We have been unfavorably</w:t>
      </w:r>
      <w:r>
        <w:rPr>
          <w:rFonts w:ascii="Arial" w:cs="Arial" w:eastAsia="Arial" w:hAnsi="Arial"/>
          <w:sz w:val="18"/>
          <w:szCs w:val="18"/>
          <w:color w:val="222222"/>
        </w:rPr>
        <w:t xml:space="preserve"> </w:t>
      </w:r>
      <w:r>
        <w:rPr>
          <w:rFonts w:ascii="Arial" w:cs="Arial" w:eastAsia="Arial" w:hAnsi="Arial"/>
          <w:sz w:val="18"/>
          <w:szCs w:val="18"/>
          <w:color w:val="000000"/>
        </w:rPr>
        <w:t>impacted by timing of customer projects and shipments that continue to be impacted by COVD-19. Lower year-over-year results reflected continued COVID-19 impacts in addition to global component constraints, which limited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ability to fulfill customer demand. Product revenues decreased by $112.6 million, while service revenues increased by $13.6 million. </w:t>
      </w:r>
      <w:r>
        <w:rPr>
          <w:rFonts w:ascii="Arial" w:cs="Arial" w:eastAsia="Arial" w:hAnsi="Arial"/>
          <w:sz w:val="18"/>
          <w:szCs w:val="18"/>
          <w:color w:val="222222"/>
        </w:rPr>
        <w:t>Device Solutions</w:t>
      </w:r>
      <w:r>
        <w:rPr>
          <w:rFonts w:ascii="Arial" w:cs="Arial" w:eastAsia="Arial" w:hAnsi="Arial"/>
          <w:sz w:val="18"/>
          <w:szCs w:val="18"/>
          <w:color w:val="auto"/>
        </w:rPr>
        <w:t xml:space="preserve"> </w:t>
      </w:r>
      <w:r>
        <w:rPr>
          <w:rFonts w:ascii="Arial" w:cs="Arial" w:eastAsia="Arial" w:hAnsi="Arial"/>
          <w:sz w:val="18"/>
          <w:szCs w:val="18"/>
          <w:color w:val="222222"/>
        </w:rPr>
        <w:t xml:space="preserve">increased by $4.3 million; Networked Solutions decreased by </w:t>
      </w:r>
      <w:r>
        <w:rPr>
          <w:rFonts w:ascii="Arial" w:cs="Arial" w:eastAsia="Arial" w:hAnsi="Arial"/>
          <w:sz w:val="18"/>
          <w:szCs w:val="18"/>
          <w:color w:val="000000"/>
        </w:rPr>
        <w:t>$112.0 million</w:t>
      </w:r>
      <w:r>
        <w:rPr>
          <w:rFonts w:ascii="Arial" w:cs="Arial" w:eastAsia="Arial" w:hAnsi="Arial"/>
          <w:sz w:val="18"/>
          <w:szCs w:val="18"/>
          <w:color w:val="222222"/>
        </w:rPr>
        <w:t>; and Outcomes increased by $8.6 million when compared with the same period last year. C</w:t>
      </w:r>
      <w:r>
        <w:rPr>
          <w:rFonts w:ascii="Arial" w:cs="Arial" w:eastAsia="Arial" w:hAnsi="Arial"/>
          <w:sz w:val="18"/>
          <w:szCs w:val="18"/>
          <w:color w:val="000000"/>
        </w:rPr>
        <w:t>hanges in exchange rates favorably impacted total revenues by</w:t>
      </w:r>
      <w:r>
        <w:rPr>
          <w:rFonts w:ascii="Arial" w:cs="Arial" w:eastAsia="Arial" w:hAnsi="Arial"/>
          <w:sz w:val="18"/>
          <w:szCs w:val="18"/>
          <w:color w:val="222222"/>
        </w:rPr>
        <w:t xml:space="preserve"> $33.3 million</w:t>
      </w:r>
      <w:r>
        <w:rPr>
          <w:rFonts w:ascii="Arial" w:cs="Arial" w:eastAsia="Arial" w:hAnsi="Arial"/>
          <w:sz w:val="18"/>
          <w:szCs w:val="18"/>
          <w:color w:val="000000"/>
        </w:rPr>
        <w:t>, of which</w:t>
      </w:r>
      <w:r>
        <w:rPr>
          <w:rFonts w:ascii="Arial" w:cs="Arial" w:eastAsia="Arial" w:hAnsi="Arial"/>
          <w:sz w:val="18"/>
          <w:szCs w:val="18"/>
          <w:color w:val="222222"/>
        </w:rPr>
        <w:t xml:space="preserve"> $23.2 million </w:t>
      </w:r>
      <w:r>
        <w:rPr>
          <w:rFonts w:ascii="Arial" w:cs="Arial" w:eastAsia="Arial" w:hAnsi="Arial"/>
          <w:sz w:val="18"/>
          <w:szCs w:val="18"/>
          <w:color w:val="000000"/>
        </w:rPr>
        <w:t>favorably impacted Device</w:t>
      </w:r>
      <w:r>
        <w:rPr>
          <w:rFonts w:ascii="Arial" w:cs="Arial" w:eastAsia="Arial" w:hAnsi="Arial"/>
          <w:sz w:val="18"/>
          <w:szCs w:val="18"/>
          <w:color w:val="222222"/>
        </w:rPr>
        <w:t xml:space="preserve"> </w:t>
      </w:r>
      <w:r>
        <w:rPr>
          <w:rFonts w:ascii="Arial" w:cs="Arial" w:eastAsia="Arial" w:hAnsi="Arial"/>
          <w:sz w:val="18"/>
          <w:szCs w:val="18"/>
          <w:color w:val="000000"/>
        </w:rPr>
        <w:t>Solutions.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Three months ended June 30, 2021 vs. Three months ended June 30, 2020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Gross margin in the </w:t>
      </w:r>
      <w:r>
        <w:rPr>
          <w:rFonts w:ascii="Arial" w:cs="Arial" w:eastAsia="Arial" w:hAnsi="Arial"/>
          <w:sz w:val="18"/>
          <w:szCs w:val="18"/>
          <w:color w:val="000000"/>
        </w:rPr>
        <w:t>current 2021 quarter</w:t>
      </w:r>
      <w:r>
        <w:rPr>
          <w:rFonts w:ascii="Arial" w:cs="Arial" w:eastAsia="Arial" w:hAnsi="Arial"/>
          <w:sz w:val="18"/>
          <w:szCs w:val="18"/>
          <w:color w:val="222222"/>
        </w:rPr>
        <w:t xml:space="preserve"> was 30.6%, compared with 27.2% in </w:t>
      </w:r>
      <w:r>
        <w:rPr>
          <w:rFonts w:ascii="Arial" w:cs="Arial" w:eastAsia="Arial" w:hAnsi="Arial"/>
          <w:sz w:val="18"/>
          <w:szCs w:val="18"/>
          <w:color w:val="000000"/>
        </w:rPr>
        <w:t>2020</w:t>
      </w:r>
      <w:r>
        <w:rPr>
          <w:rFonts w:ascii="Arial" w:cs="Arial" w:eastAsia="Arial" w:hAnsi="Arial"/>
          <w:sz w:val="18"/>
          <w:szCs w:val="18"/>
          <w:color w:val="222222"/>
        </w:rPr>
        <w:t xml:space="preserve">. </w:t>
      </w:r>
      <w:r>
        <w:rPr>
          <w:rFonts w:ascii="Arial" w:cs="Arial" w:eastAsia="Arial" w:hAnsi="Arial"/>
          <w:sz w:val="18"/>
          <w:szCs w:val="18"/>
          <w:color w:val="000000"/>
        </w:rPr>
        <w:t>We were favorably impacted by product and solution mix and</w:t>
      </w:r>
      <w:r>
        <w:rPr>
          <w:rFonts w:ascii="Arial" w:cs="Arial" w:eastAsia="Arial" w:hAnsi="Arial"/>
          <w:sz w:val="18"/>
          <w:szCs w:val="18"/>
          <w:color w:val="222222"/>
        </w:rPr>
        <w:t xml:space="preserve"> </w:t>
      </w:r>
      <w:r>
        <w:rPr>
          <w:rFonts w:ascii="Arial" w:cs="Arial" w:eastAsia="Arial" w:hAnsi="Arial"/>
          <w:sz w:val="18"/>
          <w:szCs w:val="18"/>
          <w:color w:val="000000"/>
        </w:rPr>
        <w:t xml:space="preserve">manufacturing efficiencies in 2021 compared with 2020, which was more unfavorably impacted by COVID-19. </w:t>
      </w:r>
      <w:r>
        <w:rPr>
          <w:rFonts w:ascii="Arial" w:cs="Arial" w:eastAsia="Arial" w:hAnsi="Arial"/>
          <w:sz w:val="18"/>
          <w:szCs w:val="18"/>
          <w:color w:val="222222"/>
        </w:rPr>
        <w:t>Product sales gross margin increased to</w:t>
      </w:r>
      <w:r>
        <w:rPr>
          <w:rFonts w:ascii="Arial" w:cs="Arial" w:eastAsia="Arial" w:hAnsi="Arial"/>
          <w:sz w:val="18"/>
          <w:szCs w:val="18"/>
          <w:color w:val="000000"/>
        </w:rPr>
        <w:t xml:space="preserve"> </w:t>
      </w:r>
      <w:r>
        <w:rPr>
          <w:rFonts w:ascii="Arial" w:cs="Arial" w:eastAsia="Arial" w:hAnsi="Arial"/>
          <w:sz w:val="18"/>
          <w:szCs w:val="18"/>
          <w:color w:val="222222"/>
        </w:rPr>
        <w:t xml:space="preserve">28.3% for the quarter in </w:t>
      </w:r>
      <w:r>
        <w:rPr>
          <w:rFonts w:ascii="Arial" w:cs="Arial" w:eastAsia="Arial" w:hAnsi="Arial"/>
          <w:sz w:val="18"/>
          <w:szCs w:val="18"/>
          <w:color w:val="000000"/>
        </w:rPr>
        <w:t>2021</w:t>
      </w:r>
      <w:r>
        <w:rPr>
          <w:rFonts w:ascii="Arial" w:cs="Arial" w:eastAsia="Arial" w:hAnsi="Arial"/>
          <w:sz w:val="18"/>
          <w:szCs w:val="18"/>
          <w:color w:val="222222"/>
        </w:rPr>
        <w:t xml:space="preserve">, compared with 25.0% in </w:t>
      </w:r>
      <w:r>
        <w:rPr>
          <w:rFonts w:ascii="Arial" w:cs="Arial" w:eastAsia="Arial" w:hAnsi="Arial"/>
          <w:sz w:val="18"/>
          <w:szCs w:val="18"/>
          <w:color w:val="000000"/>
        </w:rPr>
        <w:t>2020</w:t>
      </w:r>
      <w:r>
        <w:rPr>
          <w:rFonts w:ascii="Arial" w:cs="Arial" w:eastAsia="Arial" w:hAnsi="Arial"/>
          <w:sz w:val="18"/>
          <w:szCs w:val="18"/>
          <w:color w:val="222222"/>
        </w:rPr>
        <w:t xml:space="preserve">. Gross margin on service revenues increased to 42.8% in </w:t>
      </w:r>
      <w:r>
        <w:rPr>
          <w:rFonts w:ascii="Arial" w:cs="Arial" w:eastAsia="Arial" w:hAnsi="Arial"/>
          <w:sz w:val="18"/>
          <w:szCs w:val="18"/>
          <w:color w:val="000000"/>
        </w:rPr>
        <w:t>2021</w:t>
      </w:r>
      <w:r>
        <w:rPr>
          <w:rFonts w:ascii="Arial" w:cs="Arial" w:eastAsia="Arial" w:hAnsi="Arial"/>
          <w:sz w:val="18"/>
          <w:szCs w:val="18"/>
          <w:color w:val="222222"/>
        </w:rPr>
        <w:t xml:space="preserve">, compared with 40.8% in </w:t>
      </w:r>
      <w:r>
        <w:rPr>
          <w:rFonts w:ascii="Arial" w:cs="Arial" w:eastAsia="Arial" w:hAnsi="Arial"/>
          <w:sz w:val="18"/>
          <w:szCs w:val="18"/>
          <w:color w:val="000000"/>
        </w:rPr>
        <w:t>2020</w:t>
      </w:r>
      <w:r>
        <w:rPr>
          <w:rFonts w:ascii="Arial" w:cs="Arial" w:eastAsia="Arial" w:hAnsi="Arial"/>
          <w:sz w:val="18"/>
          <w:szCs w:val="18"/>
          <w:color w:val="222222"/>
        </w:rPr>
        <w:t>.</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Six months ended June 30, 2021 vs. Six Months Ended June 30, 2020</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222222"/>
        </w:rPr>
        <w:t xml:space="preserve">Gross margin for the current year was 31.4%, compared with 28.0% in </w:t>
      </w:r>
      <w:r>
        <w:rPr>
          <w:rFonts w:ascii="Arial" w:cs="Arial" w:eastAsia="Arial" w:hAnsi="Arial"/>
          <w:sz w:val="17"/>
          <w:szCs w:val="17"/>
          <w:color w:val="000000"/>
        </w:rPr>
        <w:t>2020</w:t>
      </w:r>
      <w:r>
        <w:rPr>
          <w:rFonts w:ascii="Arial" w:cs="Arial" w:eastAsia="Arial" w:hAnsi="Arial"/>
          <w:sz w:val="17"/>
          <w:szCs w:val="17"/>
          <w:color w:val="222222"/>
        </w:rPr>
        <w:t xml:space="preserve">. We were favorably impacted by product and solution mix and operating efficiencies in 2021 compared with 2020, which was more </w:t>
      </w:r>
      <w:r>
        <w:rPr>
          <w:rFonts w:ascii="Arial" w:cs="Arial" w:eastAsia="Arial" w:hAnsi="Arial"/>
          <w:sz w:val="17"/>
          <w:szCs w:val="17"/>
          <w:color w:val="000000"/>
        </w:rPr>
        <w:t>unfavorably</w:t>
      </w:r>
      <w:r>
        <w:rPr>
          <w:rFonts w:ascii="Arial" w:cs="Arial" w:eastAsia="Arial" w:hAnsi="Arial"/>
          <w:sz w:val="17"/>
          <w:szCs w:val="17"/>
          <w:color w:val="222222"/>
        </w:rPr>
        <w:t xml:space="preserve"> impacted by COVID-19</w:t>
      </w:r>
      <w:r>
        <w:rPr>
          <w:rFonts w:ascii="Arial" w:cs="Arial" w:eastAsia="Arial" w:hAnsi="Arial"/>
          <w:sz w:val="17"/>
          <w:szCs w:val="17"/>
          <w:color w:val="000000"/>
        </w:rPr>
        <w:t>.</w:t>
      </w:r>
      <w:r>
        <w:rPr>
          <w:rFonts w:ascii="Arial" w:cs="Arial" w:eastAsia="Arial" w:hAnsi="Arial"/>
          <w:sz w:val="17"/>
          <w:szCs w:val="17"/>
          <w:color w:val="222222"/>
        </w:rPr>
        <w:t xml:space="preserve"> Product sales gross margin increased to 29.5% in the </w:t>
      </w:r>
      <w:r>
        <w:rPr>
          <w:rFonts w:ascii="Arial" w:cs="Arial" w:eastAsia="Arial" w:hAnsi="Arial"/>
          <w:sz w:val="17"/>
          <w:szCs w:val="17"/>
          <w:color w:val="000000"/>
        </w:rPr>
        <w:t>2021</w:t>
      </w:r>
      <w:r>
        <w:rPr>
          <w:rFonts w:ascii="Arial" w:cs="Arial" w:eastAsia="Arial" w:hAnsi="Arial"/>
          <w:sz w:val="17"/>
          <w:szCs w:val="17"/>
          <w:color w:val="222222"/>
        </w:rPr>
        <w:t xml:space="preserve"> </w:t>
      </w:r>
      <w:r>
        <w:rPr>
          <w:rFonts w:ascii="Arial" w:cs="Arial" w:eastAsia="Arial" w:hAnsi="Arial"/>
          <w:sz w:val="17"/>
          <w:szCs w:val="17"/>
          <w:color w:val="000000"/>
        </w:rPr>
        <w:t>period</w:t>
      </w:r>
      <w:r>
        <w:rPr>
          <w:rFonts w:ascii="Arial" w:cs="Arial" w:eastAsia="Arial" w:hAnsi="Arial"/>
          <w:sz w:val="17"/>
          <w:szCs w:val="17"/>
          <w:color w:val="222222"/>
        </w:rPr>
        <w:t>, compared with 26.2% in</w:t>
      </w:r>
      <w:r>
        <w:rPr>
          <w:rFonts w:ascii="Arial" w:cs="Arial" w:eastAsia="Arial" w:hAnsi="Arial"/>
          <w:sz w:val="17"/>
          <w:szCs w:val="17"/>
          <w:color w:val="000000"/>
        </w:rPr>
        <w:t xml:space="preserve"> 2020, </w:t>
      </w:r>
      <w:r>
        <w:rPr>
          <w:rFonts w:ascii="Arial" w:cs="Arial" w:eastAsia="Arial" w:hAnsi="Arial"/>
          <w:sz w:val="17"/>
          <w:szCs w:val="17"/>
          <w:color w:val="222222"/>
        </w:rPr>
        <w:t>and gross margin on service revenues increased to 42.2%, compared with 40.4% in</w:t>
      </w:r>
      <w:r>
        <w:rPr>
          <w:rFonts w:ascii="Arial" w:cs="Arial" w:eastAsia="Arial" w:hAnsi="Arial"/>
          <w:sz w:val="17"/>
          <w:szCs w:val="17"/>
          <w:color w:val="000000"/>
        </w:rPr>
        <w:t xml:space="preserve"> 2020</w:t>
      </w:r>
      <w:r>
        <w:rPr>
          <w:rFonts w:ascii="Arial" w:cs="Arial" w:eastAsia="Arial" w:hAnsi="Arial"/>
          <w:sz w:val="17"/>
          <w:szCs w:val="17"/>
          <w:color w:val="222222"/>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7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2740" w:type="dxa"/>
            <w:vAlign w:val="bottom"/>
            <w:tcBorders>
              <w:bottom w:val="single" w:sz="8" w:color="auto"/>
            </w:tcBorders>
            <w:gridSpan w:val="4"/>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general and administrative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74,144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4,606</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48,763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2,875</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sale of business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(32,204)</w:t>
            </w:r>
          </w:p>
        </w:tc>
        <w:tc>
          <w:tcPr>
            <w:tcW w:w="0" w:type="dxa"/>
            <w:vAlign w:val="bottom"/>
          </w:tcPr>
          <w:p>
            <w:pPr>
              <w:spacing w:after="0"/>
              <w:rPr>
                <w:sz w:val="1"/>
                <w:szCs w:val="1"/>
                <w:color w:val="auto"/>
              </w:rPr>
            </w:pPr>
          </w:p>
        </w:tc>
      </w:tr>
      <w:tr>
        <w:trPr>
          <w:trHeight w:val="207"/>
        </w:trPr>
        <w:tc>
          <w:tcPr>
            <w:tcW w:w="306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156,807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183,904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(34,422)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(27,097)</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3060" w:type="dxa"/>
            <w:vAlign w:val="bottom"/>
          </w:tcPr>
          <w:p>
            <w:pPr>
              <w:spacing w:after="0"/>
              <w:rPr>
                <w:sz w:val="24"/>
                <w:szCs w:val="24"/>
                <w:color w:val="auto"/>
              </w:rPr>
            </w:pPr>
          </w:p>
        </w:tc>
        <w:tc>
          <w:tcPr>
            <w:tcW w:w="2740" w:type="dxa"/>
            <w:vAlign w:val="bottom"/>
            <w:gridSpan w:val="4"/>
            <w:vMerge w:val="restart"/>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2740" w:type="dxa"/>
            <w:vAlign w:val="bottom"/>
            <w:tcBorders>
              <w:bottom w:val="single" w:sz="8" w:color="auto"/>
            </w:tcBorders>
            <w:gridSpan w:val="4"/>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general and administrative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150,136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150,036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100,490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102,775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(2,285)</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(4,335)</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sale of business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26,103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(30,812)</w:t>
            </w:r>
          </w:p>
        </w:tc>
        <w:tc>
          <w:tcPr>
            <w:tcW w:w="0" w:type="dxa"/>
            <w:vAlign w:val="bottom"/>
          </w:tcPr>
          <w:p>
            <w:pPr>
              <w:spacing w:after="0"/>
              <w:rPr>
                <w:sz w:val="1"/>
                <w:szCs w:val="1"/>
                <w:color w:val="auto"/>
              </w:rPr>
            </w:pPr>
          </w:p>
        </w:tc>
      </w:tr>
      <w:tr>
        <w:trPr>
          <w:trHeight w:val="207"/>
        </w:trPr>
        <w:tc>
          <w:tcPr>
            <w:tcW w:w="306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292,911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329,100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(47,413)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(36,189)</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expenses decreased $27.1 million for the second quarter of 2021 as compared with the same period in 2020. This was primarily the result of a reduction of $32.2 million in the charges related to the loss on sale of business and a decrease of $2.1 million in amortization of intangible assets. The overall decrease was partially offset by a $4.4 million increase in labor costs and $2.9 million increase in restructuring.</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decreased $36.2 million for the six months ended June 30, 2021 as compared with the same period in 2020. This was primarily the result of decreases of $30.8 million related to the sale of business, $3.9 million in travel expense, $1.8 million in facility costs, $4.3 million in amortization of intangible assets, and $2.1 million in acquisition and integration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classified within sales, general and administrative. The overall decrease was partially offset by increases of $1.1 million in restructuring, $5.0 million in labor costs, and $3.3 million in information technology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213"/>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9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(46)%</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(10,678)</w:t>
            </w:r>
          </w:p>
        </w:tc>
        <w:tc>
          <w:tcPr>
            <w:tcW w:w="9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(9,045)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(20,948)</w:t>
            </w:r>
          </w:p>
        </w:tc>
        <w:tc>
          <w:tcPr>
            <w:tcW w:w="10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(57)%</w:t>
            </w:r>
          </w:p>
        </w:tc>
      </w:tr>
      <w:tr>
        <w:trPr>
          <w:trHeight w:val="219"/>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prepaid debt fees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NM</w:t>
            </w: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NM</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(14,923)</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NM</w:t>
            </w:r>
          </w:p>
        </w:tc>
      </w:tr>
      <w:tr>
        <w:trPr>
          <w:trHeight w:val="238"/>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other income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(12,299)</w:t>
            </w:r>
          </w:p>
        </w:tc>
        <w:tc>
          <w:tcPr>
            <w:tcW w:w="9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(21,957)</w:t>
            </w: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75%</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other income (expense) for the three and six months ended June 30, 2021 was a net expense of $25.7 million and $38.4 million, compared with net expense of $12.3 million and $22.0 million in the same period in 2020.</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higher total expense for the three months ended June 30, 2021, as compared with the same period in 2020, was primarily driven by $11.1 million write-off of prepaid debt fees associated with the repayment of senior subordinated notes during the second quarter of 2021 and $10.0 million related to the extinguishment of debt in other income (expense), net. The increase was partially offset by a decrease of $4.6 million in interest expense for the senior subordinated notes, $2.6 million in interest expense for the term loan, and $1.9 million in interest expense for the revolving credit.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higher total expense for the six months ended June 30, 2021, as compared with the same period in 2020, was primarily driven by $11.1 million write-off of prepaid debt fees associated with the repayment of senior subordinated notes during the second quarter of 2021, $2.3 million in higher debt fee amortization, and $11.7 million related to the extinguishment of debt in other income (expense), net. The increase was partially offset by a decrease of $5.1 million in interest expense for the term loan, $4.6 million in interest expense for the senior subordinated notes, and $2.1 million in interest expense for the revolving credit.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three and six months ended June 30, 2021, our income tax expense (benefit) was $(0.2) million and $4.4 million, respectively, compared with income tax expense of $4.8 million and $12.4 million for the same period in 2020. Our tax rate for the three and six months ended June 30, 2021 of 1% and (31)%, differed from the federal statutory rate of 21% primarily due to reserves on deferred sales price receivables recognized in the second quarter related to the 2020 divestiture of the majority of our Latin American business activities. This item was recognized for tax as a discrete and resulted in no tax benefit. Other rate drivers include losses in jurisdictions for which no benefit is recognized because of valuation allowances on deferred tax assets, the forecasted mix of earnings in domestic and international jurisdictions, a benefit related to stock-based compensation, and uncertain tax positions. Our tax rate for the three and six months ended June 30, 2020 of (8)% and (30)% differed from the federal statutory rate of 21% primarily due to a significant loss recognized in the second quarter for the divestiture of the majority of our Latin American business activities. This loss was recognized for tax as a discrete item and resulted in no tax benefit. Other rate drivers include losses in jurisdictions for which no benefit is recognized because of valuation allowances on deferred tax assets as well as the forecasted mix of earnings in domestic and international jurisdictions, a benefit related to stock-based compensation, and uncertain tax positions.</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3"/>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spacing w:after="0" w:line="163" w:lineRule="exact"/>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center"/>
              <w:ind w:right="300"/>
              <w:spacing w:after="0" w:line="163" w:lineRule="exact"/>
              <w:rPr>
                <w:sz w:val="20"/>
                <w:szCs w:val="20"/>
                <w:color w:val="auto"/>
              </w:rPr>
            </w:pPr>
            <w:r>
              <w:rPr>
                <w:rFonts w:ascii="Arial" w:cs="Arial" w:eastAsia="Arial" w:hAnsi="Arial"/>
                <w:sz w:val="16"/>
                <w:szCs w:val="16"/>
                <w:b w:val="1"/>
                <w:bCs w:val="1"/>
                <w:color w:val="auto"/>
                <w:w w:val="92"/>
              </w:rPr>
              <w:t>Six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162,967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265,058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324,480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3"/>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553,372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665,325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3"/>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61,387</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300"/>
              <w:spacing w:after="0"/>
              <w:rPr>
                <w:sz w:val="20"/>
                <w:szCs w:val="20"/>
                <w:color w:val="auto"/>
              </w:rPr>
            </w:pPr>
            <w:r>
              <w:rPr>
                <w:rFonts w:ascii="Arial" w:cs="Arial" w:eastAsia="Arial" w:hAnsi="Arial"/>
                <w:sz w:val="16"/>
                <w:szCs w:val="16"/>
                <w:color w:val="auto"/>
              </w:rPr>
              <w:t>Total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489,412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509,594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1,008,986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1,108,009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2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w w:val="96"/>
              </w:rPr>
              <w:t>Three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6"/>
                <w:szCs w:val="16"/>
                <w:b w:val="1"/>
                <w:bCs w:val="1"/>
                <w:color w:val="auto"/>
                <w:w w:val="94"/>
              </w:rPr>
              <w:t>Six Months Ended 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Arial" w:cs="Arial" w:eastAsia="Arial" w:hAnsi="Arial"/>
                <w:sz w:val="16"/>
                <w:szCs w:val="16"/>
                <w:b w:val="1"/>
                <w:bCs w:val="1"/>
                <w:color w:val="auto"/>
                <w:w w:val="89"/>
              </w:rPr>
              <w:t>2021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20" w:type="dxa"/>
            <w:vAlign w:val="bottom"/>
          </w:tcPr>
          <w:p>
            <w:pPr>
              <w:spacing w:after="0"/>
              <w:rPr>
                <w:sz w:val="14"/>
                <w:szCs w:val="14"/>
                <w:color w:val="auto"/>
              </w:rPr>
            </w:pPr>
          </w:p>
        </w:tc>
        <w:tc>
          <w:tcPr>
            <w:tcW w:w="110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9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40" w:type="dxa"/>
            <w:vAlign w:val="bottom"/>
          </w:tcPr>
          <w:p>
            <w:pPr>
              <w:spacing w:after="0"/>
              <w:rPr>
                <w:sz w:val="14"/>
                <w:szCs w:val="14"/>
                <w:color w:val="auto"/>
              </w:rPr>
            </w:pPr>
          </w:p>
        </w:tc>
        <w:tc>
          <w:tcPr>
            <w:tcW w:w="900" w:type="dxa"/>
            <w:vAlign w:val="bottom"/>
          </w:tcPr>
          <w:p>
            <w:pPr>
              <w:jc w:val="center"/>
              <w:ind w:right="59"/>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20" w:type="dxa"/>
            <w:vAlign w:val="bottom"/>
          </w:tcPr>
          <w:p>
            <w:pPr>
              <w:spacing w:after="0"/>
              <w:rPr>
                <w:sz w:val="14"/>
                <w:szCs w:val="14"/>
                <w:color w:val="auto"/>
              </w:rPr>
            </w:pPr>
          </w:p>
        </w:tc>
        <w:tc>
          <w:tcPr>
            <w:tcW w:w="110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860" w:type="dxa"/>
            <w:vAlign w:val="bottom"/>
          </w:tcPr>
          <w:p>
            <w:pPr>
              <w:jc w:val="center"/>
              <w:ind w:right="19"/>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0" w:type="dxa"/>
            <w:vAlign w:val="bottom"/>
          </w:tcPr>
          <w:p>
            <w:pPr>
              <w:spacing w:after="0"/>
              <w:rPr>
                <w:sz w:val="1"/>
                <w:szCs w:val="1"/>
                <w:color w:val="auto"/>
              </w:rPr>
            </w:pPr>
          </w:p>
        </w:tc>
      </w:tr>
      <w:tr>
        <w:trPr>
          <w:trHeight w:val="209"/>
        </w:trPr>
        <w:tc>
          <w:tcPr>
            <w:tcW w:w="2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Profit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99"/>
              </w:rPr>
              <w:t>Margin</w:t>
            </w: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i w:val="1"/>
                <w:iCs w:val="1"/>
                <w:color w:val="auto"/>
                <w:w w:val="90"/>
              </w:rPr>
              <w:t>Profit</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5"/>
              </w:rPr>
              <w:t>Margin</w:t>
            </w: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i w:val="1"/>
                <w:iCs w:val="1"/>
                <w:color w:val="auto"/>
                <w:w w:val="95"/>
              </w:rPr>
              <w:t>Profit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i w:val="1"/>
                <w:iCs w:val="1"/>
                <w:color w:val="auto"/>
                <w:w w:val="95"/>
              </w:rPr>
              <w:t>Margin</w:t>
            </w: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i w:val="1"/>
                <w:iCs w:val="1"/>
                <w:color w:val="auto"/>
                <w:w w:val="90"/>
              </w:rPr>
              <w:t>Profit</w:t>
            </w: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w w:val="99"/>
              </w:rPr>
              <w:t>Segment gross profit and margin</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3"/>
              </w:rPr>
              <w:t>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8"/>
              </w:rPr>
              <w:t>13.4%</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95,953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108,323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208,712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color w:val="auto"/>
                <w:w w:val="92"/>
              </w:rPr>
              <w:t>37.7%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color w:val="auto"/>
                <w:w w:val="88"/>
              </w:rPr>
              <w:t>34.6%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23,470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38.2%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32.6%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37.9%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8"/>
              </w:rPr>
              <w:t>32.1%</w:t>
            </w:r>
          </w:p>
        </w:tc>
        <w:tc>
          <w:tcPr>
            <w:tcW w:w="0" w:type="dxa"/>
            <w:vAlign w:val="bottom"/>
          </w:tcPr>
          <w:p>
            <w:pPr>
              <w:spacing w:after="0"/>
              <w:rPr>
                <w:sz w:val="1"/>
                <w:szCs w:val="1"/>
                <w:color w:val="auto"/>
              </w:rPr>
            </w:pPr>
          </w:p>
        </w:tc>
      </w:tr>
      <w:tr>
        <w:trPr>
          <w:trHeight w:val="213"/>
        </w:trPr>
        <w:tc>
          <w:tcPr>
            <w:tcW w:w="2540" w:type="dxa"/>
            <w:vAlign w:val="bottom"/>
          </w:tcPr>
          <w:p>
            <w:pPr>
              <w:ind w:left="300"/>
              <w:spacing w:after="0"/>
              <w:rPr>
                <w:sz w:val="20"/>
                <w:szCs w:val="20"/>
                <w:color w:val="auto"/>
              </w:rPr>
            </w:pPr>
            <w:r>
              <w:rPr>
                <w:rFonts w:ascii="Arial" w:cs="Arial" w:eastAsia="Arial" w:hAnsi="Arial"/>
                <w:sz w:val="16"/>
                <w:szCs w:val="16"/>
                <w:color w:val="auto"/>
              </w:rPr>
              <w:t>Total gross profit and margin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149,875</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30.6%</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27.2%</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316,919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color w:val="auto"/>
                <w:w w:val="92"/>
              </w:rPr>
              <w:t>31.4%</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color w:val="auto"/>
                <w:w w:val="88"/>
              </w:rPr>
              <w:t>28.0%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Six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30,941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104,087</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w w:val="93"/>
              </w:rPr>
              <w:t>(20)%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219,581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156,807</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w w:val="96"/>
              </w:rPr>
              <w:t>Three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6"/>
                <w:szCs w:val="16"/>
                <w:b w:val="1"/>
                <w:bCs w:val="1"/>
                <w:color w:val="auto"/>
                <w:w w:val="94"/>
              </w:rPr>
              <w:t>Six Months Ended 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Arial" w:cs="Arial" w:eastAsia="Arial" w:hAnsi="Arial"/>
                <w:sz w:val="16"/>
                <w:szCs w:val="16"/>
                <w:b w:val="1"/>
                <w:bCs w:val="1"/>
                <w:color w:val="auto"/>
                <w:w w:val="89"/>
              </w:rPr>
              <w:t>2021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i w:val="1"/>
                <w:iCs w:val="1"/>
                <w:color w:val="auto"/>
                <w:w w:val="89"/>
              </w:rPr>
              <w:t>Operating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4"/>
                <w:szCs w:val="14"/>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6"/>
                <w:szCs w:val="16"/>
                <w:b w:val="1"/>
                <w:bCs w:val="1"/>
                <w:i w:val="1"/>
                <w:iCs w:val="1"/>
                <w:color w:val="auto"/>
                <w:w w:val="89"/>
              </w:rPr>
              <w:t>Operating</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i w:val="1"/>
                <w:iCs w:val="1"/>
                <w:color w:val="auto"/>
                <w:w w:val="87"/>
              </w:rPr>
              <w:t>Operating</w:t>
            </w:r>
          </w:p>
        </w:tc>
        <w:tc>
          <w:tcPr>
            <w:tcW w:w="140" w:type="dxa"/>
            <w:vAlign w:val="bottom"/>
          </w:tcPr>
          <w:p>
            <w:pPr>
              <w:spacing w:after="0"/>
              <w:rPr>
                <w:sz w:val="14"/>
                <w:szCs w:val="14"/>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b w:val="1"/>
                <w:bCs w:val="1"/>
                <w:i w:val="1"/>
                <w:iCs w:val="1"/>
                <w:color w:val="auto"/>
                <w:w w:val="89"/>
              </w:rPr>
              <w:t>Operating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4"/>
                <w:szCs w:val="14"/>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6"/>
                <w:szCs w:val="16"/>
                <w:b w:val="1"/>
                <w:bCs w:val="1"/>
                <w:i w:val="1"/>
                <w:iCs w:val="1"/>
                <w:color w:val="auto"/>
                <w:w w:val="89"/>
              </w:rPr>
              <w:t>Operating</w:t>
            </w:r>
          </w:p>
        </w:tc>
        <w:tc>
          <w:tcPr>
            <w:tcW w:w="860" w:type="dxa"/>
            <w:vAlign w:val="bottom"/>
            <w:vMerge w:val="restart"/>
          </w:tcPr>
          <w:p>
            <w:pPr>
              <w:jc w:val="center"/>
              <w:ind w:right="19"/>
              <w:spacing w:after="0"/>
              <w:rPr>
                <w:sz w:val="20"/>
                <w:szCs w:val="20"/>
                <w:color w:val="auto"/>
              </w:rPr>
            </w:pPr>
            <w:r>
              <w:rPr>
                <w:rFonts w:ascii="Arial" w:cs="Arial" w:eastAsia="Arial" w:hAnsi="Arial"/>
                <w:sz w:val="16"/>
                <w:szCs w:val="16"/>
                <w:b w:val="1"/>
                <w:bCs w:val="1"/>
                <w:i w:val="1"/>
                <w:iCs w:val="1"/>
                <w:color w:val="auto"/>
                <w:w w:val="89"/>
              </w:rPr>
              <w:t>Operating</w:t>
            </w:r>
          </w:p>
        </w:tc>
        <w:tc>
          <w:tcPr>
            <w:tcW w:w="0" w:type="dxa"/>
            <w:vAlign w:val="bottom"/>
          </w:tcPr>
          <w:p>
            <w:pPr>
              <w:spacing w:after="0"/>
              <w:rPr>
                <w:sz w:val="1"/>
                <w:szCs w:val="1"/>
                <w:color w:val="auto"/>
              </w:rPr>
            </w:pPr>
          </w:p>
        </w:tc>
      </w:tr>
      <w:tr>
        <w:trPr>
          <w:trHeight w:val="162"/>
        </w:trPr>
        <w:tc>
          <w:tcPr>
            <w:tcW w:w="2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i w:val="1"/>
                <w:iCs w:val="1"/>
                <w:color w:val="auto"/>
                <w:w w:val="92"/>
              </w:rPr>
              <w:t>Income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3"/>
              </w:rPr>
              <w:t>(Loss)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99"/>
              </w:rPr>
              <w:t>Margin</w:t>
            </w:r>
          </w:p>
        </w:tc>
        <w:tc>
          <w:tcPr>
            <w:tcW w:w="122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Income (Loss)</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5"/>
              </w:rPr>
              <w:t>Margin</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w w:val="90"/>
              </w:rPr>
              <w:t>Income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i w:val="1"/>
                <w:iCs w:val="1"/>
                <w:color w:val="auto"/>
                <w:w w:val="95"/>
              </w:rPr>
              <w:t>Margin</w:t>
            </w:r>
          </w:p>
        </w:tc>
        <w:tc>
          <w:tcPr>
            <w:tcW w:w="122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Income (Loss)</w:t>
            </w: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162"/>
        </w:trPr>
        <w:tc>
          <w:tcPr>
            <w:tcW w:w="2540" w:type="dxa"/>
            <w:vAlign w:val="bottom"/>
            <w:tcBorders>
              <w:top w:val="single" w:sz="8" w:color="auto"/>
            </w:tcBorders>
          </w:tcPr>
          <w:p>
            <w:pPr>
              <w:ind w:left="20"/>
              <w:spacing w:after="0" w:line="162" w:lineRule="exact"/>
              <w:rPr>
                <w:sz w:val="20"/>
                <w:szCs w:val="20"/>
                <w:color w:val="auto"/>
              </w:rPr>
            </w:pPr>
            <w:r>
              <w:rPr>
                <w:rFonts w:ascii="Arial" w:cs="Arial" w:eastAsia="Arial" w:hAnsi="Arial"/>
                <w:sz w:val="16"/>
                <w:szCs w:val="16"/>
                <w:b w:val="1"/>
                <w:bCs w:val="1"/>
                <w:i w:val="1"/>
                <w:iCs w:val="1"/>
                <w:color w:val="auto"/>
                <w:w w:val="87"/>
              </w:rPr>
              <w:t>Segment operating income (loss) and</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operating margin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7"/>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7"/>
              </w:rPr>
              <w:t>5.2%</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64,630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143,921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color w:val="auto"/>
                <w:w w:val="92"/>
              </w:rPr>
              <w:t>26.0%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color w:val="auto"/>
                <w:w w:val="88"/>
              </w:rPr>
              <w:t>25.0%</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20.4%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8"/>
              </w:rPr>
              <w:t>15.7%</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(104,087)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6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center"/>
              <w:ind w:right="26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(219,581)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300"/>
              <w:spacing w:after="0" w:line="148" w:lineRule="exact"/>
              <w:rPr>
                <w:sz w:val="20"/>
                <w:szCs w:val="20"/>
                <w:color w:val="auto"/>
              </w:rPr>
            </w:pPr>
            <w:r>
              <w:rPr>
                <w:rFonts w:ascii="Arial" w:cs="Arial" w:eastAsia="Arial" w:hAnsi="Arial"/>
                <w:sz w:val="16"/>
                <w:szCs w:val="16"/>
                <w:color w:val="auto"/>
                <w:w w:val="93"/>
              </w:rPr>
              <w:t>Total operating income (loss) and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(6,932)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39"/>
              <w:spacing w:after="0"/>
              <w:rPr>
                <w:sz w:val="20"/>
                <w:szCs w:val="20"/>
                <w:color w:val="auto"/>
              </w:rPr>
            </w:pPr>
            <w:r>
              <w:rPr>
                <w:rFonts w:ascii="Arial" w:cs="Arial" w:eastAsia="Arial" w:hAnsi="Arial"/>
                <w:sz w:val="16"/>
                <w:szCs w:val="16"/>
                <w:color w:val="auto"/>
                <w:w w:val="93"/>
              </w:rPr>
              <w:t>(1.4)%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(45,387)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7"/>
              </w:rPr>
              <w:t>(8.9)%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24,008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93"/>
              </w:rPr>
              <w:t>2.4%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3"/>
              </w:rPr>
              <w:t>(1.7)%</w:t>
            </w:r>
          </w:p>
        </w:tc>
        <w:tc>
          <w:tcPr>
            <w:tcW w:w="0" w:type="dxa"/>
            <w:vAlign w:val="bottom"/>
          </w:tcPr>
          <w:p>
            <w:pPr>
              <w:spacing w:after="0"/>
              <w:rPr>
                <w:sz w:val="1"/>
                <w:szCs w:val="1"/>
                <w:color w:val="auto"/>
              </w:rPr>
            </w:pPr>
          </w:p>
        </w:tc>
      </w:tr>
      <w:tr>
        <w:trPr>
          <w:trHeight w:val="205"/>
        </w:trPr>
        <w:tc>
          <w:tcPr>
            <w:tcW w:w="2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operating margin</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2021</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162,967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129,165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33,802</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30,452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11,948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18,504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0" w:type="dxa"/>
            <w:vAlign w:val="bottom"/>
          </w:tcPr>
          <w:p>
            <w:pPr>
              <w:spacing w:after="0"/>
              <w:rPr>
                <w:sz w:val="1"/>
                <w:szCs w:val="1"/>
                <w:color w:val="auto"/>
              </w:rPr>
            </w:pPr>
          </w:p>
        </w:tc>
      </w:tr>
      <w:tr>
        <w:trPr>
          <w:trHeight w:val="783"/>
        </w:trPr>
        <w:tc>
          <w:tcPr>
            <w:tcW w:w="3000" w:type="dxa"/>
            <w:vAlign w:val="bottom"/>
          </w:tcPr>
          <w:p>
            <w:pPr>
              <w:spacing w:after="0"/>
              <w:rPr>
                <w:sz w:val="24"/>
                <w:szCs w:val="24"/>
                <w:color w:val="auto"/>
              </w:rPr>
            </w:pPr>
          </w:p>
        </w:tc>
        <w:tc>
          <w:tcPr>
            <w:tcW w:w="2760" w:type="dxa"/>
            <w:vAlign w:val="bottom"/>
            <w:gridSpan w:val="4"/>
            <w:vMerge w:val="restart"/>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2021</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335,748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331,444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62,748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44,315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18,433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2021 vs. Three months ended June 30, 2020</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increased $33.8 million, or 26%. Changes in foreign currency exchange rates favorably impacted revenues by $9.8 million. Revenue was favorably impacted by increased shipments in Europe, Middle East, and Africa (EMEA) in 2021 compared with 2020 primarily due to the COVID-19 related impacts in 2020. The three months ended June 30, 2021 was impacted by global component shortages, which limited our ability to ship all of our customer demand. Revenue also decreased $7.8 million due to lower shipments to the Latin America region.</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2021 vs. Six months ended June 30, 2020</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Revenues increased $4.3 million, or 1%, for the first six months of 2021 compared with the same period in 2020. Changes in foreign currency exchange rates favorably impacted revenues by $23.2 million. The first six months of 2021 was impacted by global component shortages, which limited our ability to ship all of our customer demand. Revenue decreased $17.0 million due to lower shipments to the Latin America region.</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2021 vs. Three months ended June 30, 2020</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three months ended June 30, 2021, gross margin was 18.7%, compared with 9.3% for the same period in 2020. The 940 basis point increase over the prior year was primarily due to favorable product mix and reduced manufacturing inefficiencies related to COVID-19 compared with the second quarter of 2020.</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2021 vs. Six months ended June 30, 2020</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2021, gross margin was 18.7%, compared with 13.4% for the same period in 2020. The 530 basis point increase over the prior year was primarily due to favorable product mix and reduced manufacturing inefficiencies related to COVID-19 compared with the same period in 2020.</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2021 vs. Three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decreased $2.6 million, or 20%, compared with 2020. The decrease was primarily related to $2.7 million decrease in research and development costs.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2021 vs. Six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decreased $6.2 million, or 23%, for the first six months of 2021 compared with the same period in 2020. The decrease was primarily a result of lower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2021</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265,058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324,480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(59,422)</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95,953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108,323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(12,370)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760" w:type="dxa"/>
            <w:vAlign w:val="bottom"/>
            <w:gridSpan w:val="4"/>
            <w:vMerge w:val="restart"/>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2021</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553,372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665,325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(111,953)</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208,712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230,073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(21,361)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2021 vs. Three months ended June 30,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$59.4 million, or 18%, in 2021 compared with 2020. The change was primarily due to the timing of customer projects and global component shortages, which limited our ability to ship all of our customer demand. Lower product revenue of $65.2 million was partially offset by higher maintenance service revenue of $5.7 million.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2021 vs. Six months ended June 30, 2020</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Revenues decreased $112.0 million, or 17%, for the first six months of 2021 compared with the same period in 2020. The change was primarily due to the timing of customer projects, global component shortages, which limited our ability to ship all of our customer demand and the impact of COVID-19 on new deployments. Lower product revenue of $121.9 million was partially offset by higher maintenance service revenue of $9.9 million.</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2021 vs. Three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36.2% for the period ending June 30, 2021, compared with 33.4% in 2020. The 280 basis point increase was primarily driven by favorable product mix and reduced manufacturing inefficiencies related to COVID-19.</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2021 vs. Six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37.7% for the 2021 period, compared with 34.6% in 2020. The 310 basis point increase was primarily driven by favorable product mix and reduced manufacturing inefficiencies related to COVID-19.</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2021 vs. Three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increased $0.4 million, or 1%, for the quarter in 2021, compared with the same period in 2020. The increase was primarily related to increased investment in research and development.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2021 vs. Six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increased $0.8 million, or 1%, for the first six months of 2021, compared with the same period in 2020. The increase was primarily driven by increased investment in research and development.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2021</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61,387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23,470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5,224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760" w:type="dxa"/>
            <w:vAlign w:val="bottom"/>
            <w:gridSpan w:val="4"/>
            <w:vMerge w:val="restart"/>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2021</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119,866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111,240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8,626</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45,459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35,695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9,764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2021 vs. Three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2021 period, revenues increased $5.4 million, or 10%, compared with the 2020 period. This increase was driven by an increase in managed and professional services.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2021 vs. Six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Revenues increased $8.6 million, or 8%, for the first six months of 2021 compared with the same period in 2020. This increase was driven by an increase in software license sales, professional and managed services.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2021 vs. Three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38.2% for the second quarter of 2021, compared with 32.6% for the same period last year. The 560 basis point increase was driven by favorable product and services mix and other cost containment initiatives.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2021 vs. Six months ended June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37.9% for the period ending in 2021, compared with 32.1% for last year. The 580 basis point increase was driven by favorable product and services mix and other cost containment initiatives.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2021 vs. Three months ended June 30, 2020</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Operating expenses for the 2021 period increased $1.9 million, compared with the same period last year, with higher research and development expense of $1.5 million and product marketing expenses of $0.4 million.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2021 vs. Six months ended June 30, 2020</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Operating expenses for the first six months of 2021 increased $4.3 million, or 24%, compared with the same period last year. This increase was primarily related to increased research and development investment of $3.2 million and higher product marketing expenses of $1.1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June 30, 2021 vs. Three months ended June 30, 2020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$26.8 million, or 20%, for the three months ended June 30, 2021 compared with the same period in 2020. This was primarily the result of a $32.2 million decrease in the charge related to the loss on sale of business and a $2.1 million decrease in amortization of intangible assets. The decrease was partially offset by a $4.0 million increase in labor costs and a $2.9 million increase in restructuring.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Six months ended June 30, 2021 vs. Six months ended June 30, 2020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first six months of 2021, Corporate unallocated expenses decreased $35.1 million, or 16%, as compared with the same period in 2020. This was primarily the result of decreases of $30.8 million in the charge related to the loss on sale of business, $1.8 million in facility costs, $3.2 million in travel, $4.3 million in amortization of intangible assets, and $2.1 million in acquisition and integration expenses classified within sales, general and administrative. The overall decrease was partially offset by a $3.4 million increase in labor costs, $3.2 million increase in information technology expenses, and a $1.1 million increase in restructuring.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 included in this Quarterly Report on Form 10-Q.</w:t>
      </w:r>
    </w:p>
    <w:tbl>
      <w:tblPr>
        <w:tblLayout w:type="fixed"/>
        <w:tblInd w:w="0" w:type="dxa"/>
        <w:tblCellMar>
          <w:top w:w="0" w:type="dxa"/>
          <w:left w:w="0" w:type="dxa"/>
          <w:bottom w:w="0" w:type="dxa"/>
          <w:right w:w="0" w:type="dxa"/>
        </w:tblCellMar>
      </w:tblPr>
      <w:tr>
        <w:trPr>
          <w:trHeight w:val="167"/>
        </w:trPr>
        <w:tc>
          <w:tcPr>
            <w:tcW w:w="2920" w:type="dxa"/>
            <w:vAlign w:val="bottom"/>
          </w:tcPr>
          <w:p>
            <w:pPr>
              <w:spacing w:after="0"/>
              <w:rPr>
                <w:sz w:val="14"/>
                <w:szCs w:val="14"/>
                <w:color w:val="auto"/>
              </w:rPr>
            </w:pPr>
          </w:p>
        </w:tc>
        <w:tc>
          <w:tcPr>
            <w:tcW w:w="3220" w:type="dxa"/>
            <w:vAlign w:val="bottom"/>
            <w:vMerge w:val="restart"/>
          </w:tcPr>
          <w:p>
            <w:pPr>
              <w:jc w:val="center"/>
              <w:ind w:left="2019"/>
              <w:spacing w:after="0"/>
              <w:rPr>
                <w:sz w:val="20"/>
                <w:szCs w:val="20"/>
                <w:color w:val="auto"/>
              </w:rPr>
            </w:pPr>
            <w:r>
              <w:rPr>
                <w:rFonts w:ascii="Arial" w:cs="Arial" w:eastAsia="Arial" w:hAnsi="Arial"/>
                <w:sz w:val="16"/>
                <w:szCs w:val="16"/>
                <w:b w:val="1"/>
                <w:bCs w:val="1"/>
                <w:color w:val="auto"/>
                <w:w w:val="95"/>
              </w:rPr>
              <w:t>Quarterly</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8" w:lineRule="exact"/>
              <w:rPr>
                <w:sz w:val="20"/>
                <w:szCs w:val="20"/>
                <w:color w:val="auto"/>
              </w:rPr>
            </w:pPr>
            <w:r>
              <w:rPr>
                <w:rFonts w:ascii="Arial" w:cs="Arial" w:eastAsia="Arial" w:hAnsi="Arial"/>
                <w:sz w:val="16"/>
                <w:szCs w:val="16"/>
                <w:b w:val="1"/>
                <w:bCs w:val="1"/>
                <w:color w:val="auto"/>
                <w:w w:val="95"/>
              </w:rPr>
              <w:t>Ending</w:t>
            </w:r>
          </w:p>
        </w:tc>
        <w:tc>
          <w:tcPr>
            <w:tcW w:w="500" w:type="dxa"/>
            <w:vAlign w:val="bottom"/>
          </w:tcPr>
          <w:p>
            <w:pPr>
              <w:spacing w:after="0"/>
              <w:rPr>
                <w:sz w:val="14"/>
                <w:szCs w:val="14"/>
                <w:color w:val="auto"/>
              </w:rPr>
            </w:pPr>
          </w:p>
        </w:tc>
        <w:tc>
          <w:tcPr>
            <w:tcW w:w="1760" w:type="dxa"/>
            <w:vAlign w:val="bottom"/>
          </w:tcPr>
          <w:p>
            <w:pPr>
              <w:jc w:val="center"/>
              <w:ind w:right="339"/>
              <w:spacing w:after="0" w:line="168" w:lineRule="exact"/>
              <w:rPr>
                <w:sz w:val="20"/>
                <w:szCs w:val="20"/>
                <w:color w:val="auto"/>
              </w:rPr>
            </w:pPr>
            <w:r>
              <w:rPr>
                <w:rFonts w:ascii="Arial" w:cs="Arial" w:eastAsia="Arial" w:hAnsi="Arial"/>
                <w:sz w:val="16"/>
                <w:szCs w:val="16"/>
                <w:b w:val="1"/>
                <w:bCs w:val="1"/>
                <w:color w:val="auto"/>
                <w:w w:val="92"/>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Quarter Ended</w:t>
            </w:r>
          </w:p>
        </w:tc>
        <w:tc>
          <w:tcPr>
            <w:tcW w:w="3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Arial" w:cs="Arial" w:eastAsia="Arial" w:hAnsi="Arial"/>
                <w:sz w:val="16"/>
                <w:szCs w:val="16"/>
                <w:b w:val="1"/>
                <w:bCs w:val="1"/>
                <w:color w:val="auto"/>
                <w:w w:val="94"/>
              </w:rPr>
              <w:t>Total</w:t>
            </w:r>
          </w:p>
        </w:tc>
        <w:tc>
          <w:tcPr>
            <w:tcW w:w="500" w:type="dxa"/>
            <w:vAlign w:val="bottom"/>
          </w:tcPr>
          <w:p>
            <w:pPr>
              <w:spacing w:after="0"/>
              <w:rPr>
                <w:sz w:val="14"/>
                <w:szCs w:val="14"/>
                <w:color w:val="auto"/>
              </w:rPr>
            </w:pPr>
          </w:p>
        </w:tc>
        <w:tc>
          <w:tcPr>
            <w:tcW w:w="1760" w:type="dxa"/>
            <w:vAlign w:val="bottom"/>
          </w:tcPr>
          <w:p>
            <w:pPr>
              <w:jc w:val="center"/>
              <w:ind w:right="359"/>
              <w:spacing w:after="0" w:line="162" w:lineRule="exact"/>
              <w:rPr>
                <w:sz w:val="20"/>
                <w:szCs w:val="20"/>
                <w:color w:val="auto"/>
              </w:rPr>
            </w:pPr>
            <w:r>
              <w:rPr>
                <w:rFonts w:ascii="Arial" w:cs="Arial" w:eastAsia="Arial" w:hAnsi="Arial"/>
                <w:sz w:val="16"/>
                <w:szCs w:val="16"/>
                <w:b w:val="1"/>
                <w:bCs w:val="1"/>
                <w:color w:val="auto"/>
                <w:w w:val="95"/>
              </w:rPr>
              <w:t>12-Month</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w w:val="87"/>
              </w:rPr>
              <w:t>Bookings</w:t>
            </w: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w w:val="89"/>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2021</w:t>
            </w:r>
          </w:p>
        </w:tc>
        <w:tc>
          <w:tcPr>
            <w:tcW w:w="3220" w:type="dxa"/>
            <w:vAlign w:val="bottom"/>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3,530</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March 31, 2021</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688</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3,421</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973</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3,259</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September 30, 2020</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2,795</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2020</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2,895</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28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122,680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25,786</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(14,515)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(29,159)</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(108,144)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401,963</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w:t>
            </w:r>
          </w:p>
        </w:tc>
      </w:tr>
      <w:tr>
        <w:trPr>
          <w:trHeight w:val="235"/>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Increase in cash and cash equivalents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394,919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were $207.1 million at June 30, 2021, compared with $206.9 million at December 31, 2020. The $0.2 million increase in cash and cash equivalents in the 2021 period was primarily the result of proceeds from convertible senior note and equity offering in March 2021, along with cash flows from operating activities, partially offset by purchases of equity classified derivative contracts, repayment of the term loan and the senior subordinated notes, and the acquisitions of property, plant, and equipment.</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Cash provided by operating activities during the six months in 2021 was $122.7 million compared with $25.8 million during the same period in 2020. The increase was primarily due to lower variable compensation payouts and a decrease in cash used for working capital as well as lower interest payments.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during the six months in 2021 was $14.6 million lower than in 2020. This decrease in use of cash was primarily related to the net cash inflow related to the working capital note from the sale of our Latin America operation in 2021, and a decrease of $8.6 million in purchases of property, plant, and equipment.</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financing activities during the six months in 2021 was $108.1 million, compared with net cash provided of $402.0 million for the same period in 2020. In March 2021, we received $389.4 million from issuance of common stock related to our equity offering, after deducting underwriters’ discounts of the offering, purchased $84.1 million of convertible note hedge contracts, and proceeds of $45.3 million from sale of warrants. Also in March, we entered into convertible senior notes with gross proceeds of $460 million, which was used to pay off the majority of the outstanding term loan balance. In April, we repaid the senior subordinated notes totaling $410 million (including $10 million early repayment premium) with proceeds from the equity offering and cash on hand. For the six months ended June 30, 2021, we had net repayments of $455.0 million of debt. Cash payments for prepaid debt fees was $12.0 million.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at June 30, 2021 was an increase of $0.2 million, compared with a decrease of $3.7 million for the same period in 2020. Our foreign currency exposure relates to non-U.S. dollar denominated balances in our international subsidiary operations.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0"/>
              </w:rPr>
              <w:t>Six Months Ended June 30,</w:t>
            </w:r>
          </w:p>
        </w:tc>
        <w:tc>
          <w:tcPr>
            <w:tcW w:w="128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ind w:left="1080"/>
              <w:spacing w:after="0"/>
              <w:rPr>
                <w:sz w:val="20"/>
                <w:szCs w:val="20"/>
                <w:color w:val="auto"/>
              </w:rPr>
            </w:pPr>
            <w:r>
              <w:rPr>
                <w:rFonts w:ascii="Arial" w:cs="Arial" w:eastAsia="Arial" w:hAnsi="Arial"/>
                <w:sz w:val="16"/>
                <w:szCs w:val="16"/>
                <w:color w:val="auto"/>
                <w:w w:val="96"/>
              </w:rPr>
              <w:t>122,680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25,786</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w w:val="93"/>
              </w:rPr>
              <w:t>(20,476)</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(29,049)</w:t>
            </w:r>
          </w:p>
        </w:tc>
      </w:tr>
      <w:tr>
        <w:trPr>
          <w:trHeight w:val="238"/>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w w:val="96"/>
              </w:rPr>
              <w:t>102,204</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Free cash flow fluctuated primarily as a result of changes in cash provided by operating activities. See the cash flow discussion of operating activities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June 30, 2021 and December 31, 2020 that we believe could reasonably likely have a current or future affect on our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12, 2021, we closed the sale of 4,472,222 shares of our common stock in a public offering, resulting in net proceeds to us of approximately $389.4 million, after deducting underwriters’ discounts of the offering, as well as the sale of the Convertible Notes in a private placement to qualified institutional buyers, resulting in net proceeds to us of approximately $448.5 million after deducting initial purchasers’ discounts of the offering. Concurrently with the issuance of the Convertible Notes, we entered into the Convertible Note Hedge Transactions and Warrant Transactions. For further description of these transactions, refer to Item 1: Financial Statements (Unaudited), Note 6: Debt and Item 1: Financial Statements (Unaudited), Note 7: Derivative Financial Instruments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8, 2021, we entered into a third amendment to our 2018 credit facility, which modified provisions to permit cash settlement upon the conversion of the Convertible Notes, the Convertible Senior Note Hedge Transactions and Warrant Transactions and also to adjust certain settlement provisions for convertible indebtedness. See Item 1: Financial Statements (Unaudited), Note 7: Derivative Financial Instruments for further details of the Convertible Note Hedge Transactions and Warrant Transactions.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9, 2021, we submitted a Notice of Redemption to the trustee to redeem all outstanding Senior Notes at a redemption price of 102.50%, in accordance with the indenture governing the Senior Notes, totaling $410 million. As of April 8, 2021 the Senior Notes were fully discharged, and no principal or unpaid interest remains outstanding.</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12, 2021, we closed the sale of the Convertible Notes in a private placement to qualified institutional buyers, resulting in net proceeds to us of approximately $448.5 million after deducting initial purchasers’ discounts of the offering. The proceeds were used to enter into the Convertible Hedge Transactions (which was partially offset by the proceeds from the Warrant Transactions) and, together with cash on hand, to redeem the outstanding Senior Notes as described above.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For further description of our borrowings, refer to Item 1: Financial Statements (Unaudited), Note 6: Debt included in this Quarterly Report on Form 10-Q.</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acquisition of SSNI, we achieved approximately $50 million of annualized savings by the end of 2020. For the six months ended June 30, 2021, we paid out $1.1 million and we have approximately $4 million to $8 million of estimated cash payments remaining on the integration plan, the majority of which is expected to be paid out in the next 12 months.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17, 2020, our Board of Directors approved a restructuring plan (the 2020 Projects). The 2020 Projects include activities that continue our efforts to optimize its global supply chain and manufacturing operations, sales and marketing organizations, and other overhead. These projects are scheduled to be substantially complete by the end of 2022. We estimate pre-tax restructuring charges of $55 million to $65 million. Of the total estimated charge, approximately $35 million to $45 million will result in cash expenditures, and the remainder relates to non-cash charges.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we paid $14.7 million related to all our restructuring projects. As of June 30, 2021, $53.8 million was accrued for these restructuring projects, of which $26.5 million is expected to be paid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 included in this Quarterly Report on Form 10-Q.</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Reserve of Receivables from Sale of Business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total sales price of $35.0 million included deferred payments of $21.1 million for working capital, which was to be paid in full by December 31, 2020, as evidenced by a promissory note, and the remainder in cash ($4.5 million) and other deferred consideration. In January 2021, we agreed to extend the payment terms on the remaining outstanding working capital balance of $18.4 million. Accell had agreed to make monthly payments, including interest, through September 2022, under which we received full payments for January through March and partial payments in April and May (totaling $3.8 million including $0.7 million in interest). In July 2021, we received a revised payment plan for the remaining working capital note receivable, as well as the other deferred transaction receivables. Based on Accell's failure to make timely payments, continued requests to defer payments significantly beyond the original maturity of the working capital note, and the negative impact of the COVID-19 pandemic on the Latin American markets, we determined to fully reserve the working capital and other deferred consideration.</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$2 million in state taxes, and $8 million in local and foreign taxes during 2021. We do not expect to pay any U.S. federal taxes. For a discussion of our tax provision and unrecognized tax benefits, see Item 1: Financial Statements (Unaudited), Note 10: Income Taxes included in this Quarterly Report on Form 10-Q.</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there was $54.3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June 30, 2021, $20.4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Notwithstanding the expected short to mid-term impacts of the COVID-19 pandemic,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Arial" w:cs="Arial" w:eastAsia="Arial" w:hAnsi="Arial"/>
          <w:sz w:val="18"/>
          <w:szCs w:val="18"/>
          <w:color w:val="222222"/>
        </w:rPr>
        <w:t>our dependence on certain key vendors and components,</w:t>
      </w:r>
      <w:r>
        <w:rPr>
          <w:rFonts w:ascii="Arial" w:cs="Arial" w:eastAsia="Arial" w:hAnsi="Arial"/>
          <w:sz w:val="18"/>
          <w:szCs w:val="18"/>
          <w:color w:val="auto"/>
        </w:rPr>
        <w:t xml:space="preserve"> changes in estimated liabilities for product warranties and/or litigation, duration of the COVID-19 pandemic, future business combinations, capital market fluctuations, international risks, and other factors described under Risk Factors within Item 1A of Part I of our 2020 Annual Report, as well as Quantitative and Qualitative Disclosures About Market Risk within Item 3 of Part I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2020 Annual Report and have not changed materially.</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Non-GAAP operating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operating income </w:t>
      </w:r>
      <w:r>
        <w:rPr>
          <w:rFonts w:ascii="Arial" w:cs="Arial" w:eastAsia="Arial" w:hAnsi="Arial"/>
          <w:sz w:val="16"/>
          <w:szCs w:val="16"/>
          <w:color w:val="auto"/>
        </w:rPr>
        <w:t>– We define non-GAAP operating expenses as operating expenses excluding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related to the amortization of intangible assets, restructuring, loss on sale of business, corporate transition cost, and acquisition and integration. We define non-GAAP operating income as operating income (loss) excluding the expenses related to the amortization of intangible assets, restructuring, loss on sale of business, corporate transition cost,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Non-GAAP net income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diluted EPS </w:t>
      </w:r>
      <w:r>
        <w:rPr>
          <w:rFonts w:ascii="Arial" w:cs="Arial" w:eastAsia="Arial" w:hAnsi="Arial"/>
          <w:sz w:val="16"/>
          <w:szCs w:val="16"/>
          <w:color w:val="auto"/>
        </w:rPr>
        <w:t>– We define non-GAAP net income as net income (loss) attributable to Itron, Inc. excluding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associated with amortization of intangible assets, amortization of debt placement fees, debt extinguishment, restructuring, loss on sale of business, corporate transition cost,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throughout the year and use the most recent AETR anytime it increases or decreases by 200 basis points or more from the prior interim period.</w:t>
      </w: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We define adjusted EBITDA as net income (loss) (a) minus interest income, (b) plus interest expense,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debt extinguishment, restructuring, loss on sale of business, corporate transition cost, acquisition and integration related expense,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2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 We define free cash flow as net cash provided by operating activities less cash used for acquisitions of property, plant and equipment.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Constant currency </w:t>
      </w:r>
      <w:r>
        <w:rPr>
          <w:rFonts w:ascii="Arial" w:cs="Arial" w:eastAsia="Arial" w:hAnsi="Arial"/>
          <w:sz w:val="17"/>
          <w:szCs w:val="17"/>
          <w:color w:val="auto"/>
        </w:rPr>
        <w:t>– We refer to the impact of foreign currency exchange rate fluctuations in our discussions of financial results, which references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300" w:type="dxa"/>
            <w:vAlign w:val="bottom"/>
          </w:tcPr>
          <w:p>
            <w:pPr>
              <w:spacing w:after="0"/>
              <w:rPr>
                <w:sz w:val="18"/>
                <w:szCs w:val="18"/>
                <w:color w:val="auto"/>
              </w:rPr>
            </w:pPr>
          </w:p>
        </w:tc>
        <w:tc>
          <w:tcPr>
            <w:tcW w:w="29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8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100" w:type="dxa"/>
            <w:vAlign w:val="bottom"/>
          </w:tcPr>
          <w:p>
            <w:pPr>
              <w:spacing w:after="0"/>
              <w:rPr>
                <w:sz w:val="18"/>
                <w:szCs w:val="18"/>
                <w:color w:val="auto"/>
              </w:rPr>
            </w:pP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10"/>
        </w:trPr>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GAAP operating expenses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329,100</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(22,305)</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(56,915)</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10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w:t>
            </w: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operating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251,112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251,234</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16"/>
        </w:trPr>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GAAP operating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(6,932)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(45,387)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24,008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(19,017)</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22,305</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(2,931)</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56,915</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r>
      <w:tr>
        <w:trPr>
          <w:trHeight w:val="213"/>
        </w:trPr>
        <w:tc>
          <w:tcPr>
            <w:tcW w:w="10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Non-GAAP operating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58,849</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4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13"/>
        </w:trPr>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GAAP net loss attributable to Itron, Inc.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(54,118)</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22,305</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w:t>
            </w:r>
          </w:p>
        </w:tc>
      </w:tr>
      <w:tr>
        <w:trPr>
          <w:trHeight w:val="230"/>
        </w:trPr>
        <w:tc>
          <w:tcPr>
            <w:tcW w:w="100" w:type="dxa"/>
            <w:vAlign w:val="bottom"/>
          </w:tcPr>
          <w:p>
            <w:pPr>
              <w:spacing w:after="0"/>
              <w:rPr>
                <w:sz w:val="19"/>
                <w:szCs w:val="19"/>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Debt extinguishment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16"/>
        </w:trPr>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56,915</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1,610</w:t>
            </w:r>
          </w:p>
        </w:tc>
      </w:tr>
      <w:tr>
        <w:trPr>
          <w:trHeight w:val="216"/>
        </w:trPr>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effect of non-GAAP adjustments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(10,719)</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r>
      <w:tr>
        <w:trPr>
          <w:trHeight w:val="213"/>
        </w:trPr>
        <w:tc>
          <w:tcPr>
            <w:tcW w:w="10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Non-GAAP net income attributable to Itron, Inc.</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24,295</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4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16"/>
        </w:trPr>
        <w:tc>
          <w:tcPr>
            <w:tcW w:w="10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Non-GAAP diluted EPS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4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16"/>
        </w:trPr>
        <w:tc>
          <w:tcPr>
            <w:tcW w:w="10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w w:val="93"/>
              </w:rPr>
              <w:t>Non-GAAP weighted average common shares outstanding - Diluted</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45,478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40,481</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4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13"/>
        </w:trPr>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GAAP net loss attributable to Itron, Inc.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(54,118)</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(1,811)</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22,961</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Income tax provision (benefit)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12,351</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extinguishment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48,230</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56,915</w:t>
            </w:r>
          </w:p>
        </w:tc>
      </w:tr>
      <w:tr>
        <w:trPr>
          <w:trHeight w:val="219"/>
        </w:trPr>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10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w:t>
            </w:r>
          </w:p>
        </w:tc>
      </w:tr>
      <w:tr>
        <w:trPr>
          <w:trHeight w:val="238"/>
        </w:trPr>
        <w:tc>
          <w:tcPr>
            <w:tcW w:w="10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83,174</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16"/>
        </w:trPr>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72,725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6,892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122,680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25,786</w:t>
            </w:r>
          </w:p>
        </w:tc>
      </w:tr>
      <w:tr>
        <w:trPr>
          <w:trHeight w:val="216"/>
        </w:trPr>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(29,049)</w:t>
            </w:r>
          </w:p>
        </w:tc>
      </w:tr>
      <w:tr>
        <w:trPr>
          <w:trHeight w:val="213"/>
        </w:trPr>
        <w:tc>
          <w:tcPr>
            <w:tcW w:w="10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63,661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w:t>
            </w: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exposed to interest rate risk through our variable rate debt instruments. In March 2020, we entered into an interest rate swap, which is effective from June 30, 2020 to June 30, 2023, and converts $240 million of our LIBOR-based debt from a floating LIBOR interest rate to a fixed interest rate of 0.617% (excluding the applicable margin). The notional balance amortizes to maturity at the same rate of the originally required amortization on our term loan. On March 17, 2021, we paid a fee of $1.7 million to terminate the interest rate swap since the likelihood of LIBOR based interest payments were no longer probable of occurring. At June 30, 2021, our LIBOR-based debt balance was $31.1 million.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2018, we entered into a cross-currency swap, which converts $56.0 million of floating rate LIBOR-based U.S. dollar denominated debt into 1.38% fixed rate euro denominated debt. This cross-currency swap matured on April 30, 2021 and mitigates the risk associated with fluctuations in interest and currency rates impacting cash flows related to a U.S. dollar denominated debt in a euro functional currency entity.</w:t>
      </w:r>
    </w:p>
    <w:p>
      <w:pPr>
        <w:spacing w:after="0" w:line="21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and the scheduled minimum repayment of principal and the weighted average interest rates at June 30, 2021. Weighted average variable rates in the table are based on implied forward rates in the Reuters U.S. dollar yield curve as of June 30, 2021 and our estimated leverage ratio, which determines our additional interest rate margin at June 30,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Variable Rate Debt</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Principal: U.S. dollar term loan</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31,094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30,195</w:t>
            </w: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Arial" w:cs="Arial" w:eastAsia="Arial" w:hAnsi="Arial"/>
                <w:sz w:val="16"/>
                <w:szCs w:val="16"/>
                <w:color w:val="auto"/>
              </w:rPr>
              <w:t>Weighted average interest rate</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6"/>
              </w:rPr>
              <w:t>1.19 %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2"/>
              </w:rPr>
              <w:t>1.60 %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740" w:type="dxa"/>
            <w:vAlign w:val="bottom"/>
          </w:tcPr>
          <w:p>
            <w:pPr>
              <w:ind w:left="100"/>
              <w:spacing w:after="0" w:line="166" w:lineRule="exact"/>
              <w:rPr>
                <w:sz w:val="20"/>
                <w:szCs w:val="20"/>
                <w:color w:val="auto"/>
              </w:rPr>
            </w:pPr>
            <w:r>
              <w:rPr>
                <w:rFonts w:ascii="Arial" w:cs="Arial" w:eastAsia="Arial" w:hAnsi="Arial"/>
                <w:sz w:val="16"/>
                <w:szCs w:val="16"/>
                <w:color w:val="auto"/>
                <w:w w:val="99"/>
              </w:rPr>
              <w:t>Principal: Multicurrency revolving line</w:t>
            </w:r>
          </w:p>
        </w:tc>
        <w:tc>
          <w:tcPr>
            <w:tcW w:w="40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679"/>
              <w:spacing w:after="0"/>
              <w:rPr>
                <w:sz w:val="20"/>
                <w:szCs w:val="20"/>
                <w:color w:val="auto"/>
              </w:rPr>
            </w:pPr>
            <w:r>
              <w:rPr>
                <w:rFonts w:ascii="Arial" w:cs="Arial" w:eastAsia="Arial" w:hAnsi="Arial"/>
                <w:sz w:val="16"/>
                <w:szCs w:val="16"/>
                <w:color w:val="auto"/>
                <w:w w:val="89"/>
              </w:rPr>
              <w:t>$</w:t>
            </w:r>
          </w:p>
        </w:tc>
        <w:tc>
          <w:tcPr>
            <w:tcW w:w="6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679"/>
              <w:spacing w:after="0"/>
              <w:rPr>
                <w:sz w:val="20"/>
                <w:szCs w:val="20"/>
                <w:color w:val="auto"/>
              </w:rPr>
            </w:pPr>
            <w:r>
              <w:rPr>
                <w:rFonts w:ascii="Arial" w:cs="Arial" w:eastAsia="Arial" w:hAnsi="Arial"/>
                <w:sz w:val="16"/>
                <w:szCs w:val="16"/>
                <w:color w:val="auto"/>
                <w:w w:val="89"/>
              </w:rPr>
              <w:t>$</w:t>
            </w:r>
          </w:p>
        </w:tc>
        <w:tc>
          <w:tcPr>
            <w:tcW w:w="6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40" w:type="dxa"/>
            <w:vAlign w:val="bottom"/>
          </w:tcPr>
          <w:p>
            <w:pPr>
              <w:ind w:left="360"/>
              <w:spacing w:after="0"/>
              <w:rPr>
                <w:sz w:val="20"/>
                <w:szCs w:val="20"/>
                <w:color w:val="auto"/>
              </w:rPr>
            </w:pPr>
            <w:r>
              <w:rPr>
                <w:rFonts w:ascii="Arial" w:cs="Arial" w:eastAsia="Arial" w:hAnsi="Arial"/>
                <w:sz w:val="16"/>
                <w:szCs w:val="16"/>
                <w:color w:val="auto"/>
              </w:rPr>
              <w:t>of credit</w:t>
            </w:r>
          </w:p>
        </w:tc>
        <w:tc>
          <w:tcPr>
            <w:tcW w:w="4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 average interest rate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1.19 %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June 30, 2021, we estimate that, if market interest rates average one percentage point higher in 2021 than in the table above, our financial results in 2021 would not be materially impacted.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a number of countries. Revenues denominated in functional currencies other than the U.S. dollar were 40% of total revenues for the three and six months ended June 30, 2021 compared with 31% and 35% for the same respective periods in 2020.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2021, a total of 37 contracts were offsetting our exposures from the euro, pound sterling, Indonesian rupiah, Canadian dollar, Australian dollar and various other currencies, with notional amounts ranging from $98,000 to $46.1 million. Based on a sensitivity analysis as of June 30, 2021, we estimate that, if foreign currency exchange rates average ten percentage points higher in 2021 for these financial instruments, our financial results in 2021 would not be materially impacted.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2021,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2021 that materially affected, or are reasonably likely to materially affect,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list of Risk Factors, refer to Part I, Item 1A: Risk Factors of our Annual Report on Form 10-K for the fiscal year ended December 31, 2020, which was filed with the Securities and Exchange Commission on February 24, 2021.</w:t>
      </w:r>
    </w:p>
    <w:p>
      <w:pPr>
        <w:spacing w:after="0" w:line="200" w:lineRule="exact"/>
        <w:rPr>
          <w:sz w:val="20"/>
          <w:szCs w:val="20"/>
          <w:color w:val="auto"/>
        </w:rPr>
      </w:pPr>
    </w:p>
    <w:p>
      <w:pPr>
        <w:spacing w:after="0" w:line="23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Issuer Repurchase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4"/>
              </w:rPr>
              <w:t>Total Number of</w:t>
            </w: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Average Price Paid</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jc w:val="center"/>
              <w:ind w:right="220"/>
              <w:spacing w:after="0" w:line="216" w:lineRule="exact"/>
              <w:rPr>
                <w:sz w:val="20"/>
                <w:szCs w:val="20"/>
                <w:color w:val="auto"/>
              </w:rPr>
            </w:pPr>
            <w:r>
              <w:rPr>
                <w:rFonts w:ascii="Arial" w:cs="Arial" w:eastAsia="Arial" w:hAnsi="Arial"/>
                <w:sz w:val="16"/>
                <w:szCs w:val="16"/>
                <w:b w:val="1"/>
                <w:bCs w:val="1"/>
                <w:color w:val="auto"/>
                <w:w w:val="86"/>
              </w:rPr>
              <w:t xml:space="preserve">Shares Purchased </w:t>
            </w:r>
            <w:r>
              <w:rPr>
                <w:rFonts w:ascii="Arial" w:cs="Arial" w:eastAsia="Arial" w:hAnsi="Arial"/>
                <w:sz w:val="21"/>
                <w:szCs w:val="21"/>
                <w:b w:val="1"/>
                <w:bCs w:val="1"/>
                <w:color w:val="auto"/>
                <w:w w:val="86"/>
                <w:vertAlign w:val="superscript"/>
              </w:rPr>
              <w:t>(1)</w:t>
            </w:r>
          </w:p>
        </w:tc>
        <w:tc>
          <w:tcPr>
            <w:tcW w:w="158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color w:val="auto"/>
                <w:w w:val="88"/>
                <w:vertAlign w:val="superscript"/>
              </w:rPr>
              <w:t>(2)</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Plans or Programs</w:t>
            </w:r>
          </w:p>
        </w:tc>
        <w:tc>
          <w:tcPr>
            <w:tcW w:w="0" w:type="dxa"/>
            <w:vAlign w:val="bottom"/>
          </w:tcPr>
          <w:p>
            <w:pPr>
              <w:spacing w:after="0"/>
              <w:rPr>
                <w:sz w:val="1"/>
                <w:szCs w:val="1"/>
                <w:color w:val="auto"/>
              </w:rPr>
            </w:pPr>
          </w:p>
        </w:tc>
      </w:tr>
      <w:tr>
        <w:trPr>
          <w:trHeight w:val="207"/>
        </w:trPr>
        <w:tc>
          <w:tcPr>
            <w:tcW w:w="45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i w:val="1"/>
                <w:iCs w:val="1"/>
                <w:color w:val="auto"/>
                <w:w w:val="91"/>
              </w:rPr>
              <w:t>In thousands</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2021 through April 30, 2021</w:t>
            </w:r>
          </w:p>
        </w:tc>
        <w:tc>
          <w:tcPr>
            <w:tcW w:w="182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May 1, 2021 through May 31, 2021</w:t>
            </w:r>
          </w:p>
        </w:tc>
        <w:tc>
          <w:tcPr>
            <w:tcW w:w="1600" w:type="dxa"/>
            <w:vAlign w:val="bottom"/>
          </w:tcPr>
          <w:p>
            <w:pPr>
              <w:jc w:val="right"/>
              <w:spacing w:after="0"/>
              <w:rPr>
                <w:sz w:val="20"/>
                <w:szCs w:val="20"/>
                <w:color w:val="auto"/>
              </w:rPr>
            </w:pPr>
            <w:r>
              <w:rPr>
                <w:rFonts w:ascii="Arial" w:cs="Arial" w:eastAsia="Arial" w:hAnsi="Arial"/>
                <w:sz w:val="16"/>
                <w:szCs w:val="16"/>
                <w:color w:val="auto"/>
              </w:rPr>
              <w:t>3,806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87.39</w:t>
            </w:r>
          </w:p>
        </w:tc>
        <w:tc>
          <w:tcPr>
            <w:tcW w:w="10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2021 through June 30, 2021</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right="20" w:hanging="332"/>
        <w:spacing w:after="0" w:line="22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Shares repurchased represent shares transferred to us by certain employees who vested in restricted stock units and used shares to pay all, or a portion of, the related taxes.</w:t>
      </w:r>
    </w:p>
    <w:p>
      <w:pPr>
        <w:spacing w:after="0" w:line="1"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commissions.</w:t>
      </w:r>
    </w:p>
    <w:p>
      <w:pPr>
        <w:spacing w:after="0" w:line="2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2021 that was not reported.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52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5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Exhibit</w:t>
            </w:r>
          </w:p>
        </w:tc>
        <w:tc>
          <w:tcPr>
            <w:tcW w:w="9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9"/>
                <w:szCs w:val="19"/>
                <w:color w:val="auto"/>
              </w:rPr>
            </w:pPr>
          </w:p>
        </w:tc>
        <w:tc>
          <w:tcPr>
            <w:tcW w:w="98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9800" w:type="dxa"/>
            <w:vAlign w:val="bottom"/>
            <w:gridSpan w:val="2"/>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9800" w:type="dxa"/>
            <w:vAlign w:val="bottom"/>
            <w:gridSpan w:val="2"/>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9800" w:type="dxa"/>
            <w:vAlign w:val="bottom"/>
            <w:gridSpan w:val="2"/>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Pursuant to Section 906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440" w:right="20" w:hanging="939"/>
        <w:spacing w:after="0" w:line="232" w:lineRule="auto"/>
        <w:tabs>
          <w:tab w:leader="none" w:pos="1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following financial information from Itron, Inc.'s Quarterly Report on Form 10-Q for the quarter ended June 30, 2021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70" w:lineRule="exact"/>
        <w:rPr>
          <w:sz w:val="20"/>
          <w:szCs w:val="20"/>
          <w:color w:val="auto"/>
        </w:rPr>
      </w:pPr>
    </w:p>
    <w:p>
      <w:pPr>
        <w:ind w:left="1440" w:hanging="939"/>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Arial" w:cs="Arial" w:eastAsia="Arial" w:hAnsi="Arial"/>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August 5, 2021</w:t>
            </w:r>
          </w:p>
        </w:tc>
        <w:tc>
          <w:tcPr>
            <w:tcW w:w="1280" w:type="dxa"/>
            <w:vAlign w:val="bottom"/>
          </w:tcPr>
          <w:p>
            <w:pPr>
              <w:ind w:left="520"/>
              <w:spacing w:after="0"/>
              <w:rPr>
                <w:sz w:val="20"/>
                <w:szCs w:val="20"/>
                <w:color w:val="auto"/>
              </w:rPr>
            </w:pPr>
            <w:r>
              <w:rPr>
                <w:rFonts w:ascii="Arial" w:cs="Arial" w:eastAsia="Arial" w:hAnsi="Arial"/>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18"/>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2057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Thomas L. Deitrich</w:t>
      </w:r>
    </w:p>
    <w:p>
      <w:pPr>
        <w:jc w:val="center"/>
        <w:ind w:left="7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Joan S. Hooper</w:t>
      </w:r>
    </w:p>
    <w:p>
      <w:pPr>
        <w:jc w:val="center"/>
        <w:ind w:left="6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2021 (the Report) for the purpose of complying with Rule 13a-14(b) or Rule 15d-14(b) of the Securities Exchange Act of 1934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40" w:hanging="387"/>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right="740" w:hanging="407"/>
        <w:spacing w:after="0" w:line="277" w:lineRule="auto"/>
        <w:tabs>
          <w:tab w:leader="none" w:pos="8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/s/ THOMAS L. DEITRICH</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August 5, 2021</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34"/>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/s/ JOAN S. HOOPER</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August 5, 2021</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35"/>
        </w:trPr>
        <w:tc>
          <w:tcPr>
            <w:tcW w:w="602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91"/>
              </w:rPr>
              <w:t>Senior Vice President and Chief Financial Officer</w:t>
            </w: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020" w:type="dxa"/>
            <w:vAlign w:val="bottom"/>
            <w:gridSpan w:val="2"/>
            <w:vMerge w:val="continue"/>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2021-08-05T10:37:56Z</dcterms:created>
  <dcterms:modified xsi:type="dcterms:W3CDTF">2021-08-05T10:37:56Z</dcterms:modified>
</cp:coreProperties>
</file>