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3092450</wp:posOffset>
            </wp:positionH>
            <wp:positionV relativeFrom="paragraph">
              <wp:posOffset>81915</wp:posOffset>
            </wp:positionV>
            <wp:extent cx="10807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May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2603500</wp:posOffset>
            </wp:positionH>
            <wp:positionV relativeFrom="paragraph">
              <wp:posOffset>31115</wp:posOffset>
            </wp:positionV>
            <wp:extent cx="2126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27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ind w:left="3760"/>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ind w:left="3680"/>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ectPr>
          <w:pgSz w:w="11900" w:h="16838" w:orient="portrait"/>
          <w:cols w:equalWidth="0" w:num="1">
            <w:col w:w="11420"/>
          </w:cols>
          <w:pgMar w:left="240" w:top="693" w:right="239" w:bottom="1440" w:gutter="0" w:footer="0" w:header="0"/>
        </w:sectPr>
      </w:pPr>
    </w:p>
    <w:bookmarkStart w:id="1" w:name="page2"/>
    <w:bookmarkEnd w:id="1"/>
    <w:p>
      <w:pPr>
        <w:ind w:left="20"/>
        <w:spacing w:after="0"/>
        <w:tabs>
          <w:tab w:leader="none" w:pos="102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Itron, Inc. (the Company) held its 2012 Annual Meeting of Shareholders on May 4, 2012. Four proposals were voted upon at the annual meeting. The proposals are described in detail in the Company's proxy statement filed with the Securities and Exchange Commission on March 16, 2012. All of the proposals passed. The final results for the votes regarding each proposal are set forth below.</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Proposal One: The following nominees for Director were elected for three-year terms ending in 2015:</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3340" w:type="dxa"/>
            <w:vAlign w:val="bottom"/>
            <w:gridSpan w:val="2"/>
          </w:tcPr>
          <w:p>
            <w:pPr>
              <w:ind w:left="40"/>
              <w:spacing w:after="0"/>
              <w:rPr>
                <w:sz w:val="20"/>
                <w:szCs w:val="20"/>
                <w:color w:val="auto"/>
              </w:rPr>
            </w:pPr>
            <w:r>
              <w:rPr>
                <w:rFonts w:ascii="Arial" w:cs="Arial" w:eastAsia="Arial" w:hAnsi="Arial"/>
                <w:sz w:val="18"/>
                <w:szCs w:val="18"/>
                <w:b w:val="1"/>
                <w:bCs w:val="1"/>
                <w:color w:val="auto"/>
              </w:rPr>
              <w:t>NOMINEE</w:t>
            </w:r>
          </w:p>
        </w:tc>
        <w:tc>
          <w:tcPr>
            <w:tcW w:w="21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VOTES FOR</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rPr>
              <w:t>VOTES AGAINST</w:t>
            </w: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9"/>
              </w:rPr>
              <w:t>NON-VOTES</w:t>
            </w:r>
          </w:p>
        </w:tc>
      </w:tr>
      <w:tr>
        <w:trPr>
          <w:trHeight w:val="27"/>
        </w:trPr>
        <w:tc>
          <w:tcPr>
            <w:tcW w:w="32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37"/>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Kirby A. Dyess</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25,138,731</w:t>
            </w:r>
          </w:p>
        </w:tc>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3,109,989</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535,461</w:t>
            </w:r>
          </w:p>
        </w:tc>
        <w:tc>
          <w:tcPr>
            <w:tcW w:w="100" w:type="dxa"/>
            <w:vAlign w:val="bottom"/>
          </w:tcPr>
          <w:p>
            <w:pPr>
              <w:spacing w:after="0"/>
              <w:rPr>
                <w:sz w:val="20"/>
                <w:szCs w:val="20"/>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4,115,899</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LeRoy D. Nosbaum</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26,901,030</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1,349,519</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533,632</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4,115,899</w:t>
            </w:r>
          </w:p>
        </w:tc>
      </w:tr>
      <w:tr>
        <w:trPr>
          <w:trHeight w:val="270"/>
        </w:trPr>
        <w:tc>
          <w:tcPr>
            <w:tcW w:w="3340" w:type="dxa"/>
            <w:vAlign w:val="bottom"/>
            <w:gridSpan w:val="2"/>
          </w:tcPr>
          <w:p>
            <w:pPr>
              <w:ind w:left="40"/>
              <w:spacing w:after="0"/>
              <w:rPr>
                <w:sz w:val="20"/>
                <w:szCs w:val="20"/>
                <w:color w:val="auto"/>
              </w:rPr>
            </w:pPr>
            <w:r>
              <w:rPr>
                <w:rFonts w:ascii="Arial" w:cs="Arial" w:eastAsia="Arial" w:hAnsi="Arial"/>
                <w:sz w:val="18"/>
                <w:szCs w:val="18"/>
                <w:color w:val="auto"/>
              </w:rPr>
              <w:t>Graham M. Wilson</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24,195,172</w:t>
            </w:r>
          </w:p>
        </w:tc>
        <w:tc>
          <w:tcPr>
            <w:tcW w:w="120" w:type="dxa"/>
            <w:vAlign w:val="bottom"/>
          </w:tcPr>
          <w:p>
            <w:pPr>
              <w:spacing w:after="0"/>
              <w:rPr>
                <w:sz w:val="23"/>
                <w:szCs w:val="23"/>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4,052,373</w:t>
            </w:r>
          </w:p>
        </w:tc>
        <w:tc>
          <w:tcPr>
            <w:tcW w:w="1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536,636</w:t>
            </w:r>
          </w:p>
        </w:tc>
        <w:tc>
          <w:tcPr>
            <w:tcW w:w="100" w:type="dxa"/>
            <w:vAlign w:val="bottom"/>
          </w:tcPr>
          <w:p>
            <w:pPr>
              <w:spacing w:after="0"/>
              <w:rPr>
                <w:sz w:val="23"/>
                <w:szCs w:val="23"/>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4,115,899</w:t>
            </w:r>
          </w:p>
        </w:tc>
      </w:tr>
    </w:tbl>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40" w:type="dxa"/>
            <w:vAlign w:val="bottom"/>
            <w:gridSpan w:val="8"/>
          </w:tcPr>
          <w:p>
            <w:pPr>
              <w:spacing w:after="0"/>
              <w:rPr>
                <w:sz w:val="20"/>
                <w:szCs w:val="20"/>
                <w:color w:val="auto"/>
              </w:rPr>
            </w:pPr>
            <w:r>
              <w:rPr>
                <w:rFonts w:ascii="Arial" w:cs="Arial" w:eastAsia="Arial" w:hAnsi="Arial"/>
                <w:sz w:val="18"/>
                <w:szCs w:val="18"/>
                <w:color w:val="auto"/>
                <w:w w:val="95"/>
              </w:rPr>
              <w:t>Proposal Two: Approval of the advisory (non-binding) resolution on executive compensation.</w:t>
            </w:r>
          </w:p>
        </w:tc>
        <w:tc>
          <w:tcPr>
            <w:tcW w:w="1520" w:type="dxa"/>
            <w:vAlign w:val="bottom"/>
          </w:tcPr>
          <w:p>
            <w:pPr>
              <w:spacing w:after="0"/>
              <w:rPr>
                <w:sz w:val="20"/>
                <w:szCs w:val="20"/>
                <w:color w:val="auto"/>
              </w:rPr>
            </w:pPr>
          </w:p>
        </w:tc>
      </w:tr>
      <w:tr>
        <w:trPr>
          <w:trHeight w:val="360"/>
        </w:trPr>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1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VOTES AGAINST</w:t>
            </w:r>
          </w:p>
        </w:tc>
        <w:tc>
          <w:tcPr>
            <w:tcW w:w="2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ABSTENTIONS</w:t>
            </w: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880" w:type="dxa"/>
            <w:vAlign w:val="bottom"/>
            <w:gridSpan w:val="2"/>
          </w:tcPr>
          <w:p>
            <w:pPr>
              <w:jc w:val="center"/>
              <w:ind w:left="1030"/>
              <w:spacing w:after="0"/>
              <w:rPr>
                <w:sz w:val="20"/>
                <w:szCs w:val="20"/>
                <w:color w:val="auto"/>
              </w:rPr>
            </w:pPr>
            <w:r>
              <w:rPr>
                <w:rFonts w:ascii="Arial" w:cs="Arial" w:eastAsia="Arial" w:hAnsi="Arial"/>
                <w:sz w:val="18"/>
                <w:szCs w:val="18"/>
                <w:color w:val="auto"/>
                <w:w w:val="88"/>
              </w:rPr>
              <w:t>14,641,953</w:t>
            </w:r>
          </w:p>
        </w:tc>
        <w:tc>
          <w:tcPr>
            <w:tcW w:w="120" w:type="dxa"/>
            <w:vAlign w:val="bottom"/>
          </w:tcPr>
          <w:p>
            <w:pPr>
              <w:spacing w:after="0"/>
              <w:rPr>
                <w:sz w:val="20"/>
                <w:szCs w:val="20"/>
                <w:color w:val="auto"/>
              </w:rPr>
            </w:pPr>
          </w:p>
        </w:tc>
        <w:tc>
          <w:tcPr>
            <w:tcW w:w="1760" w:type="dxa"/>
            <w:vAlign w:val="bottom"/>
          </w:tcPr>
          <w:p>
            <w:pPr>
              <w:jc w:val="right"/>
              <w:ind w:right="390"/>
              <w:spacing w:after="0"/>
              <w:rPr>
                <w:sz w:val="20"/>
                <w:szCs w:val="20"/>
                <w:color w:val="auto"/>
              </w:rPr>
            </w:pPr>
            <w:r>
              <w:rPr>
                <w:rFonts w:ascii="Arial" w:cs="Arial" w:eastAsia="Arial" w:hAnsi="Arial"/>
                <w:sz w:val="18"/>
                <w:szCs w:val="18"/>
                <w:color w:val="auto"/>
              </w:rPr>
              <w:t>13,592,266</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549,962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color w:val="auto"/>
                <w:w w:val="89"/>
              </w:rPr>
              <w:t>4,115,899</w:t>
            </w:r>
          </w:p>
        </w:tc>
      </w:tr>
      <w:tr>
        <w:trPr>
          <w:trHeight w:val="459"/>
        </w:trPr>
        <w:tc>
          <w:tcPr>
            <w:tcW w:w="7040" w:type="dxa"/>
            <w:vAlign w:val="bottom"/>
            <w:gridSpan w:val="8"/>
          </w:tcPr>
          <w:p>
            <w:pPr>
              <w:spacing w:after="0"/>
              <w:rPr>
                <w:sz w:val="20"/>
                <w:szCs w:val="20"/>
                <w:color w:val="auto"/>
              </w:rPr>
            </w:pPr>
            <w:r>
              <w:rPr>
                <w:rFonts w:ascii="Arial" w:cs="Arial" w:eastAsia="Arial" w:hAnsi="Arial"/>
                <w:sz w:val="18"/>
                <w:szCs w:val="18"/>
                <w:color w:val="auto"/>
                <w:w w:val="91"/>
              </w:rPr>
              <w:t>Proposal Three: Approval of the adoption of the Itron, Inc. 2012 Employee Stock Purchase Plan.</w:t>
            </w:r>
          </w:p>
        </w:tc>
        <w:tc>
          <w:tcPr>
            <w:tcW w:w="1520" w:type="dxa"/>
            <w:vAlign w:val="bottom"/>
          </w:tcPr>
          <w:p>
            <w:pPr>
              <w:spacing w:after="0"/>
              <w:rPr>
                <w:sz w:val="24"/>
                <w:szCs w:val="24"/>
                <w:color w:val="auto"/>
              </w:rPr>
            </w:pPr>
          </w:p>
        </w:tc>
      </w:tr>
      <w:tr>
        <w:trPr>
          <w:trHeight w:val="360"/>
        </w:trPr>
        <w:tc>
          <w:tcPr>
            <w:tcW w:w="1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tcPr>
          <w:p>
            <w:pPr>
              <w:jc w:val="center"/>
              <w:ind w:right="210"/>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120" w:type="dxa"/>
            <w:vAlign w:val="bottom"/>
          </w:tcPr>
          <w:p>
            <w:pPr>
              <w:spacing w:after="0"/>
              <w:rPr>
                <w:sz w:val="20"/>
                <w:szCs w:val="20"/>
                <w:color w:val="auto"/>
              </w:rPr>
            </w:pP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VOTES AGAINST</w:t>
            </w:r>
          </w:p>
        </w:tc>
        <w:tc>
          <w:tcPr>
            <w:tcW w:w="2180" w:type="dxa"/>
            <w:vAlign w:val="bottom"/>
            <w:gridSpan w:val="3"/>
          </w:tcPr>
          <w:p>
            <w:pPr>
              <w:jc w:val="center"/>
              <w:ind w:right="380"/>
              <w:spacing w:after="0"/>
              <w:rPr>
                <w:sz w:val="20"/>
                <w:szCs w:val="20"/>
                <w:color w:val="auto"/>
              </w:rPr>
            </w:pPr>
            <w:r>
              <w:rPr>
                <w:rFonts w:ascii="Arial" w:cs="Arial" w:eastAsia="Arial" w:hAnsi="Arial"/>
                <w:sz w:val="18"/>
                <w:szCs w:val="18"/>
                <w:b w:val="1"/>
                <w:bCs w:val="1"/>
                <w:color w:val="auto"/>
                <w:w w:val="99"/>
              </w:rPr>
              <w:t>ABSTENTIONS</w:t>
            </w:r>
          </w:p>
        </w:tc>
        <w:tc>
          <w:tcPr>
            <w:tcW w:w="1520" w:type="dxa"/>
            <w:vAlign w:val="bottom"/>
          </w:tcPr>
          <w:p>
            <w:pPr>
              <w:jc w:val="center"/>
              <w:ind w:right="190"/>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7"/>
        </w:trPr>
        <w:tc>
          <w:tcPr>
            <w:tcW w:w="2880" w:type="dxa"/>
            <w:vAlign w:val="bottom"/>
            <w:gridSpan w:val="2"/>
          </w:tcPr>
          <w:p>
            <w:pPr>
              <w:jc w:val="center"/>
              <w:ind w:left="1030"/>
              <w:spacing w:after="0"/>
              <w:rPr>
                <w:sz w:val="20"/>
                <w:szCs w:val="20"/>
                <w:color w:val="auto"/>
              </w:rPr>
            </w:pPr>
            <w:r>
              <w:rPr>
                <w:rFonts w:ascii="Arial" w:cs="Arial" w:eastAsia="Arial" w:hAnsi="Arial"/>
                <w:sz w:val="18"/>
                <w:szCs w:val="18"/>
                <w:color w:val="auto"/>
                <w:w w:val="88"/>
              </w:rPr>
              <w:t>27,781,890</w:t>
            </w:r>
          </w:p>
        </w:tc>
        <w:tc>
          <w:tcPr>
            <w:tcW w:w="12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193,454</w:t>
            </w:r>
          </w:p>
        </w:tc>
        <w:tc>
          <w:tcPr>
            <w:tcW w:w="10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8"/>
                <w:szCs w:val="18"/>
                <w:color w:val="auto"/>
                <w:w w:val="92"/>
              </w:rPr>
              <w:t>808,837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20" w:type="dxa"/>
            <w:vAlign w:val="bottom"/>
          </w:tcPr>
          <w:p>
            <w:pPr>
              <w:jc w:val="center"/>
              <w:ind w:right="190"/>
              <w:spacing w:after="0"/>
              <w:rPr>
                <w:sz w:val="20"/>
                <w:szCs w:val="20"/>
                <w:color w:val="auto"/>
              </w:rPr>
            </w:pPr>
            <w:r>
              <w:rPr>
                <w:rFonts w:ascii="Arial" w:cs="Arial" w:eastAsia="Arial" w:hAnsi="Arial"/>
                <w:sz w:val="18"/>
                <w:szCs w:val="18"/>
                <w:color w:val="auto"/>
                <w:w w:val="89"/>
              </w:rPr>
              <w:t>4,115,899</w:t>
            </w:r>
          </w:p>
        </w:tc>
      </w:tr>
    </w:tbl>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Proposal Four: Ratification of the appointment of Ernst &amp; Young LLP as the Company's independent registered public accounting firm for the 2012 fiscal year.</w:t>
      </w:r>
    </w:p>
    <w:p>
      <w:pPr>
        <w:spacing w:after="0" w:line="11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1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r>
      <w:tr>
        <w:trPr>
          <w:trHeight w:val="234"/>
        </w:trPr>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FOR</w:t>
            </w:r>
          </w:p>
        </w:tc>
        <w:tc>
          <w:tcPr>
            <w:tcW w:w="1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VOTES AGAINST</w:t>
            </w:r>
          </w:p>
        </w:tc>
        <w:tc>
          <w:tcPr>
            <w:tcW w:w="19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ABSTENTIONS</w:t>
            </w: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NON-VOTES</w:t>
            </w:r>
          </w:p>
        </w:tc>
      </w:tr>
      <w:tr>
        <w:trPr>
          <w:trHeight w:val="27"/>
        </w:trPr>
        <w:tc>
          <w:tcPr>
            <w:tcW w:w="1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37"/>
        </w:trPr>
        <w:tc>
          <w:tcPr>
            <w:tcW w:w="1760" w:type="dxa"/>
            <w:vAlign w:val="bottom"/>
          </w:tcPr>
          <w:p>
            <w:pPr>
              <w:jc w:val="right"/>
              <w:ind w:right="390"/>
              <w:spacing w:after="0"/>
              <w:rPr>
                <w:sz w:val="20"/>
                <w:szCs w:val="20"/>
                <w:color w:val="auto"/>
              </w:rPr>
            </w:pPr>
            <w:r>
              <w:rPr>
                <w:rFonts w:ascii="Arial" w:cs="Arial" w:eastAsia="Arial" w:hAnsi="Arial"/>
                <w:sz w:val="18"/>
                <w:szCs w:val="18"/>
                <w:color w:val="auto"/>
              </w:rPr>
              <w:t>32,246,039</w:t>
            </w:r>
          </w:p>
        </w:tc>
        <w:tc>
          <w:tcPr>
            <w:tcW w:w="120" w:type="dxa"/>
            <w:vAlign w:val="bottom"/>
          </w:tcPr>
          <w:p>
            <w:pPr>
              <w:spacing w:after="0"/>
              <w:rPr>
                <w:sz w:val="20"/>
                <w:szCs w:val="20"/>
                <w:color w:val="auto"/>
              </w:rPr>
            </w:pPr>
          </w:p>
        </w:tc>
        <w:tc>
          <w:tcPr>
            <w:tcW w:w="1760" w:type="dxa"/>
            <w:vAlign w:val="bottom"/>
          </w:tcPr>
          <w:p>
            <w:pPr>
              <w:jc w:val="right"/>
              <w:ind w:right="510"/>
              <w:spacing w:after="0"/>
              <w:rPr>
                <w:sz w:val="20"/>
                <w:szCs w:val="20"/>
                <w:color w:val="auto"/>
              </w:rPr>
            </w:pPr>
            <w:r>
              <w:rPr>
                <w:rFonts w:ascii="Arial" w:cs="Arial" w:eastAsia="Arial" w:hAnsi="Arial"/>
                <w:sz w:val="18"/>
                <w:szCs w:val="18"/>
                <w:color w:val="auto"/>
              </w:rPr>
              <w:t>138,790</w:t>
            </w:r>
          </w:p>
        </w:tc>
        <w:tc>
          <w:tcPr>
            <w:tcW w:w="100" w:type="dxa"/>
            <w:vAlign w:val="bottom"/>
          </w:tcPr>
          <w:p>
            <w:pPr>
              <w:spacing w:after="0"/>
              <w:rPr>
                <w:sz w:val="20"/>
                <w:szCs w:val="20"/>
                <w:color w:val="auto"/>
              </w:rPr>
            </w:pPr>
          </w:p>
        </w:tc>
        <w:tc>
          <w:tcPr>
            <w:tcW w:w="1800" w:type="dxa"/>
            <w:vAlign w:val="bottom"/>
          </w:tcPr>
          <w:p>
            <w:pPr>
              <w:jc w:val="right"/>
              <w:ind w:right="510"/>
              <w:spacing w:after="0"/>
              <w:rPr>
                <w:sz w:val="20"/>
                <w:szCs w:val="20"/>
                <w:color w:val="auto"/>
              </w:rPr>
            </w:pPr>
            <w:r>
              <w:rPr>
                <w:rFonts w:ascii="Arial" w:cs="Arial" w:eastAsia="Arial" w:hAnsi="Arial"/>
                <w:sz w:val="18"/>
                <w:szCs w:val="18"/>
                <w:color w:val="auto"/>
              </w:rPr>
              <w:t>515,251</w:t>
            </w:r>
          </w:p>
        </w:tc>
        <w:tc>
          <w:tcPr>
            <w:tcW w:w="12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ectPr>
          <w:pgSz w:w="11900" w:h="16838" w:orient="portrait"/>
          <w:cols w:equalWidth="0" w:num="1">
            <w:col w:w="11420"/>
          </w:cols>
          <w:pgMar w:left="240" w:top="1242"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7"/>
              </w:rPr>
              <w:t>ITRON, INC.</w:t>
            </w:r>
          </w:p>
        </w:tc>
      </w:tr>
      <w:tr>
        <w:trPr>
          <w:trHeight w:val="594"/>
        </w:trPr>
        <w:tc>
          <w:tcPr>
            <w:tcW w:w="3940" w:type="dxa"/>
            <w:vAlign w:val="bottom"/>
          </w:tcPr>
          <w:p>
            <w:pPr>
              <w:ind w:left="3340"/>
              <w:spacing w:after="0"/>
              <w:rPr>
                <w:sz w:val="20"/>
                <w:szCs w:val="20"/>
                <w:color w:val="auto"/>
              </w:rPr>
            </w:pPr>
            <w:r>
              <w:rPr>
                <w:rFonts w:ascii="Arial" w:cs="Arial" w:eastAsia="Arial" w:hAnsi="Arial"/>
                <w:sz w:val="18"/>
                <w:szCs w:val="18"/>
                <w:color w:val="auto"/>
              </w:rPr>
              <w:t>By:</w:t>
            </w:r>
          </w:p>
        </w:tc>
        <w:tc>
          <w:tcPr>
            <w:tcW w:w="5260" w:type="dxa"/>
            <w:vAlign w:val="bottom"/>
          </w:tcPr>
          <w:p>
            <w:pPr>
              <w:jc w:val="center"/>
              <w:spacing w:after="0"/>
              <w:rPr>
                <w:sz w:val="20"/>
                <w:szCs w:val="20"/>
                <w:color w:val="auto"/>
              </w:rPr>
            </w:pPr>
            <w:r>
              <w:rPr>
                <w:rFonts w:ascii="Arial" w:cs="Arial" w:eastAsia="Arial" w:hAnsi="Arial"/>
                <w:sz w:val="18"/>
                <w:szCs w:val="18"/>
                <w:color w:val="auto"/>
                <w:w w:val="96"/>
              </w:rPr>
              <w:t>/s/ STEVEN M. HELMBRECHT</w:t>
            </w:r>
          </w:p>
        </w:tc>
      </w:tr>
      <w:tr>
        <w:trPr>
          <w:trHeight w:val="27"/>
        </w:trPr>
        <w:tc>
          <w:tcPr>
            <w:tcW w:w="3940" w:type="dxa"/>
            <w:vAlign w:val="bottom"/>
          </w:tcPr>
          <w:p>
            <w:pPr>
              <w:spacing w:after="0"/>
              <w:rPr>
                <w:sz w:val="2"/>
                <w:szCs w:val="2"/>
                <w:color w:val="auto"/>
              </w:rPr>
            </w:pPr>
          </w:p>
        </w:tc>
        <w:tc>
          <w:tcPr>
            <w:tcW w:w="5260" w:type="dxa"/>
            <w:vAlign w:val="bottom"/>
            <w:tcBorders>
              <w:bottom w:val="single" w:sz="8" w:color="auto"/>
            </w:tcBorders>
          </w:tcPr>
          <w:p>
            <w:pPr>
              <w:spacing w:after="0"/>
              <w:rPr>
                <w:sz w:val="2"/>
                <w:szCs w:val="2"/>
                <w:color w:val="auto"/>
              </w:rPr>
            </w:pPr>
          </w:p>
        </w:tc>
      </w:tr>
      <w:tr>
        <w:trPr>
          <w:trHeight w:val="237"/>
        </w:trPr>
        <w:tc>
          <w:tcPr>
            <w:tcW w:w="3940" w:type="dxa"/>
            <w:vAlign w:val="bottom"/>
          </w:tcPr>
          <w:p>
            <w:pPr>
              <w:spacing w:after="0"/>
              <w:rPr>
                <w:sz w:val="20"/>
                <w:szCs w:val="20"/>
                <w:color w:val="auto"/>
              </w:rPr>
            </w:pPr>
            <w:r>
              <w:rPr>
                <w:rFonts w:ascii="Arial" w:cs="Arial" w:eastAsia="Arial" w:hAnsi="Arial"/>
                <w:sz w:val="18"/>
                <w:szCs w:val="18"/>
                <w:color w:val="auto"/>
              </w:rPr>
              <w:t>Dated: May 4, 2012</w:t>
            </w:r>
          </w:p>
        </w:tc>
        <w:tc>
          <w:tcPr>
            <w:tcW w:w="5260" w:type="dxa"/>
            <w:vAlign w:val="bottom"/>
          </w:tcPr>
          <w:p>
            <w:pPr>
              <w:jc w:val="center"/>
              <w:spacing w:after="0"/>
              <w:rPr>
                <w:sz w:val="20"/>
                <w:szCs w:val="20"/>
                <w:color w:val="auto"/>
              </w:rPr>
            </w:pPr>
            <w:r>
              <w:rPr>
                <w:rFonts w:ascii="Arial" w:cs="Arial" w:eastAsia="Arial" w:hAnsi="Arial"/>
                <w:sz w:val="18"/>
                <w:szCs w:val="18"/>
                <w:color w:val="auto"/>
                <w:w w:val="90"/>
              </w:rPr>
              <w:t>Steven M. Helmbrecht</w:t>
            </w:r>
          </w:p>
        </w:tc>
      </w:tr>
      <w:tr>
        <w:trPr>
          <w:trHeight w:val="270"/>
        </w:trPr>
        <w:tc>
          <w:tcPr>
            <w:tcW w:w="3940" w:type="dxa"/>
            <w:vAlign w:val="bottom"/>
          </w:tcPr>
          <w:p>
            <w:pPr>
              <w:spacing w:after="0"/>
              <w:rPr>
                <w:sz w:val="23"/>
                <w:szCs w:val="23"/>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1"/>
              </w:rPr>
              <w:t>Sr. Vice President and Chief Financial Officer</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2019-12-09T09:23:33Z</dcterms:created>
  <dcterms:modified xsi:type="dcterms:W3CDTF">2019-12-09T09:23:33Z</dcterms:modified>
</cp:coreProperties>
</file>