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p>
    <w:p>
      <w:pPr>
        <w:jc w:val="center"/>
        <w:ind w:right="2695"/>
        <w:spacing w:after="0"/>
        <w:rPr>
          <w:sz w:val="20"/>
          <w:szCs w:val="20"/>
          <w:color w:val="auto"/>
        </w:rPr>
      </w:pPr>
      <w:r>
        <w:rPr>
          <w:rFonts w:ascii="Courier New" w:cs="Courier New" w:eastAsia="Courier New" w:hAnsi="Courier New"/>
          <w:sz w:val="16"/>
          <w:szCs w:val="16"/>
          <w:color w:val="auto"/>
        </w:rPr>
        <w:t>UNITED STATES</w:t>
      </w:r>
    </w:p>
    <w:p>
      <w:pPr>
        <w:jc w:val="center"/>
        <w:ind w:right="2775"/>
        <w:spacing w:after="0" w:line="236" w:lineRule="auto"/>
        <w:rPr>
          <w:sz w:val="20"/>
          <w:szCs w:val="20"/>
          <w:color w:val="auto"/>
        </w:rPr>
      </w:pPr>
      <w:r>
        <w:rPr>
          <w:rFonts w:ascii="Courier New" w:cs="Courier New" w:eastAsia="Courier New" w:hAnsi="Courier New"/>
          <w:sz w:val="16"/>
          <w:szCs w:val="16"/>
          <w:color w:val="auto"/>
        </w:rPr>
        <w:t>SECURITIES AND EXCHANGE COMMISSION</w:t>
      </w:r>
    </w:p>
    <w:p>
      <w:pPr>
        <w:jc w:val="center"/>
        <w:ind w:right="2775"/>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362" w:lineRule="exact"/>
        <w:rPr>
          <w:sz w:val="24"/>
          <w:szCs w:val="24"/>
          <w:color w:val="auto"/>
        </w:rPr>
      </w:pPr>
    </w:p>
    <w:p>
      <w:pPr>
        <w:ind w:left="18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FORM 8-K</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CURRENT REPORT</w:t>
      </w:r>
    </w:p>
    <w:p>
      <w:pPr>
        <w:jc w:val="center"/>
        <w:ind w:right="2775"/>
        <w:spacing w:after="0" w:line="236" w:lineRule="auto"/>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177" w:lineRule="exact"/>
        <w:rPr>
          <w:sz w:val="24"/>
          <w:szCs w:val="24"/>
          <w:color w:val="auto"/>
        </w:rPr>
      </w:pPr>
    </w:p>
    <w:p>
      <w:pPr>
        <w:jc w:val="center"/>
        <w:ind w:right="2695"/>
        <w:spacing w:after="0"/>
        <w:rPr>
          <w:sz w:val="20"/>
          <w:szCs w:val="20"/>
          <w:color w:val="auto"/>
        </w:rPr>
      </w:pPr>
      <w:r>
        <w:rPr>
          <w:rFonts w:ascii="Courier New" w:cs="Courier New" w:eastAsia="Courier New" w:hAnsi="Courier New"/>
          <w:sz w:val="16"/>
          <w:szCs w:val="16"/>
          <w:color w:val="auto"/>
        </w:rPr>
        <w:t>July 19, 2004</w:t>
      </w:r>
    </w:p>
    <w:p>
      <w:pPr>
        <w:ind w:left="1945"/>
        <w:spacing w:after="0" w:line="236" w:lineRule="auto"/>
        <w:rPr>
          <w:sz w:val="20"/>
          <w:szCs w:val="20"/>
          <w:color w:val="auto"/>
        </w:rPr>
      </w:pPr>
      <w:r>
        <w:rPr>
          <w:rFonts w:ascii="Courier New" w:cs="Courier New" w:eastAsia="Courier New" w:hAnsi="Courier New"/>
          <w:sz w:val="16"/>
          <w:szCs w:val="16"/>
          <w:color w:val="auto"/>
        </w:rPr>
        <w:t>--------------------------------------</w:t>
      </w:r>
    </w:p>
    <w:p>
      <w:pPr>
        <w:ind w:left="2985"/>
        <w:spacing w:after="0" w:line="237" w:lineRule="auto"/>
        <w:rPr>
          <w:sz w:val="20"/>
          <w:szCs w:val="20"/>
          <w:color w:val="auto"/>
        </w:rPr>
      </w:pPr>
      <w:r>
        <w:rPr>
          <w:rFonts w:ascii="Courier New" w:cs="Courier New" w:eastAsia="Courier New" w:hAnsi="Courier New"/>
          <w:sz w:val="16"/>
          <w:szCs w:val="16"/>
          <w:color w:val="auto"/>
        </w:rPr>
        <w:t>(Date of Report)</w:t>
      </w:r>
    </w:p>
    <w:p>
      <w:pPr>
        <w:spacing w:after="0" w:line="177" w:lineRule="exact"/>
        <w:rPr>
          <w:sz w:val="24"/>
          <w:szCs w:val="24"/>
          <w:color w:val="auto"/>
        </w:rPr>
      </w:pPr>
    </w:p>
    <w:p>
      <w:pPr>
        <w:jc w:val="center"/>
        <w:ind w:right="2695"/>
        <w:spacing w:after="0"/>
        <w:rPr>
          <w:sz w:val="20"/>
          <w:szCs w:val="20"/>
          <w:color w:val="auto"/>
        </w:rPr>
      </w:pPr>
      <w:r>
        <w:rPr>
          <w:rFonts w:ascii="Courier New" w:cs="Courier New" w:eastAsia="Courier New" w:hAnsi="Courier New"/>
          <w:sz w:val="16"/>
          <w:szCs w:val="16"/>
          <w:color w:val="auto"/>
        </w:rPr>
        <w:t>ITRON, INC.</w:t>
      </w:r>
    </w:p>
    <w:p>
      <w:pPr>
        <w:spacing w:after="0" w:line="4" w:lineRule="exact"/>
        <w:rPr>
          <w:sz w:val="24"/>
          <w:szCs w:val="24"/>
          <w:color w:val="auto"/>
        </w:rPr>
      </w:pPr>
    </w:p>
    <w:p>
      <w:pPr>
        <w:ind w:left="465"/>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ind w:left="1405"/>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68" w:orient="portrait"/>
          <w:cols w:equalWidth="0" w:num="1">
            <w:col w:w="10224"/>
          </w:cols>
          <w:pgMar w:left="235" w:top="231" w:right="1440" w:bottom="0" w:gutter="0" w:footer="0" w:header="0"/>
        </w:sectPr>
      </w:pPr>
    </w:p>
    <w:p>
      <w:pPr>
        <w:spacing w:after="0" w:line="355" w:lineRule="exact"/>
        <w:rPr>
          <w:sz w:val="24"/>
          <w:szCs w:val="24"/>
          <w:color w:val="auto"/>
        </w:rPr>
      </w:pPr>
    </w:p>
    <w:p>
      <w:pPr>
        <w:ind w:left="745"/>
        <w:spacing w:after="0"/>
        <w:rPr>
          <w:sz w:val="20"/>
          <w:szCs w:val="20"/>
          <w:color w:val="auto"/>
        </w:rPr>
      </w:pPr>
      <w:r>
        <w:rPr>
          <w:rFonts w:ascii="Courier New" w:cs="Courier New" w:eastAsia="Courier New" w:hAnsi="Courier New"/>
          <w:sz w:val="16"/>
          <w:szCs w:val="16"/>
          <w:color w:val="auto"/>
        </w:rPr>
        <w:t>Washington</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(State or Other Jurisdiction</w:t>
      </w:r>
    </w:p>
    <w:p>
      <w:pPr>
        <w:ind w:left="365"/>
        <w:spacing w:after="0" w:line="236" w:lineRule="auto"/>
        <w:rPr>
          <w:sz w:val="20"/>
          <w:szCs w:val="20"/>
          <w:color w:val="auto"/>
        </w:rPr>
      </w:pPr>
      <w:r>
        <w:rPr>
          <w:rFonts w:ascii="Courier New" w:cs="Courier New" w:eastAsia="Courier New" w:hAnsi="Courier New"/>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000-22418</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ind w:left="360"/>
        <w:spacing w:after="0"/>
        <w:rPr>
          <w:sz w:val="20"/>
          <w:szCs w:val="20"/>
          <w:color w:val="auto"/>
        </w:rPr>
      </w:pPr>
      <w:r>
        <w:rPr>
          <w:rFonts w:ascii="Courier New" w:cs="Courier New" w:eastAsia="Courier New" w:hAnsi="Courier New"/>
          <w:sz w:val="16"/>
          <w:szCs w:val="16"/>
          <w:color w:val="auto"/>
        </w:rPr>
        <w:t>91-1011792</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ind w:left="360"/>
        <w:spacing w:after="0"/>
        <w:rPr>
          <w:sz w:val="20"/>
          <w:szCs w:val="20"/>
          <w:color w:val="auto"/>
        </w:rPr>
      </w:pPr>
      <w:r>
        <w:rPr>
          <w:rFonts w:ascii="Courier New" w:cs="Courier New" w:eastAsia="Courier New" w:hAnsi="Courier New"/>
          <w:sz w:val="16"/>
          <w:szCs w:val="16"/>
          <w:color w:val="auto"/>
        </w:rPr>
        <w:t>(IRS Employer</w:t>
      </w:r>
    </w:p>
    <w:p>
      <w:pPr>
        <w:spacing w:after="0" w:line="236" w:lineRule="auto"/>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68" w:orient="portrait"/>
          <w:cols w:equalWidth="0" w:num="3">
            <w:col w:w="2985" w:space="80"/>
            <w:col w:w="2140" w:space="380"/>
            <w:col w:w="4639"/>
          </w:cols>
          <w:pgMar w:left="235" w:top="231" w:right="1440" w:bottom="0" w:gutter="0" w:footer="0" w:header="0"/>
          <w:type w:val="continuous"/>
        </w:sectPr>
      </w:pPr>
    </w:p>
    <w:p>
      <w:pPr>
        <w:spacing w:after="0" w:line="156" w:lineRule="exact"/>
        <w:rPr>
          <w:sz w:val="24"/>
          <w:szCs w:val="24"/>
          <w:color w:val="auto"/>
        </w:rPr>
      </w:pPr>
    </w:p>
    <w:p>
      <w:pPr>
        <w:ind w:left="1665"/>
        <w:spacing w:after="0"/>
        <w:rPr>
          <w:sz w:val="20"/>
          <w:szCs w:val="20"/>
          <w:color w:val="auto"/>
        </w:rPr>
      </w:pPr>
      <w:r>
        <w:rPr>
          <w:rFonts w:ascii="Courier New" w:cs="Courier New" w:eastAsia="Courier New" w:hAnsi="Courier New"/>
          <w:sz w:val="16"/>
          <w:szCs w:val="16"/>
          <w:color w:val="auto"/>
        </w:rPr>
        <w:t>2818 N. Sullivan Road, Spokane, WA 99216-1897</w:t>
      </w:r>
    </w:p>
    <w:p>
      <w:pPr>
        <w:spacing w:after="0" w:line="4" w:lineRule="exact"/>
        <w:rPr>
          <w:sz w:val="24"/>
          <w:szCs w:val="24"/>
          <w:color w:val="auto"/>
        </w:rPr>
      </w:pPr>
    </w:p>
    <w:p>
      <w:pPr>
        <w:ind w:left="185" w:hanging="185"/>
        <w:spacing w:after="0"/>
        <w:tabs>
          <w:tab w:leader="none" w:pos="18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9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(Address of Principal Executive Offices, including Zip Code)</w:t>
      </w:r>
    </w:p>
    <w:p>
      <w:pPr>
        <w:spacing w:after="0" w:line="177" w:lineRule="exact"/>
        <w:rPr>
          <w:rFonts w:ascii="Courier New" w:cs="Courier New" w:eastAsia="Courier New" w:hAnsi="Courier New"/>
          <w:sz w:val="14"/>
          <w:szCs w:val="14"/>
          <w:color w:val="auto"/>
        </w:rPr>
      </w:pPr>
    </w:p>
    <w:p>
      <w:pPr>
        <w:ind w:left="3625" w:hanging="555"/>
        <w:spacing w:after="0"/>
        <w:tabs>
          <w:tab w:leader="none" w:pos="3625"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924-9900</w:t>
      </w:r>
    </w:p>
    <w:p>
      <w:pPr>
        <w:spacing w:after="0" w:line="3"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130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(Registrant's Telephone Number, Including Area Code)</w:t>
      </w:r>
    </w:p>
    <w:p>
      <w:pPr>
        <w:spacing w:after="0" w:line="177" w:lineRule="exact"/>
        <w:rPr>
          <w:sz w:val="24"/>
          <w:szCs w:val="24"/>
          <w:color w:val="auto"/>
        </w:rPr>
      </w:pPr>
    </w:p>
    <w:p>
      <w:pPr>
        <w:ind w:left="3545"/>
        <w:spacing w:after="0"/>
        <w:rPr>
          <w:sz w:val="20"/>
          <w:szCs w:val="20"/>
          <w:color w:val="auto"/>
        </w:rPr>
      </w:pPr>
      <w:r>
        <w:rPr>
          <w:rFonts w:ascii="Courier New" w:cs="Courier New" w:eastAsia="Courier New" w:hAnsi="Courier New"/>
          <w:sz w:val="16"/>
          <w:szCs w:val="16"/>
          <w:color w:val="auto"/>
        </w:rPr>
        <w:t>None</w:t>
      </w:r>
    </w:p>
    <w:p>
      <w:pPr>
        <w:spacing w:after="0" w:line="4" w:lineRule="exact"/>
        <w:rPr>
          <w:sz w:val="24"/>
          <w:szCs w:val="24"/>
          <w:color w:val="auto"/>
        </w:rPr>
      </w:pPr>
    </w:p>
    <w:p>
      <w:pPr>
        <w:ind w:left="185" w:hanging="185"/>
        <w:spacing w:after="0"/>
        <w:tabs>
          <w:tab w:leader="none" w:pos="18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6" w:lineRule="exact"/>
        <w:rPr>
          <w:rFonts w:ascii="Courier New" w:cs="Courier New" w:eastAsia="Courier New" w:hAnsi="Courier New"/>
          <w:sz w:val="14"/>
          <w:szCs w:val="14"/>
          <w:color w:val="auto"/>
        </w:rPr>
      </w:pPr>
    </w:p>
    <w:p>
      <w:pPr>
        <w:ind w:left="9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ITEM 5. OTHER EVENTS AND REGULATION FD DISCLOSURE.</w:t>
      </w:r>
    </w:p>
    <w:p>
      <w:pPr>
        <w:spacing w:after="0" w:line="183" w:lineRule="exact"/>
        <w:rPr>
          <w:sz w:val="24"/>
          <w:szCs w:val="24"/>
          <w:color w:val="auto"/>
        </w:rPr>
      </w:pPr>
    </w:p>
    <w:p>
      <w:pPr>
        <w:jc w:val="both"/>
        <w:ind w:left="5" w:right="2779"/>
        <w:spacing w:after="0" w:line="279" w:lineRule="auto"/>
        <w:rPr>
          <w:sz w:val="20"/>
          <w:szCs w:val="20"/>
          <w:color w:val="auto"/>
        </w:rPr>
      </w:pPr>
      <w:r>
        <w:rPr>
          <w:rFonts w:ascii="Courier New" w:cs="Courier New" w:eastAsia="Courier New" w:hAnsi="Courier New"/>
          <w:sz w:val="14"/>
          <w:szCs w:val="14"/>
          <w:color w:val="auto"/>
        </w:rPr>
        <w:t>In January 2004, we began to implement an organizational change that resulted in a change in our segment reporting from five market facing business units (Electric, Natural Gas, Water &amp; Public Power, International and End User Solutions) to two operating groups (Hardware Solutions and Software Solutions).</w:t>
      </w:r>
    </w:p>
    <w:p>
      <w:pPr>
        <w:spacing w:after="0" w:line="157" w:lineRule="exact"/>
        <w:rPr>
          <w:sz w:val="24"/>
          <w:szCs w:val="24"/>
          <w:color w:val="auto"/>
        </w:rPr>
      </w:pPr>
    </w:p>
    <w:p>
      <w:pPr>
        <w:jc w:val="both"/>
        <w:ind w:left="5" w:right="2779"/>
        <w:spacing w:after="0" w:line="273" w:lineRule="auto"/>
        <w:rPr>
          <w:sz w:val="20"/>
          <w:szCs w:val="20"/>
          <w:color w:val="auto"/>
        </w:rPr>
      </w:pPr>
      <w:r>
        <w:rPr>
          <w:rFonts w:ascii="Courier New" w:cs="Courier New" w:eastAsia="Courier New" w:hAnsi="Courier New"/>
          <w:sz w:val="14"/>
          <w:szCs w:val="14"/>
          <w:color w:val="auto"/>
        </w:rPr>
        <w:t>Management has three primary measures for each of the operating groups: revenue, gross margin and operating income. Revenues for each operating group are according to product lines. There are no inter-operating group revenues. Within each operating group, costs of sales are based on standard costs, which include materials, direct labor and an overhead allocation based on projected production for the year. Variances from standard cost are also included in each operating group. Service related costs of sales are based on actual time and materials incurred, warranty expense and an allocation of miscellaneous service related costs. Operating expenses directly associated with each operating group may include sales, marketing, product development or administrative expenses.</w:t>
      </w:r>
    </w:p>
    <w:p>
      <w:pPr>
        <w:spacing w:after="0" w:line="164" w:lineRule="exact"/>
        <w:rPr>
          <w:sz w:val="24"/>
          <w:szCs w:val="24"/>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Corporate operating expenses, interest revenue, interest expense, equity in the income of investees accounted for under the equity method, amortization expense and income tax expense are not allocated to the operating groups, nor included in segment profit or loss for management purposes. Assets and liabilities are not allocated to the operating groups. Approximately 50% of depreciation expense is allocated to the operating groups.</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OPERATING SEGMENT PRODUCTS AND SERVICES</w:t>
      </w:r>
    </w:p>
    <w:p>
      <w:pPr>
        <w:spacing w:after="0" w:line="177" w:lineRule="exact"/>
        <w:rPr>
          <w:sz w:val="24"/>
          <w:szCs w:val="24"/>
          <w:color w:val="auto"/>
        </w:rPr>
      </w:pPr>
    </w:p>
    <w:tbl>
      <w:tblPr>
        <w:tblLayout w:type="fixed"/>
        <w:tblInd w:w="5" w:type="dxa"/>
        <w:tblCellMar>
          <w:top w:w="0" w:type="dxa"/>
          <w:left w:w="0" w:type="dxa"/>
          <w:bottom w:w="0" w:type="dxa"/>
          <w:right w:w="0" w:type="dxa"/>
        </w:tblCellMar>
      </w:tblPr>
      <w:tr>
        <w:trPr>
          <w:trHeight w:val="181"/>
        </w:trPr>
        <w:tc>
          <w:tcPr>
            <w:tcW w:w="2780" w:type="dxa"/>
            <w:vAlign w:val="bottom"/>
          </w:tcPr>
          <w:p>
            <w:pPr>
              <w:spacing w:after="0"/>
              <w:rPr>
                <w:sz w:val="20"/>
                <w:szCs w:val="20"/>
                <w:color w:val="auto"/>
              </w:rPr>
            </w:pPr>
            <w:r>
              <w:rPr>
                <w:rFonts w:ascii="Courier New" w:cs="Courier New" w:eastAsia="Courier New" w:hAnsi="Courier New"/>
                <w:sz w:val="16"/>
                <w:szCs w:val="16"/>
                <w:color w:val="auto"/>
              </w:rPr>
              <w:t>OPERATING SEGMENT</w:t>
            </w:r>
          </w:p>
        </w:tc>
        <w:tc>
          <w:tcPr>
            <w:tcW w:w="3260" w:type="dxa"/>
            <w:vAlign w:val="bottom"/>
            <w:gridSpan w:val="5"/>
          </w:tcPr>
          <w:p>
            <w:pPr>
              <w:ind w:left="560"/>
              <w:spacing w:after="0"/>
              <w:rPr>
                <w:sz w:val="20"/>
                <w:szCs w:val="20"/>
                <w:color w:val="auto"/>
              </w:rPr>
            </w:pPr>
            <w:r>
              <w:rPr>
                <w:rFonts w:ascii="Courier New" w:cs="Courier New" w:eastAsia="Courier New" w:hAnsi="Courier New"/>
                <w:sz w:val="16"/>
                <w:szCs w:val="16"/>
                <w:color w:val="auto"/>
              </w:rPr>
              <w:t>MAJOR PRODUCTS AND SERVICES</w:t>
            </w: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4840" w:type="dxa"/>
            <w:vAlign w:val="bottom"/>
            <w:gridSpan w:val="8"/>
          </w:tcPr>
          <w:p>
            <w:pPr>
              <w:ind w:left="760"/>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179"/>
        </w:trPr>
        <w:tc>
          <w:tcPr>
            <w:tcW w:w="2780" w:type="dxa"/>
            <w:vAlign w:val="bottom"/>
          </w:tcPr>
          <w:p>
            <w:pPr>
              <w:spacing w:after="0" w:line="179" w:lineRule="exact"/>
              <w:rPr>
                <w:sz w:val="20"/>
                <w:szCs w:val="20"/>
                <w:color w:val="auto"/>
              </w:rPr>
            </w:pPr>
            <w:r>
              <w:rPr>
                <w:rFonts w:ascii="Courier New" w:cs="Courier New" w:eastAsia="Courier New" w:hAnsi="Courier New"/>
                <w:sz w:val="16"/>
                <w:szCs w:val="16"/>
                <w:color w:val="auto"/>
              </w:rPr>
              <w:t>Hardware Solutions:</w:t>
            </w:r>
          </w:p>
        </w:tc>
        <w:tc>
          <w:tcPr>
            <w:tcW w:w="16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Residential</w:t>
            </w:r>
          </w:p>
        </w:tc>
        <w:tc>
          <w:tcPr>
            <w:tcW w:w="1580" w:type="dxa"/>
            <w:vAlign w:val="bottom"/>
            <w:gridSpan w:val="4"/>
          </w:tcPr>
          <w:p>
            <w:pPr>
              <w:ind w:left="100"/>
              <w:spacing w:after="0" w:line="179" w:lineRule="exact"/>
              <w:rPr>
                <w:sz w:val="20"/>
                <w:szCs w:val="20"/>
                <w:color w:val="auto"/>
              </w:rPr>
            </w:pPr>
            <w:r>
              <w:rPr>
                <w:rFonts w:ascii="Courier New" w:cs="Courier New" w:eastAsia="Courier New" w:hAnsi="Courier New"/>
                <w:sz w:val="16"/>
                <w:szCs w:val="16"/>
                <w:color w:val="auto"/>
              </w:rPr>
              <w:t>and commercial</w:t>
            </w:r>
          </w:p>
        </w:tc>
        <w:tc>
          <w:tcPr>
            <w:tcW w:w="1580" w:type="dxa"/>
            <w:vAlign w:val="bottom"/>
            <w:gridSpan w:val="3"/>
          </w:tcPr>
          <w:p>
            <w:pPr>
              <w:jc w:val="right"/>
              <w:ind w:right="102"/>
              <w:spacing w:after="0" w:line="179" w:lineRule="exact"/>
              <w:rPr>
                <w:sz w:val="20"/>
                <w:szCs w:val="20"/>
                <w:color w:val="auto"/>
              </w:rPr>
            </w:pPr>
            <w:r>
              <w:rPr>
                <w:rFonts w:ascii="Courier New" w:cs="Courier New" w:eastAsia="Courier New" w:hAnsi="Courier New"/>
                <w:sz w:val="16"/>
                <w:szCs w:val="16"/>
                <w:color w:val="auto"/>
                <w:w w:val="95"/>
              </w:rPr>
              <w:t>automatic meter</w:t>
            </w:r>
          </w:p>
        </w:tc>
      </w:tr>
      <w:tr>
        <w:trPr>
          <w:trHeight w:val="179"/>
        </w:trPr>
        <w:tc>
          <w:tcPr>
            <w:tcW w:w="2780" w:type="dxa"/>
            <w:vAlign w:val="bottom"/>
          </w:tcPr>
          <w:p>
            <w:pPr>
              <w:spacing w:after="0"/>
              <w:rPr>
                <w:sz w:val="15"/>
                <w:szCs w:val="15"/>
                <w:color w:val="auto"/>
              </w:rPr>
            </w:pPr>
          </w:p>
        </w:tc>
        <w:tc>
          <w:tcPr>
            <w:tcW w:w="4840" w:type="dxa"/>
            <w:vAlign w:val="bottom"/>
            <w:gridSpan w:val="8"/>
          </w:tcPr>
          <w:p>
            <w:pPr>
              <w:ind w:left="560"/>
              <w:spacing w:after="0" w:line="179" w:lineRule="exact"/>
              <w:rPr>
                <w:sz w:val="20"/>
                <w:szCs w:val="20"/>
                <w:color w:val="auto"/>
              </w:rPr>
            </w:pPr>
            <w:r>
              <w:rPr>
                <w:rFonts w:ascii="Courier New" w:cs="Courier New" w:eastAsia="Courier New" w:hAnsi="Courier New"/>
                <w:sz w:val="16"/>
                <w:szCs w:val="16"/>
                <w:color w:val="auto"/>
              </w:rPr>
              <w:t>reading  (AMR)  meter  modules,  mobile  and</w:t>
            </w:r>
          </w:p>
        </w:tc>
      </w:tr>
      <w:tr>
        <w:trPr>
          <w:trHeight w:val="179"/>
        </w:trPr>
        <w:tc>
          <w:tcPr>
            <w:tcW w:w="2780" w:type="dxa"/>
            <w:vAlign w:val="bottom"/>
          </w:tcPr>
          <w:p>
            <w:pPr>
              <w:spacing w:after="0"/>
              <w:rPr>
                <w:sz w:val="15"/>
                <w:szCs w:val="15"/>
                <w:color w:val="auto"/>
              </w:rPr>
            </w:pPr>
          </w:p>
        </w:tc>
        <w:tc>
          <w:tcPr>
            <w:tcW w:w="4840" w:type="dxa"/>
            <w:vAlign w:val="bottom"/>
            <w:gridSpan w:val="8"/>
          </w:tcPr>
          <w:p>
            <w:pPr>
              <w:ind w:left="560"/>
              <w:spacing w:after="0" w:line="179" w:lineRule="exact"/>
              <w:rPr>
                <w:sz w:val="20"/>
                <w:szCs w:val="20"/>
                <w:color w:val="auto"/>
              </w:rPr>
            </w:pPr>
            <w:r>
              <w:rPr>
                <w:rFonts w:ascii="Courier New" w:cs="Courier New" w:eastAsia="Courier New" w:hAnsi="Courier New"/>
                <w:sz w:val="16"/>
                <w:szCs w:val="16"/>
                <w:color w:val="auto"/>
              </w:rPr>
              <w:t>network AMR reading technologies, SmartSynch</w:t>
            </w:r>
          </w:p>
        </w:tc>
      </w:tr>
      <w:tr>
        <w:trPr>
          <w:trHeight w:val="179"/>
        </w:trPr>
        <w:tc>
          <w:tcPr>
            <w:tcW w:w="2780" w:type="dxa"/>
            <w:vAlign w:val="bottom"/>
          </w:tcPr>
          <w:p>
            <w:pPr>
              <w:spacing w:after="0"/>
              <w:rPr>
                <w:sz w:val="15"/>
                <w:szCs w:val="15"/>
                <w:color w:val="auto"/>
              </w:rPr>
            </w:pPr>
          </w:p>
        </w:tc>
        <w:tc>
          <w:tcPr>
            <w:tcW w:w="2060" w:type="dxa"/>
            <w:vAlign w:val="bottom"/>
            <w:gridSpan w:val="2"/>
          </w:tcPr>
          <w:p>
            <w:pPr>
              <w:ind w:left="560"/>
              <w:spacing w:after="0" w:line="179" w:lineRule="exact"/>
              <w:rPr>
                <w:sz w:val="20"/>
                <w:szCs w:val="20"/>
                <w:color w:val="auto"/>
              </w:rPr>
            </w:pPr>
            <w:r>
              <w:rPr>
                <w:rFonts w:ascii="Courier New" w:cs="Courier New" w:eastAsia="Courier New" w:hAnsi="Courier New"/>
                <w:sz w:val="16"/>
                <w:szCs w:val="16"/>
                <w:color w:val="auto"/>
              </w:rPr>
              <w:t>meter systems,</w:t>
            </w:r>
          </w:p>
        </w:tc>
        <w:tc>
          <w:tcPr>
            <w:tcW w:w="166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w w:val="94"/>
              </w:rPr>
              <w:t>handheld computers</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for meter</w:t>
            </w:r>
          </w:p>
        </w:tc>
      </w:tr>
      <w:tr>
        <w:trPr>
          <w:trHeight w:val="179"/>
        </w:trPr>
        <w:tc>
          <w:tcPr>
            <w:tcW w:w="2780" w:type="dxa"/>
            <w:vAlign w:val="bottom"/>
          </w:tcPr>
          <w:p>
            <w:pPr>
              <w:spacing w:after="0"/>
              <w:rPr>
                <w:sz w:val="15"/>
                <w:szCs w:val="15"/>
                <w:color w:val="auto"/>
              </w:rPr>
            </w:pPr>
          </w:p>
        </w:tc>
        <w:tc>
          <w:tcPr>
            <w:tcW w:w="2420" w:type="dxa"/>
            <w:vAlign w:val="bottom"/>
            <w:gridSpan w:val="3"/>
          </w:tcPr>
          <w:p>
            <w:pPr>
              <w:ind w:left="560"/>
              <w:spacing w:after="0" w:line="179" w:lineRule="exact"/>
              <w:rPr>
                <w:sz w:val="20"/>
                <w:szCs w:val="20"/>
                <w:color w:val="auto"/>
              </w:rPr>
            </w:pPr>
            <w:r>
              <w:rPr>
                <w:rFonts w:ascii="Courier New" w:cs="Courier New" w:eastAsia="Courier New" w:hAnsi="Courier New"/>
                <w:sz w:val="16"/>
                <w:szCs w:val="16"/>
                <w:color w:val="auto"/>
              </w:rPr>
              <w:t>data   collection</w:t>
            </w:r>
          </w:p>
        </w:tc>
        <w:tc>
          <w:tcPr>
            <w:tcW w:w="1300" w:type="dxa"/>
            <w:vAlign w:val="bottom"/>
            <w:gridSpan w:val="3"/>
          </w:tcPr>
          <w:p>
            <w:pPr>
              <w:jc w:val="right"/>
              <w:ind w:right="202"/>
              <w:spacing w:after="0" w:line="179" w:lineRule="exact"/>
              <w:rPr>
                <w:sz w:val="20"/>
                <w:szCs w:val="20"/>
                <w:color w:val="auto"/>
              </w:rPr>
            </w:pPr>
            <w:r>
              <w:rPr>
                <w:rFonts w:ascii="Courier New" w:cs="Courier New" w:eastAsia="Courier New" w:hAnsi="Courier New"/>
                <w:sz w:val="16"/>
                <w:szCs w:val="16"/>
                <w:color w:val="auto"/>
                <w:w w:val="94"/>
              </w:rPr>
              <w:t>or   mobile</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workforce</w:t>
            </w:r>
          </w:p>
        </w:tc>
      </w:tr>
      <w:tr>
        <w:trPr>
          <w:trHeight w:val="179"/>
        </w:trPr>
        <w:tc>
          <w:tcPr>
            <w:tcW w:w="2780" w:type="dxa"/>
            <w:vAlign w:val="bottom"/>
          </w:tcPr>
          <w:p>
            <w:pPr>
              <w:spacing w:after="0"/>
              <w:rPr>
                <w:sz w:val="15"/>
                <w:szCs w:val="15"/>
                <w:color w:val="auto"/>
              </w:rPr>
            </w:pPr>
          </w:p>
        </w:tc>
        <w:tc>
          <w:tcPr>
            <w:tcW w:w="2060" w:type="dxa"/>
            <w:vAlign w:val="bottom"/>
            <w:gridSpan w:val="2"/>
          </w:tcPr>
          <w:p>
            <w:pPr>
              <w:ind w:left="560"/>
              <w:spacing w:after="0" w:line="179" w:lineRule="exact"/>
              <w:rPr>
                <w:sz w:val="20"/>
                <w:szCs w:val="20"/>
                <w:color w:val="auto"/>
              </w:rPr>
            </w:pPr>
            <w:r>
              <w:rPr>
                <w:rFonts w:ascii="Courier New" w:cs="Courier New" w:eastAsia="Courier New" w:hAnsi="Courier New"/>
                <w:sz w:val="16"/>
                <w:szCs w:val="16"/>
                <w:color w:val="auto"/>
              </w:rPr>
              <w:t>applications,</w:t>
            </w:r>
          </w:p>
        </w:tc>
        <w:tc>
          <w:tcPr>
            <w:tcW w:w="1200" w:type="dxa"/>
            <w:vAlign w:val="bottom"/>
            <w:gridSpan w:val="3"/>
          </w:tcPr>
          <w:p>
            <w:pPr>
              <w:ind w:left="80"/>
              <w:spacing w:after="0" w:line="179" w:lineRule="exact"/>
              <w:rPr>
                <w:sz w:val="20"/>
                <w:szCs w:val="20"/>
                <w:color w:val="auto"/>
              </w:rPr>
            </w:pPr>
            <w:r>
              <w:rPr>
                <w:rFonts w:ascii="Courier New" w:cs="Courier New" w:eastAsia="Courier New" w:hAnsi="Courier New"/>
                <w:sz w:val="16"/>
                <w:szCs w:val="16"/>
                <w:color w:val="auto"/>
              </w:rPr>
              <w:t>residential</w:t>
            </w:r>
          </w:p>
        </w:tc>
        <w:tc>
          <w:tcPr>
            <w:tcW w:w="94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meter</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data</w:t>
            </w:r>
          </w:p>
        </w:tc>
      </w:tr>
      <w:tr>
        <w:trPr>
          <w:trHeight w:val="179"/>
        </w:trPr>
        <w:tc>
          <w:tcPr>
            <w:tcW w:w="2780" w:type="dxa"/>
            <w:vAlign w:val="bottom"/>
          </w:tcPr>
          <w:p>
            <w:pPr>
              <w:spacing w:after="0"/>
              <w:rPr>
                <w:sz w:val="15"/>
                <w:szCs w:val="15"/>
                <w:color w:val="auto"/>
              </w:rPr>
            </w:pPr>
          </w:p>
        </w:tc>
        <w:tc>
          <w:tcPr>
            <w:tcW w:w="16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collection</w:t>
            </w:r>
          </w:p>
        </w:tc>
        <w:tc>
          <w:tcPr>
            <w:tcW w:w="130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rPr>
              <w:t>software,</w:t>
            </w:r>
          </w:p>
        </w:tc>
        <w:tc>
          <w:tcPr>
            <w:tcW w:w="7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mobile</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workforce</w:t>
            </w:r>
          </w:p>
        </w:tc>
      </w:tr>
      <w:tr>
        <w:trPr>
          <w:trHeight w:val="179"/>
        </w:trPr>
        <w:tc>
          <w:tcPr>
            <w:tcW w:w="2780" w:type="dxa"/>
            <w:vAlign w:val="bottom"/>
          </w:tcPr>
          <w:p>
            <w:pPr>
              <w:spacing w:after="0"/>
              <w:rPr>
                <w:sz w:val="15"/>
                <w:szCs w:val="15"/>
                <w:color w:val="auto"/>
              </w:rPr>
            </w:pPr>
          </w:p>
        </w:tc>
        <w:tc>
          <w:tcPr>
            <w:tcW w:w="16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solutions</w:t>
            </w:r>
          </w:p>
        </w:tc>
        <w:tc>
          <w:tcPr>
            <w:tcW w:w="7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3"/>
              </w:rPr>
              <w:t>software</w:t>
            </w:r>
          </w:p>
        </w:tc>
        <w:tc>
          <w:tcPr>
            <w:tcW w:w="56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and</w:t>
            </w:r>
          </w:p>
        </w:tc>
        <w:tc>
          <w:tcPr>
            <w:tcW w:w="122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w w:val="95"/>
              </w:rPr>
              <w:t>installation</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and</w:t>
            </w:r>
          </w:p>
        </w:tc>
      </w:tr>
      <w:tr>
        <w:trPr>
          <w:trHeight w:val="179"/>
        </w:trPr>
        <w:tc>
          <w:tcPr>
            <w:tcW w:w="2780" w:type="dxa"/>
            <w:vAlign w:val="bottom"/>
          </w:tcPr>
          <w:p>
            <w:pPr>
              <w:spacing w:after="0"/>
              <w:rPr>
                <w:sz w:val="15"/>
                <w:szCs w:val="15"/>
                <w:color w:val="auto"/>
              </w:rPr>
            </w:pPr>
          </w:p>
        </w:tc>
        <w:tc>
          <w:tcPr>
            <w:tcW w:w="2060" w:type="dxa"/>
            <w:vAlign w:val="bottom"/>
            <w:gridSpan w:val="2"/>
          </w:tcPr>
          <w:p>
            <w:pPr>
              <w:ind w:left="560"/>
              <w:spacing w:after="0" w:line="179" w:lineRule="exact"/>
              <w:rPr>
                <w:sz w:val="20"/>
                <w:szCs w:val="20"/>
                <w:color w:val="auto"/>
              </w:rPr>
            </w:pPr>
            <w:r>
              <w:rPr>
                <w:rFonts w:ascii="Courier New" w:cs="Courier New" w:eastAsia="Courier New" w:hAnsi="Courier New"/>
                <w:sz w:val="16"/>
                <w:szCs w:val="16"/>
                <w:color w:val="auto"/>
              </w:rPr>
              <w:t>implementation</w:t>
            </w:r>
          </w:p>
        </w:tc>
        <w:tc>
          <w:tcPr>
            <w:tcW w:w="9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services</w:t>
            </w:r>
          </w:p>
        </w:tc>
        <w:tc>
          <w:tcPr>
            <w:tcW w:w="7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3"/>
              </w:rPr>
              <w:t>for AMR,</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handheld</w:t>
            </w:r>
          </w:p>
        </w:tc>
      </w:tr>
      <w:tr>
        <w:trPr>
          <w:trHeight w:val="179"/>
        </w:trPr>
        <w:tc>
          <w:tcPr>
            <w:tcW w:w="2780" w:type="dxa"/>
            <w:vAlign w:val="bottom"/>
          </w:tcPr>
          <w:p>
            <w:pPr>
              <w:spacing w:after="0"/>
              <w:rPr>
                <w:sz w:val="15"/>
                <w:szCs w:val="15"/>
                <w:color w:val="auto"/>
              </w:rPr>
            </w:pPr>
          </w:p>
        </w:tc>
        <w:tc>
          <w:tcPr>
            <w:tcW w:w="16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meter data</w:t>
            </w:r>
          </w:p>
        </w:tc>
        <w:tc>
          <w:tcPr>
            <w:tcW w:w="2040" w:type="dxa"/>
            <w:vAlign w:val="bottom"/>
            <w:gridSpan w:val="5"/>
          </w:tcPr>
          <w:p>
            <w:pPr>
              <w:spacing w:after="0" w:line="179" w:lineRule="exact"/>
              <w:rPr>
                <w:sz w:val="20"/>
                <w:szCs w:val="20"/>
                <w:color w:val="auto"/>
              </w:rPr>
            </w:pPr>
            <w:r>
              <w:rPr>
                <w:rFonts w:ascii="Courier New" w:cs="Courier New" w:eastAsia="Courier New" w:hAnsi="Courier New"/>
                <w:sz w:val="16"/>
                <w:szCs w:val="16"/>
                <w:color w:val="auto"/>
              </w:rPr>
              <w:t>collection and mobile</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workforce</w:t>
            </w:r>
          </w:p>
        </w:tc>
      </w:tr>
      <w:tr>
        <w:trPr>
          <w:trHeight w:val="179"/>
        </w:trPr>
        <w:tc>
          <w:tcPr>
            <w:tcW w:w="2780" w:type="dxa"/>
            <w:vAlign w:val="bottom"/>
          </w:tcPr>
          <w:p>
            <w:pPr>
              <w:spacing w:after="0"/>
              <w:rPr>
                <w:sz w:val="15"/>
                <w:szCs w:val="15"/>
                <w:color w:val="auto"/>
              </w:rPr>
            </w:pPr>
          </w:p>
        </w:tc>
        <w:tc>
          <w:tcPr>
            <w:tcW w:w="16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systems.</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58"/>
        </w:trPr>
        <w:tc>
          <w:tcPr>
            <w:tcW w:w="2780" w:type="dxa"/>
            <w:vAlign w:val="bottom"/>
          </w:tcPr>
          <w:p>
            <w:pPr>
              <w:spacing w:after="0"/>
              <w:rPr>
                <w:sz w:val="20"/>
                <w:szCs w:val="20"/>
                <w:color w:val="auto"/>
              </w:rPr>
            </w:pPr>
            <w:r>
              <w:rPr>
                <w:rFonts w:ascii="Courier New" w:cs="Courier New" w:eastAsia="Courier New" w:hAnsi="Courier New"/>
                <w:sz w:val="16"/>
                <w:szCs w:val="16"/>
                <w:color w:val="auto"/>
              </w:rPr>
              <w:t>Software Solutions:</w:t>
            </w:r>
          </w:p>
        </w:tc>
        <w:tc>
          <w:tcPr>
            <w:tcW w:w="1680" w:type="dxa"/>
            <w:vAlign w:val="bottom"/>
          </w:tcPr>
          <w:p>
            <w:pPr>
              <w:ind w:left="560"/>
              <w:spacing w:after="0"/>
              <w:rPr>
                <w:sz w:val="20"/>
                <w:szCs w:val="20"/>
                <w:color w:val="auto"/>
              </w:rPr>
            </w:pPr>
            <w:r>
              <w:rPr>
                <w:rFonts w:ascii="Courier New" w:cs="Courier New" w:eastAsia="Courier New" w:hAnsi="Courier New"/>
                <w:sz w:val="16"/>
                <w:szCs w:val="16"/>
                <w:color w:val="auto"/>
              </w:rPr>
              <w:t>Commercial</w:t>
            </w:r>
          </w:p>
        </w:tc>
        <w:tc>
          <w:tcPr>
            <w:tcW w:w="380" w:type="dxa"/>
            <w:vAlign w:val="bottom"/>
          </w:tcPr>
          <w:p>
            <w:pPr>
              <w:ind w:left="100"/>
              <w:spacing w:after="0"/>
              <w:rPr>
                <w:sz w:val="20"/>
                <w:szCs w:val="20"/>
                <w:color w:val="auto"/>
              </w:rPr>
            </w:pPr>
            <w:r>
              <w:rPr>
                <w:rFonts w:ascii="Courier New" w:cs="Courier New" w:eastAsia="Courier New" w:hAnsi="Courier New"/>
                <w:sz w:val="16"/>
                <w:szCs w:val="16"/>
                <w:color w:val="auto"/>
                <w:w w:val="90"/>
              </w:rPr>
              <w:t>and</w:t>
            </w:r>
          </w:p>
        </w:tc>
        <w:tc>
          <w:tcPr>
            <w:tcW w:w="1200" w:type="dxa"/>
            <w:vAlign w:val="bottom"/>
            <w:gridSpan w:val="3"/>
          </w:tcPr>
          <w:p>
            <w:pPr>
              <w:ind w:left="280"/>
              <w:spacing w:after="0"/>
              <w:rPr>
                <w:sz w:val="20"/>
                <w:szCs w:val="20"/>
                <w:color w:val="auto"/>
              </w:rPr>
            </w:pPr>
            <w:r>
              <w:rPr>
                <w:rFonts w:ascii="Courier New" w:cs="Courier New" w:eastAsia="Courier New" w:hAnsi="Courier New"/>
                <w:sz w:val="16"/>
                <w:szCs w:val="16"/>
                <w:color w:val="auto"/>
                <w:w w:val="93"/>
              </w:rPr>
              <w:t>industrial</w:t>
            </w:r>
          </w:p>
        </w:tc>
        <w:tc>
          <w:tcPr>
            <w:tcW w:w="9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meter</w:t>
            </w:r>
          </w:p>
        </w:tc>
        <w:tc>
          <w:tcPr>
            <w:tcW w:w="6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data</w:t>
            </w:r>
          </w:p>
        </w:tc>
      </w:tr>
      <w:tr>
        <w:trPr>
          <w:trHeight w:val="179"/>
        </w:trPr>
        <w:tc>
          <w:tcPr>
            <w:tcW w:w="2780" w:type="dxa"/>
            <w:vAlign w:val="bottom"/>
          </w:tcPr>
          <w:p>
            <w:pPr>
              <w:spacing w:after="0"/>
              <w:rPr>
                <w:sz w:val="15"/>
                <w:szCs w:val="15"/>
                <w:color w:val="auto"/>
              </w:rPr>
            </w:pPr>
          </w:p>
        </w:tc>
        <w:tc>
          <w:tcPr>
            <w:tcW w:w="16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collection</w:t>
            </w:r>
          </w:p>
        </w:tc>
        <w:tc>
          <w:tcPr>
            <w:tcW w:w="130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rPr>
              <w:t>software,</w:t>
            </w:r>
          </w:p>
        </w:tc>
        <w:tc>
          <w:tcPr>
            <w:tcW w:w="122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rPr>
              <w:t>transmission</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and</w:t>
            </w:r>
          </w:p>
        </w:tc>
      </w:tr>
      <w:tr>
        <w:trPr>
          <w:trHeight w:val="179"/>
        </w:trPr>
        <w:tc>
          <w:tcPr>
            <w:tcW w:w="2780" w:type="dxa"/>
            <w:vAlign w:val="bottom"/>
          </w:tcPr>
          <w:p>
            <w:pPr>
              <w:spacing w:after="0"/>
              <w:rPr>
                <w:sz w:val="15"/>
                <w:szCs w:val="15"/>
                <w:color w:val="auto"/>
              </w:rPr>
            </w:pPr>
          </w:p>
        </w:tc>
        <w:tc>
          <w:tcPr>
            <w:tcW w:w="4840" w:type="dxa"/>
            <w:vAlign w:val="bottom"/>
            <w:gridSpan w:val="8"/>
          </w:tcPr>
          <w:p>
            <w:pPr>
              <w:ind w:left="560"/>
              <w:spacing w:after="0" w:line="179" w:lineRule="exact"/>
              <w:rPr>
                <w:sz w:val="20"/>
                <w:szCs w:val="20"/>
                <w:color w:val="auto"/>
              </w:rPr>
            </w:pPr>
            <w:r>
              <w:rPr>
                <w:rFonts w:ascii="Courier New" w:cs="Courier New" w:eastAsia="Courier New" w:hAnsi="Courier New"/>
                <w:sz w:val="16"/>
                <w:szCs w:val="16"/>
                <w:color w:val="auto"/>
              </w:rPr>
              <w:t>distribution systems design and optimization</w:t>
            </w:r>
          </w:p>
        </w:tc>
      </w:tr>
      <w:tr>
        <w:trPr>
          <w:trHeight w:val="179"/>
        </w:trPr>
        <w:tc>
          <w:tcPr>
            <w:tcW w:w="2780" w:type="dxa"/>
            <w:vAlign w:val="bottom"/>
          </w:tcPr>
          <w:p>
            <w:pPr>
              <w:spacing w:after="0"/>
              <w:rPr>
                <w:sz w:val="15"/>
                <w:szCs w:val="15"/>
                <w:color w:val="auto"/>
              </w:rPr>
            </w:pPr>
          </w:p>
        </w:tc>
        <w:tc>
          <w:tcPr>
            <w:tcW w:w="16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software,</w:t>
            </w:r>
          </w:p>
        </w:tc>
        <w:tc>
          <w:tcPr>
            <w:tcW w:w="74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energy</w:t>
            </w:r>
          </w:p>
        </w:tc>
        <w:tc>
          <w:tcPr>
            <w:tcW w:w="1300" w:type="dxa"/>
            <w:vAlign w:val="bottom"/>
            <w:gridSpan w:val="3"/>
          </w:tcPr>
          <w:p>
            <w:pPr>
              <w:jc w:val="right"/>
              <w:ind w:right="202"/>
              <w:spacing w:after="0" w:line="179" w:lineRule="exact"/>
              <w:rPr>
                <w:sz w:val="20"/>
                <w:szCs w:val="20"/>
                <w:color w:val="auto"/>
              </w:rPr>
            </w:pPr>
            <w:r>
              <w:rPr>
                <w:rFonts w:ascii="Courier New" w:cs="Courier New" w:eastAsia="Courier New" w:hAnsi="Courier New"/>
                <w:sz w:val="16"/>
                <w:szCs w:val="16"/>
                <w:color w:val="auto"/>
              </w:rPr>
              <w:t>management</w:t>
            </w:r>
          </w:p>
        </w:tc>
        <w:tc>
          <w:tcPr>
            <w:tcW w:w="4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0"/>
              </w:rPr>
              <w:t>and</w:t>
            </w:r>
          </w:p>
        </w:tc>
        <w:tc>
          <w:tcPr>
            <w:tcW w:w="6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1"/>
              </w:rPr>
              <w:t>asset</w:t>
            </w:r>
          </w:p>
        </w:tc>
      </w:tr>
      <w:tr>
        <w:trPr>
          <w:trHeight w:val="179"/>
        </w:trPr>
        <w:tc>
          <w:tcPr>
            <w:tcW w:w="2780" w:type="dxa"/>
            <w:vAlign w:val="bottom"/>
          </w:tcPr>
          <w:p>
            <w:pPr>
              <w:spacing w:after="0"/>
              <w:rPr>
                <w:sz w:val="15"/>
                <w:szCs w:val="15"/>
                <w:color w:val="auto"/>
              </w:rPr>
            </w:pPr>
          </w:p>
        </w:tc>
        <w:tc>
          <w:tcPr>
            <w:tcW w:w="168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w w:val="95"/>
              </w:rPr>
              <w:t>optimization</w:t>
            </w:r>
          </w:p>
        </w:tc>
        <w:tc>
          <w:tcPr>
            <w:tcW w:w="380" w:type="dxa"/>
            <w:vAlign w:val="bottom"/>
          </w:tcPr>
          <w:p>
            <w:pPr>
              <w:spacing w:after="0"/>
              <w:rPr>
                <w:sz w:val="15"/>
                <w:szCs w:val="15"/>
                <w:color w:val="auto"/>
              </w:rPr>
            </w:pPr>
          </w:p>
        </w:tc>
        <w:tc>
          <w:tcPr>
            <w:tcW w:w="92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94"/>
              </w:rPr>
              <w:t>software,</w:t>
            </w:r>
          </w:p>
        </w:tc>
        <w:tc>
          <w:tcPr>
            <w:tcW w:w="280" w:type="dxa"/>
            <w:vAlign w:val="bottom"/>
          </w:tcPr>
          <w:p>
            <w:pPr>
              <w:spacing w:after="0"/>
              <w:rPr>
                <w:sz w:val="15"/>
                <w:szCs w:val="15"/>
                <w:color w:val="auto"/>
              </w:rPr>
            </w:pP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and</w:t>
            </w:r>
          </w:p>
        </w:tc>
        <w:tc>
          <w:tcPr>
            <w:tcW w:w="1120" w:type="dxa"/>
            <w:vAlign w:val="bottom"/>
            <w:gridSpan w:val="2"/>
          </w:tcPr>
          <w:p>
            <w:pPr>
              <w:jc w:val="right"/>
              <w:ind w:right="102"/>
              <w:spacing w:after="0" w:line="179" w:lineRule="exact"/>
              <w:rPr>
                <w:sz w:val="20"/>
                <w:szCs w:val="20"/>
                <w:color w:val="auto"/>
              </w:rPr>
            </w:pPr>
            <w:r>
              <w:rPr>
                <w:rFonts w:ascii="Courier New" w:cs="Courier New" w:eastAsia="Courier New" w:hAnsi="Courier New"/>
                <w:sz w:val="16"/>
                <w:szCs w:val="16"/>
                <w:color w:val="auto"/>
              </w:rPr>
              <w:t>related</w:t>
            </w:r>
          </w:p>
        </w:tc>
      </w:tr>
    </w:tbl>
    <w:p>
      <w:pPr>
        <w:sectPr>
          <w:pgSz w:w="11900" w:h="16868" w:orient="portrait"/>
          <w:cols w:equalWidth="0" w:num="1">
            <w:col w:w="10224"/>
          </w:cols>
          <w:pgMar w:left="235" w:top="231" w:right="1440" w:bottom="0" w:gutter="0" w:footer="0" w:header="0"/>
          <w:type w:val="continuous"/>
        </w:sectPr>
      </w:pPr>
    </w:p>
    <w:bookmarkStart w:id="1" w:name="page2"/>
    <w:bookmarkEnd w:id="1"/>
    <w:p>
      <w:pPr>
        <w:ind w:left="2140"/>
        <w:spacing w:after="0"/>
        <w:rPr>
          <w:sz w:val="20"/>
          <w:szCs w:val="20"/>
          <w:color w:val="auto"/>
        </w:rPr>
      </w:pPr>
      <w:r>
        <w:rPr>
          <w:rFonts w:ascii="Courier New" w:cs="Courier New" w:eastAsia="Courier New" w:hAnsi="Courier New"/>
          <w:sz w:val="14"/>
          <w:szCs w:val="14"/>
          <w:color w:val="auto"/>
        </w:rPr>
        <w:t>implementation and consulting services.</w:t>
      </w:r>
    </w:p>
    <w:p>
      <w:pPr>
        <w:sectPr>
          <w:pgSz w:w="11900" w:h="16838" w:orient="portrait"/>
          <w:cols w:equalWidth="0" w:num="1">
            <w:col w:w="9019"/>
          </w:cols>
          <w:pgMar w:left="14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RECASTED 2004 AND 2003 SEGMENT INFORMATION</w:t>
      </w:r>
    </w:p>
    <w:p>
      <w:pPr>
        <w:sectPr>
          <w:pgSz w:w="11900" w:h="16838" w:orient="portrait"/>
          <w:cols w:equalWidth="0" w:num="1">
            <w:col w:w="11520"/>
          </w:cols>
          <w:pgMar w:left="240" w:top="1191" w:right="139" w:bottom="1440" w:gutter="0" w:footer="0" w:header="0"/>
        </w:sectPr>
      </w:pPr>
    </w:p>
    <w:p>
      <w:pPr>
        <w:spacing w:after="0" w:line="199" w:lineRule="exact"/>
        <w:rPr>
          <w:sz w:val="20"/>
          <w:szCs w:val="20"/>
          <w:color w:val="auto"/>
        </w:rPr>
      </w:pPr>
    </w:p>
    <w:p>
      <w:pPr>
        <w:jc w:val="both"/>
        <w:spacing w:after="0" w:line="283" w:lineRule="auto"/>
        <w:rPr>
          <w:sz w:val="20"/>
          <w:szCs w:val="20"/>
          <w:color w:val="auto"/>
        </w:rPr>
      </w:pPr>
      <w:r>
        <w:rPr>
          <w:rFonts w:ascii="Courier New" w:cs="Courier New" w:eastAsia="Courier New" w:hAnsi="Courier New"/>
          <w:sz w:val="14"/>
          <w:szCs w:val="14"/>
          <w:color w:val="auto"/>
        </w:rPr>
        <w:t>As a result of our organizational information to reflect our new quarters presented below.</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4080" w:firstLine="93"/>
        <w:spacing w:after="0" w:line="295" w:lineRule="auto"/>
        <w:rPr>
          <w:sz w:val="20"/>
          <w:szCs w:val="20"/>
          <w:color w:val="auto"/>
        </w:rPr>
      </w:pPr>
      <w:r>
        <w:rPr>
          <w:rFonts w:ascii="Courier New" w:cs="Courier New" w:eastAsia="Courier New" w:hAnsi="Courier New"/>
          <w:sz w:val="14"/>
          <w:szCs w:val="14"/>
          <w:color w:val="auto"/>
        </w:rPr>
        <w:t>change, we recasted our 2004 and 2003 segment segment reporting structure for each of the</w:t>
      </w:r>
    </w:p>
    <w:p>
      <w:pPr>
        <w:spacing w:after="0" w:line="371" w:lineRule="exact"/>
        <w:rPr>
          <w:sz w:val="20"/>
          <w:szCs w:val="20"/>
          <w:color w:val="auto"/>
        </w:rPr>
      </w:pPr>
    </w:p>
    <w:p>
      <w:pPr>
        <w:sectPr>
          <w:pgSz w:w="11900" w:h="16838" w:orient="portrait"/>
          <w:cols w:equalWidth="0" w:num="2">
            <w:col w:w="3060" w:space="100"/>
            <w:col w:w="8360"/>
          </w:cols>
          <w:pgMar w:left="240" w:top="1191" w:right="139" w:bottom="1440" w:gutter="0" w:footer="0" w:header="0"/>
          <w:type w:val="continuous"/>
        </w:sect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60" w:type="dxa"/>
            <w:vAlign w:val="bottom"/>
          </w:tcPr>
          <w:p>
            <w:pPr>
              <w:jc w:val="right"/>
              <w:ind w:right="1262"/>
              <w:spacing w:after="0"/>
              <w:rPr>
                <w:sz w:val="20"/>
                <w:szCs w:val="20"/>
                <w:color w:val="auto"/>
              </w:rPr>
            </w:pPr>
            <w:r>
              <w:rPr>
                <w:rFonts w:ascii="Courier New" w:cs="Courier New" w:eastAsia="Courier New" w:hAnsi="Courier New"/>
                <w:sz w:val="16"/>
                <w:szCs w:val="16"/>
                <w:color w:val="auto"/>
              </w:rPr>
              <w:t>2004</w:t>
            </w:r>
          </w:p>
        </w:tc>
        <w:tc>
          <w:tcPr>
            <w:tcW w:w="1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2003</w:t>
            </w: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40" w:type="dxa"/>
            <w:vAlign w:val="bottom"/>
          </w:tcPr>
          <w:p>
            <w:pPr>
              <w:spacing w:after="0"/>
              <w:rPr>
                <w:sz w:val="15"/>
                <w:szCs w:val="15"/>
                <w:color w:val="auto"/>
              </w:rPr>
            </w:pPr>
          </w:p>
        </w:tc>
        <w:tc>
          <w:tcPr>
            <w:tcW w:w="3160" w:type="dxa"/>
            <w:vAlign w:val="bottom"/>
            <w:gridSpan w:val="2"/>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5620" w:type="dxa"/>
            <w:vAlign w:val="bottom"/>
            <w:gridSpan w:val="6"/>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40" w:type="dxa"/>
            <w:vAlign w:val="bottom"/>
          </w:tcPr>
          <w:p>
            <w:pPr>
              <w:spacing w:after="0"/>
              <w:rPr>
                <w:sz w:val="15"/>
                <w:szCs w:val="15"/>
                <w:color w:val="auto"/>
              </w:rPr>
            </w:pP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March 31</w:t>
            </w: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June 30</w:t>
            </w:r>
          </w:p>
        </w:tc>
        <w:tc>
          <w:tcPr>
            <w:tcW w:w="15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March 31</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June 30</w:t>
            </w:r>
          </w:p>
        </w:tc>
        <w:tc>
          <w:tcPr>
            <w:tcW w:w="15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September 30</w:t>
            </w:r>
          </w:p>
        </w:tc>
        <w:tc>
          <w:tcPr>
            <w:tcW w:w="1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December 31</w:t>
            </w:r>
          </w:p>
        </w:tc>
      </w:tr>
      <w:tr>
        <w:trPr>
          <w:trHeight w:val="179"/>
        </w:trPr>
        <w:tc>
          <w:tcPr>
            <w:tcW w:w="2740" w:type="dxa"/>
            <w:vAlign w:val="bottom"/>
          </w:tcPr>
          <w:p>
            <w:pPr>
              <w:spacing w:after="0"/>
              <w:rPr>
                <w:sz w:val="15"/>
                <w:szCs w:val="15"/>
                <w:color w:val="auto"/>
              </w:rPr>
            </w:pP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4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(in thousands)</w:t>
            </w: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40" w:type="dxa"/>
            <w:vAlign w:val="bottom"/>
          </w:tcPr>
          <w:p>
            <w:pPr>
              <w:spacing w:after="0" w:line="179" w:lineRule="exact"/>
              <w:rPr>
                <w:sz w:val="20"/>
                <w:szCs w:val="20"/>
                <w:color w:val="auto"/>
              </w:rPr>
            </w:pPr>
            <w:r>
              <w:rPr>
                <w:rFonts w:ascii="Courier New" w:cs="Courier New" w:eastAsia="Courier New" w:hAnsi="Courier New"/>
                <w:sz w:val="16"/>
                <w:szCs w:val="16"/>
                <w:color w:val="auto"/>
              </w:rPr>
              <w:t>REVENUES</w:t>
            </w:r>
          </w:p>
        </w:tc>
        <w:tc>
          <w:tcPr>
            <w:tcW w:w="1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8"/>
        </w:trPr>
        <w:tc>
          <w:tcPr>
            <w:tcW w:w="2740" w:type="dxa"/>
            <w:vAlign w:val="bottom"/>
          </w:tcPr>
          <w:p>
            <w:pPr>
              <w:ind w:left="280"/>
              <w:spacing w:after="0"/>
              <w:rPr>
                <w:sz w:val="20"/>
                <w:szCs w:val="20"/>
                <w:color w:val="auto"/>
              </w:rPr>
            </w:pPr>
            <w:r>
              <w:rPr>
                <w:rFonts w:ascii="Courier New" w:cs="Courier New" w:eastAsia="Courier New" w:hAnsi="Courier New"/>
                <w:sz w:val="16"/>
                <w:szCs w:val="16"/>
                <w:color w:val="auto"/>
              </w:rPr>
              <w:t>Hardware Solutions</w:t>
            </w:r>
          </w:p>
        </w:tc>
        <w:tc>
          <w:tcPr>
            <w:tcW w:w="14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$ 58,289</w:t>
            </w:r>
          </w:p>
        </w:tc>
        <w:tc>
          <w:tcPr>
            <w:tcW w:w="17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$ 70,177</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$ 65,796</w:t>
            </w:r>
          </w:p>
        </w:tc>
        <w:tc>
          <w:tcPr>
            <w:tcW w:w="13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$ 72,069</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72,247</w:t>
            </w:r>
          </w:p>
        </w:tc>
        <w:tc>
          <w:tcPr>
            <w:tcW w:w="12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$ 71,234</w:t>
            </w:r>
          </w:p>
        </w:tc>
      </w:tr>
      <w:tr>
        <w:trPr>
          <w:trHeight w:val="179"/>
        </w:trPr>
        <w:tc>
          <w:tcPr>
            <w:tcW w:w="2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Software Solutions</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7,313</w:t>
            </w: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9,465</w:t>
            </w:r>
          </w:p>
        </w:tc>
        <w:tc>
          <w:tcPr>
            <w:tcW w:w="15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8,849</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8,195</w:t>
            </w:r>
          </w:p>
        </w:tc>
        <w:tc>
          <w:tcPr>
            <w:tcW w:w="560" w:type="dxa"/>
            <w:vAlign w:val="bottom"/>
          </w:tcPr>
          <w:p>
            <w:pPr>
              <w:spacing w:after="0"/>
              <w:rPr>
                <w:sz w:val="15"/>
                <w:szCs w:val="15"/>
                <w:color w:val="auto"/>
              </w:rPr>
            </w:pP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9,832</w:t>
            </w:r>
          </w:p>
        </w:tc>
        <w:tc>
          <w:tcPr>
            <w:tcW w:w="50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8,743</w:t>
            </w:r>
          </w:p>
        </w:tc>
      </w:tr>
      <w:tr>
        <w:trPr>
          <w:trHeight w:val="179"/>
        </w:trPr>
        <w:tc>
          <w:tcPr>
            <w:tcW w:w="2740" w:type="dxa"/>
            <w:vAlign w:val="bottom"/>
          </w:tcPr>
          <w:p>
            <w:pPr>
              <w:spacing w:after="0"/>
              <w:rPr>
                <w:sz w:val="15"/>
                <w:szCs w:val="15"/>
                <w:color w:val="auto"/>
              </w:rPr>
            </w:pP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40" w:type="dxa"/>
            <w:vAlign w:val="bottom"/>
          </w:tcPr>
          <w:p>
            <w:pPr>
              <w:jc w:val="center"/>
              <w:ind w:right="542"/>
              <w:spacing w:after="0" w:line="179" w:lineRule="exact"/>
              <w:rPr>
                <w:sz w:val="20"/>
                <w:szCs w:val="20"/>
                <w:color w:val="auto"/>
              </w:rPr>
            </w:pPr>
            <w:r>
              <w:rPr>
                <w:rFonts w:ascii="Courier New" w:cs="Courier New" w:eastAsia="Courier New" w:hAnsi="Courier New"/>
                <w:sz w:val="16"/>
                <w:szCs w:val="16"/>
                <w:color w:val="auto"/>
                <w:w w:val="96"/>
              </w:rPr>
              <w:t>Total Company</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$ 65,602</w:t>
            </w: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$ 79,642</w:t>
            </w:r>
          </w:p>
        </w:tc>
        <w:tc>
          <w:tcPr>
            <w:tcW w:w="15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$ 74,645</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$ 80,264</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82,079</w:t>
            </w:r>
          </w:p>
        </w:tc>
        <w:tc>
          <w:tcPr>
            <w:tcW w:w="12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$ 79,977</w:t>
            </w:r>
          </w:p>
        </w:tc>
      </w:tr>
      <w:tr>
        <w:trPr>
          <w:trHeight w:val="179"/>
        </w:trPr>
        <w:tc>
          <w:tcPr>
            <w:tcW w:w="2740" w:type="dxa"/>
            <w:vAlign w:val="bottom"/>
          </w:tcPr>
          <w:p>
            <w:pPr>
              <w:spacing w:after="0"/>
              <w:rPr>
                <w:sz w:val="15"/>
                <w:szCs w:val="15"/>
                <w:color w:val="auto"/>
              </w:rPr>
            </w:pP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4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PROFIT</w:t>
            </w:r>
          </w:p>
        </w:tc>
        <w:tc>
          <w:tcPr>
            <w:tcW w:w="1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Hardware Solutions</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$ 28,011</w:t>
            </w: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$ 32,484</w:t>
            </w:r>
          </w:p>
        </w:tc>
        <w:tc>
          <w:tcPr>
            <w:tcW w:w="15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$ 33,957</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$ 37,101</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36,158</w:t>
            </w:r>
          </w:p>
        </w:tc>
        <w:tc>
          <w:tcPr>
            <w:tcW w:w="12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$ 25,811</w:t>
            </w:r>
          </w:p>
        </w:tc>
      </w:tr>
      <w:tr>
        <w:trPr>
          <w:trHeight w:val="179"/>
        </w:trPr>
        <w:tc>
          <w:tcPr>
            <w:tcW w:w="2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Software Solutions</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1,861</w:t>
            </w: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3,774</w:t>
            </w:r>
          </w:p>
        </w:tc>
        <w:tc>
          <w:tcPr>
            <w:tcW w:w="15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2,905</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2,253</w:t>
            </w:r>
          </w:p>
        </w:tc>
        <w:tc>
          <w:tcPr>
            <w:tcW w:w="560" w:type="dxa"/>
            <w:vAlign w:val="bottom"/>
          </w:tcPr>
          <w:p>
            <w:pPr>
              <w:spacing w:after="0"/>
              <w:rPr>
                <w:sz w:val="15"/>
                <w:szCs w:val="15"/>
                <w:color w:val="auto"/>
              </w:rPr>
            </w:pP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3,370</w:t>
            </w:r>
          </w:p>
        </w:tc>
        <w:tc>
          <w:tcPr>
            <w:tcW w:w="50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1,999</w:t>
            </w:r>
          </w:p>
        </w:tc>
      </w:tr>
      <w:tr>
        <w:trPr>
          <w:trHeight w:val="179"/>
        </w:trPr>
        <w:tc>
          <w:tcPr>
            <w:tcW w:w="2740" w:type="dxa"/>
            <w:vAlign w:val="bottom"/>
          </w:tcPr>
          <w:p>
            <w:pPr>
              <w:spacing w:after="0"/>
              <w:rPr>
                <w:sz w:val="15"/>
                <w:szCs w:val="15"/>
                <w:color w:val="auto"/>
              </w:rPr>
            </w:pP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40" w:type="dxa"/>
            <w:vAlign w:val="bottom"/>
          </w:tcPr>
          <w:p>
            <w:pPr>
              <w:jc w:val="center"/>
              <w:ind w:right="542"/>
              <w:spacing w:after="0" w:line="179" w:lineRule="exact"/>
              <w:rPr>
                <w:sz w:val="20"/>
                <w:szCs w:val="20"/>
                <w:color w:val="auto"/>
              </w:rPr>
            </w:pPr>
            <w:r>
              <w:rPr>
                <w:rFonts w:ascii="Courier New" w:cs="Courier New" w:eastAsia="Courier New" w:hAnsi="Courier New"/>
                <w:sz w:val="16"/>
                <w:szCs w:val="16"/>
                <w:color w:val="auto"/>
                <w:w w:val="96"/>
              </w:rPr>
              <w:t>Total Company</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$ 29,872</w:t>
            </w: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$ 36,258</w:t>
            </w:r>
          </w:p>
        </w:tc>
        <w:tc>
          <w:tcPr>
            <w:tcW w:w="15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$ 36,862</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$ 39,354</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39,528</w:t>
            </w:r>
          </w:p>
        </w:tc>
        <w:tc>
          <w:tcPr>
            <w:tcW w:w="12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$ 27,810</w:t>
            </w:r>
          </w:p>
        </w:tc>
      </w:tr>
      <w:tr>
        <w:trPr>
          <w:trHeight w:val="179"/>
        </w:trPr>
        <w:tc>
          <w:tcPr>
            <w:tcW w:w="2740" w:type="dxa"/>
            <w:vAlign w:val="bottom"/>
          </w:tcPr>
          <w:p>
            <w:pPr>
              <w:spacing w:after="0"/>
              <w:rPr>
                <w:sz w:val="15"/>
                <w:szCs w:val="15"/>
                <w:color w:val="auto"/>
              </w:rPr>
            </w:pP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40" w:type="dxa"/>
            <w:vAlign w:val="bottom"/>
          </w:tcPr>
          <w:p>
            <w:pPr>
              <w:jc w:val="center"/>
              <w:ind w:right="522"/>
              <w:spacing w:after="0" w:line="179" w:lineRule="exact"/>
              <w:rPr>
                <w:sz w:val="20"/>
                <w:szCs w:val="20"/>
                <w:color w:val="auto"/>
              </w:rPr>
            </w:pPr>
            <w:r>
              <w:rPr>
                <w:rFonts w:ascii="Courier New" w:cs="Courier New" w:eastAsia="Courier New" w:hAnsi="Courier New"/>
                <w:sz w:val="16"/>
                <w:szCs w:val="16"/>
                <w:color w:val="auto"/>
                <w:w w:val="96"/>
              </w:rPr>
              <w:t>OPERATING INCOME (LOSS)</w:t>
            </w:r>
          </w:p>
        </w:tc>
        <w:tc>
          <w:tcPr>
            <w:tcW w:w="1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Hardware Solutions</w:t>
            </w: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$ 20,277</w:t>
            </w: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$ 24,033</w:t>
            </w:r>
          </w:p>
        </w:tc>
        <w:tc>
          <w:tcPr>
            <w:tcW w:w="15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$ 26,066</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$ 28,344</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27,614</w:t>
            </w:r>
          </w:p>
        </w:tc>
        <w:tc>
          <w:tcPr>
            <w:tcW w:w="12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$ 17,514</w:t>
            </w:r>
          </w:p>
        </w:tc>
      </w:tr>
      <w:tr>
        <w:trPr>
          <w:trHeight w:val="179"/>
        </w:trPr>
        <w:tc>
          <w:tcPr>
            <w:tcW w:w="2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Software Solutions</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(4,247)</w:t>
            </w:r>
          </w:p>
        </w:tc>
        <w:tc>
          <w:tcPr>
            <w:tcW w:w="1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(1,737)</w:t>
            </w:r>
          </w:p>
        </w:tc>
        <w:tc>
          <w:tcPr>
            <w:tcW w:w="15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(5,201)</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(3,591)</w:t>
            </w:r>
          </w:p>
        </w:tc>
        <w:tc>
          <w:tcPr>
            <w:tcW w:w="5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(2,279)</w:t>
            </w:r>
          </w:p>
        </w:tc>
        <w:tc>
          <w:tcPr>
            <w:tcW w:w="50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(3,631)</w:t>
            </w:r>
          </w:p>
        </w:tc>
      </w:tr>
      <w:tr>
        <w:trPr>
          <w:trHeight w:val="179"/>
        </w:trPr>
        <w:tc>
          <w:tcPr>
            <w:tcW w:w="274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Corporate unallocated</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(17,069)</w:t>
            </w:r>
          </w:p>
        </w:tc>
        <w:tc>
          <w:tcPr>
            <w:tcW w:w="176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(17,595)</w:t>
            </w:r>
          </w:p>
        </w:tc>
        <w:tc>
          <w:tcPr>
            <w:tcW w:w="15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(15,324)</w:t>
            </w:r>
          </w:p>
        </w:tc>
        <w:tc>
          <w:tcPr>
            <w:tcW w:w="13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(16,938)</w:t>
            </w:r>
          </w:p>
        </w:tc>
        <w:tc>
          <w:tcPr>
            <w:tcW w:w="560" w:type="dxa"/>
            <w:vAlign w:val="bottom"/>
          </w:tcPr>
          <w:p>
            <w:pPr>
              <w:spacing w:after="0"/>
              <w:rPr>
                <w:sz w:val="15"/>
                <w:szCs w:val="15"/>
                <w:color w:val="auto"/>
              </w:rPr>
            </w:pPr>
          </w:p>
        </w:tc>
        <w:tc>
          <w:tcPr>
            <w:tcW w:w="9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w w:val="93"/>
              </w:rPr>
              <w:t>(17,077)</w:t>
            </w:r>
          </w:p>
        </w:tc>
        <w:tc>
          <w:tcPr>
            <w:tcW w:w="50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(13,803)</w:t>
            </w:r>
          </w:p>
        </w:tc>
      </w:tr>
      <w:tr>
        <w:trPr>
          <w:trHeight w:val="179"/>
        </w:trPr>
        <w:tc>
          <w:tcPr>
            <w:tcW w:w="2740" w:type="dxa"/>
            <w:vAlign w:val="bottom"/>
          </w:tcPr>
          <w:p>
            <w:pPr>
              <w:spacing w:after="0"/>
              <w:rPr>
                <w:sz w:val="15"/>
                <w:szCs w:val="15"/>
                <w:color w:val="auto"/>
              </w:rPr>
            </w:pP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2740" w:type="dxa"/>
            <w:vAlign w:val="bottom"/>
          </w:tcPr>
          <w:p>
            <w:pPr>
              <w:jc w:val="center"/>
              <w:ind w:right="542"/>
              <w:spacing w:after="0" w:line="179" w:lineRule="exact"/>
              <w:rPr>
                <w:sz w:val="20"/>
                <w:szCs w:val="20"/>
                <w:color w:val="auto"/>
              </w:rPr>
            </w:pPr>
            <w:r>
              <w:rPr>
                <w:rFonts w:ascii="Courier New" w:cs="Courier New" w:eastAsia="Courier New" w:hAnsi="Courier New"/>
                <w:sz w:val="16"/>
                <w:szCs w:val="16"/>
                <w:color w:val="auto"/>
                <w:w w:val="96"/>
              </w:rPr>
              <w:t>Total Company</w:t>
            </w:r>
          </w:p>
        </w:tc>
        <w:tc>
          <w:tcPr>
            <w:tcW w:w="1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(1,039)</w:t>
            </w: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4,701</w:t>
            </w:r>
          </w:p>
        </w:tc>
        <w:tc>
          <w:tcPr>
            <w:tcW w:w="15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5,541</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7,815</w:t>
            </w: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8,258</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80</w:t>
            </w:r>
          </w:p>
        </w:tc>
      </w:tr>
      <w:tr>
        <w:trPr>
          <w:trHeight w:val="179"/>
        </w:trPr>
        <w:tc>
          <w:tcPr>
            <w:tcW w:w="2740" w:type="dxa"/>
            <w:vAlign w:val="bottom"/>
          </w:tcPr>
          <w:p>
            <w:pPr>
              <w:spacing w:after="0"/>
              <w:rPr>
                <w:sz w:val="15"/>
                <w:szCs w:val="15"/>
                <w:color w:val="auto"/>
              </w:rPr>
            </w:pPr>
          </w:p>
        </w:tc>
        <w:tc>
          <w:tcPr>
            <w:tcW w:w="14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RECASTED 2004 AND 2003 OPERATING EXPENSE INFORMATION</w:t>
      </w:r>
    </w:p>
    <w:p>
      <w:pPr>
        <w:spacing w:after="0" w:line="183" w:lineRule="exact"/>
        <w:rPr>
          <w:sz w:val="20"/>
          <w:szCs w:val="20"/>
          <w:color w:val="auto"/>
        </w:rPr>
      </w:pPr>
    </w:p>
    <w:p>
      <w:pPr>
        <w:jc w:val="both"/>
        <w:ind w:right="4080"/>
        <w:spacing w:after="0" w:line="235" w:lineRule="auto"/>
        <w:rPr>
          <w:sz w:val="20"/>
          <w:szCs w:val="20"/>
          <w:color w:val="auto"/>
        </w:rPr>
      </w:pPr>
      <w:r>
        <w:rPr>
          <w:rFonts w:ascii="Courier New" w:cs="Courier New" w:eastAsia="Courier New" w:hAnsi="Courier New"/>
          <w:sz w:val="16"/>
          <w:szCs w:val="16"/>
          <w:color w:val="auto"/>
        </w:rPr>
        <w:t>Also, as a result of our organizational change, certain historical operating expenses have been reclassified between sales and marketing, product development and general and administrative in order to conform to current management reporting for each of the quarters presented below.</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2004</w:t>
            </w:r>
          </w:p>
        </w:tc>
        <w:tc>
          <w:tcPr>
            <w:tcW w:w="1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80" w:type="dxa"/>
            <w:vAlign w:val="bottom"/>
          </w:tcPr>
          <w:p>
            <w:pPr>
              <w:jc w:val="right"/>
              <w:ind w:right="1122"/>
              <w:spacing w:after="0"/>
              <w:rPr>
                <w:sz w:val="20"/>
                <w:szCs w:val="20"/>
                <w:color w:val="auto"/>
              </w:rPr>
            </w:pPr>
            <w:r>
              <w:rPr>
                <w:rFonts w:ascii="Courier New" w:cs="Courier New" w:eastAsia="Courier New" w:hAnsi="Courier New"/>
                <w:sz w:val="16"/>
                <w:szCs w:val="16"/>
                <w:color w:val="auto"/>
                <w:w w:val="93"/>
              </w:rPr>
              <w:t>2003</w:t>
            </w:r>
          </w:p>
        </w:tc>
        <w:tc>
          <w:tcPr>
            <w:tcW w:w="1120" w:type="dxa"/>
            <w:vAlign w:val="bottom"/>
          </w:tcPr>
          <w:p>
            <w:pPr>
              <w:spacing w:after="0"/>
              <w:rPr>
                <w:sz w:val="15"/>
                <w:szCs w:val="15"/>
                <w:color w:val="auto"/>
              </w:rPr>
            </w:pPr>
          </w:p>
        </w:tc>
      </w:tr>
      <w:tr>
        <w:trPr>
          <w:trHeight w:val="179"/>
        </w:trPr>
        <w:tc>
          <w:tcPr>
            <w:tcW w:w="3660" w:type="dxa"/>
            <w:vAlign w:val="bottom"/>
          </w:tcPr>
          <w:p>
            <w:pPr>
              <w:spacing w:after="0"/>
              <w:rPr>
                <w:sz w:val="15"/>
                <w:szCs w:val="15"/>
                <w:color w:val="auto"/>
              </w:rPr>
            </w:pPr>
          </w:p>
        </w:tc>
        <w:tc>
          <w:tcPr>
            <w:tcW w:w="23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478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tcPr>
          <w:p>
            <w:pPr>
              <w:spacing w:after="0"/>
              <w:rPr>
                <w:sz w:val="15"/>
                <w:szCs w:val="15"/>
                <w:color w:val="auto"/>
              </w:rPr>
            </w:pPr>
          </w:p>
        </w:tc>
        <w:tc>
          <w:tcPr>
            <w:tcW w:w="9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March 31</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June 30</w:t>
            </w:r>
          </w:p>
        </w:tc>
        <w:tc>
          <w:tcPr>
            <w:tcW w:w="12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March 31</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June 30</w:t>
            </w:r>
          </w:p>
        </w:tc>
        <w:tc>
          <w:tcPr>
            <w:tcW w:w="1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September 30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December 31</w:t>
            </w:r>
          </w:p>
        </w:tc>
      </w:tr>
      <w:tr>
        <w:trPr>
          <w:trHeight w:val="179"/>
        </w:trPr>
        <w:tc>
          <w:tcPr>
            <w:tcW w:w="3660" w:type="dxa"/>
            <w:vAlign w:val="bottom"/>
          </w:tcPr>
          <w:p>
            <w:pPr>
              <w:spacing w:after="0"/>
              <w:rPr>
                <w:sz w:val="15"/>
                <w:szCs w:val="15"/>
                <w:color w:val="auto"/>
              </w:rPr>
            </w:pPr>
          </w:p>
        </w:tc>
        <w:tc>
          <w:tcPr>
            <w:tcW w:w="9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w w:val="98"/>
              </w:rPr>
              <w:t>--------</w:t>
            </w:r>
          </w:p>
        </w:tc>
        <w:tc>
          <w:tcPr>
            <w:tcW w:w="140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6"/>
              </w:rPr>
              <w:t>--------</w:t>
            </w:r>
          </w:p>
        </w:tc>
        <w:tc>
          <w:tcPr>
            <w:tcW w:w="12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(in thousands)</w:t>
            </w:r>
          </w:p>
        </w:tc>
        <w:tc>
          <w:tcPr>
            <w:tcW w:w="15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366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58"/>
        </w:trPr>
        <w:tc>
          <w:tcPr>
            <w:tcW w:w="3660" w:type="dxa"/>
            <w:vAlign w:val="bottom"/>
          </w:tcPr>
          <w:p>
            <w:pPr>
              <w:ind w:left="280"/>
              <w:spacing w:after="0"/>
              <w:rPr>
                <w:sz w:val="20"/>
                <w:szCs w:val="20"/>
                <w:color w:val="auto"/>
              </w:rPr>
            </w:pPr>
            <w:r>
              <w:rPr>
                <w:rFonts w:ascii="Courier New" w:cs="Courier New" w:eastAsia="Courier New" w:hAnsi="Courier New"/>
                <w:sz w:val="16"/>
                <w:szCs w:val="16"/>
                <w:color w:val="auto"/>
              </w:rPr>
              <w:t>Sales and marketing</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$ 9,654</w:t>
            </w:r>
          </w:p>
        </w:tc>
        <w:tc>
          <w:tcPr>
            <w:tcW w:w="14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$10,272</w:t>
            </w:r>
          </w:p>
        </w:tc>
        <w:tc>
          <w:tcPr>
            <w:tcW w:w="1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$ 9,330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$10,959</w:t>
            </w:r>
          </w:p>
        </w:tc>
        <w:tc>
          <w:tcPr>
            <w:tcW w:w="15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$10,672</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$10,024</w:t>
            </w:r>
          </w:p>
        </w:tc>
      </w:tr>
      <w:tr>
        <w:trPr>
          <w:trHeight w:val="179"/>
        </w:trPr>
        <w:tc>
          <w:tcPr>
            <w:tcW w:w="36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Product development</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10,222</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10,554</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9,891</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11,042</w:t>
            </w:r>
          </w:p>
        </w:tc>
        <w:tc>
          <w:tcPr>
            <w:tcW w:w="15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10,841</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9,734</w:t>
            </w:r>
          </w:p>
        </w:tc>
      </w:tr>
      <w:tr>
        <w:trPr>
          <w:trHeight w:val="179"/>
        </w:trPr>
        <w:tc>
          <w:tcPr>
            <w:tcW w:w="36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General and administrative</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6,626</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8,652</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7,147</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6,730</w:t>
            </w:r>
          </w:p>
        </w:tc>
        <w:tc>
          <w:tcPr>
            <w:tcW w:w="15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6,866</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5,398</w:t>
            </w:r>
          </w:p>
        </w:tc>
      </w:tr>
      <w:tr>
        <w:trPr>
          <w:trHeight w:val="179"/>
        </w:trPr>
        <w:tc>
          <w:tcPr>
            <w:tcW w:w="36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Amortization of intangibles</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2,027</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2,027</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1,888</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2,765</w:t>
            </w:r>
          </w:p>
        </w:tc>
        <w:tc>
          <w:tcPr>
            <w:tcW w:w="15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2,391</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2,574</w:t>
            </w:r>
          </w:p>
        </w:tc>
      </w:tr>
      <w:tr>
        <w:trPr>
          <w:trHeight w:val="179"/>
        </w:trPr>
        <w:tc>
          <w:tcPr>
            <w:tcW w:w="36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Restructurings</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2,382</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52</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2,165</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w:t>
            </w:r>
          </w:p>
        </w:tc>
        <w:tc>
          <w:tcPr>
            <w:tcW w:w="158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9"/>
              </w:rPr>
              <w:t>In-process research and development</w:t>
            </w:r>
          </w:p>
        </w:tc>
        <w:tc>
          <w:tcPr>
            <w:tcW w:w="9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3"/>
              </w:rPr>
              <w:t>--</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900</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Litigation accrual</w:t>
            </w:r>
          </w:p>
        </w:tc>
        <w:tc>
          <w:tcPr>
            <w:tcW w:w="940" w:type="dxa"/>
            <w:vAlign w:val="bottom"/>
          </w:tcPr>
          <w:p>
            <w:pPr>
              <w:jc w:val="center"/>
              <w:ind w:left="2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center"/>
              <w:ind w:left="102"/>
              <w:spacing w:after="0" w:line="179" w:lineRule="exact"/>
              <w:rPr>
                <w:sz w:val="20"/>
                <w:szCs w:val="20"/>
                <w:color w:val="auto"/>
              </w:rPr>
            </w:pPr>
            <w:r>
              <w:rPr>
                <w:rFonts w:ascii="Courier New" w:cs="Courier New" w:eastAsia="Courier New" w:hAnsi="Courier New"/>
                <w:sz w:val="16"/>
                <w:szCs w:val="16"/>
                <w:color w:val="auto"/>
                <w:w w:val="93"/>
              </w:rPr>
              <w:t>--</w:t>
            </w:r>
          </w:p>
        </w:tc>
        <w:tc>
          <w:tcPr>
            <w:tcW w:w="12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500</w:t>
            </w:r>
          </w:p>
        </w:tc>
        <w:tc>
          <w:tcPr>
            <w:tcW w:w="112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tcPr>
          <w:p>
            <w:pPr>
              <w:spacing w:after="0"/>
              <w:rPr>
                <w:sz w:val="15"/>
                <w:szCs w:val="15"/>
                <w:color w:val="auto"/>
              </w:rPr>
            </w:pP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Total operating expenses</w:t>
            </w: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$30,911</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$31,557</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$31,321</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$31,539</w:t>
            </w:r>
          </w:p>
        </w:tc>
        <w:tc>
          <w:tcPr>
            <w:tcW w:w="15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$31,270</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$27,730</w:t>
            </w:r>
          </w:p>
        </w:tc>
      </w:tr>
      <w:tr>
        <w:trPr>
          <w:trHeight w:val="179"/>
        </w:trPr>
        <w:tc>
          <w:tcPr>
            <w:tcW w:w="3660" w:type="dxa"/>
            <w:vAlign w:val="bottom"/>
          </w:tcPr>
          <w:p>
            <w:pPr>
              <w:spacing w:after="0"/>
              <w:rPr>
                <w:sz w:val="15"/>
                <w:szCs w:val="15"/>
                <w:color w:val="auto"/>
              </w:rPr>
            </w:pPr>
          </w:p>
        </w:tc>
        <w:tc>
          <w:tcPr>
            <w:tcW w:w="9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520"/>
          </w:cols>
          <w:pgMar w:left="240" w:top="1191" w:right="139" w:bottom="1440" w:gutter="0" w:footer="0" w:header="0"/>
          <w:type w:val="continuous"/>
        </w:sectPr>
      </w:pPr>
    </w:p>
    <w:bookmarkStart w:id="3" w:name="page4"/>
    <w:bookmarkEnd w:id="3"/>
    <w:p>
      <w:pPr>
        <w:ind w:left="3340"/>
        <w:spacing w:after="0"/>
        <w:rPr>
          <w:sz w:val="20"/>
          <w:szCs w:val="20"/>
          <w:color w:val="auto"/>
        </w:rPr>
      </w:pPr>
      <w:r>
        <w:rPr>
          <w:rFonts w:ascii="Courier New" w:cs="Courier New" w:eastAsia="Courier New" w:hAnsi="Courier New"/>
          <w:sz w:val="14"/>
          <w:szCs w:val="14"/>
          <w:color w:val="auto"/>
        </w:rPr>
        <w:t>SIGNATURE</w:t>
      </w:r>
    </w:p>
    <w:p>
      <w:pPr>
        <w:sectPr>
          <w:pgSz w:w="11900" w:h="16838" w:orient="portrait"/>
          <w:cols w:equalWidth="0" w:num="1">
            <w:col w:w="10219"/>
          </w:cols>
          <w:pgMar w:left="240" w:top="654" w:right="1440" w:bottom="1440" w:gutter="0" w:footer="0" w:header="0"/>
        </w:sectPr>
      </w:pPr>
    </w:p>
    <w:p>
      <w:pPr>
        <w:spacing w:after="0" w:line="199"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6"/>
          <w:szCs w:val="16"/>
          <w:color w:val="auto"/>
        </w:rPr>
        <w:t>Pursuant to the requirements of the Securities registrant has duly caused this report to be undersigned, hereunto duly authorized.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100"/>
        <w:spacing w:after="0"/>
        <w:tabs>
          <w:tab w:leader="none" w:pos="1000" w:val="left"/>
          <w:tab w:leader="none" w:pos="1740" w:val="left"/>
          <w:tab w:leader="none" w:pos="2400" w:val="left"/>
        </w:tabs>
        <w:rPr>
          <w:sz w:val="20"/>
          <w:szCs w:val="20"/>
          <w:color w:val="auto"/>
        </w:rPr>
      </w:pPr>
      <w:r>
        <w:rPr>
          <w:rFonts w:ascii="Courier New" w:cs="Courier New" w:eastAsia="Courier New" w:hAnsi="Courier New"/>
          <w:sz w:val="16"/>
          <w:szCs w:val="16"/>
          <w:color w:val="auto"/>
        </w:rPr>
        <w:t>Exchange</w:t>
        <w:tab/>
        <w:t>Act of</w:t>
        <w:tab/>
        <w:t>1934,</w:t>
      </w:r>
      <w:r>
        <w:rPr>
          <w:sz w:val="20"/>
          <w:szCs w:val="20"/>
          <w:color w:val="auto"/>
        </w:rPr>
        <w:tab/>
      </w:r>
      <w:r>
        <w:rPr>
          <w:rFonts w:ascii="Courier New" w:cs="Courier New" w:eastAsia="Courier New" w:hAnsi="Courier New"/>
          <w:sz w:val="14"/>
          <w:szCs w:val="14"/>
          <w:color w:val="auto"/>
        </w:rPr>
        <w:t>the</w:t>
      </w:r>
    </w:p>
    <w:p>
      <w:pPr>
        <w:spacing w:after="0"/>
        <w:tabs>
          <w:tab w:leader="none" w:pos="720" w:val="left"/>
          <w:tab w:leader="none" w:pos="1460" w:val="left"/>
        </w:tabs>
        <w:rPr>
          <w:sz w:val="20"/>
          <w:szCs w:val="20"/>
          <w:color w:val="auto"/>
        </w:rPr>
      </w:pPr>
      <w:r>
        <w:rPr>
          <w:rFonts w:ascii="Courier New" w:cs="Courier New" w:eastAsia="Courier New" w:hAnsi="Courier New"/>
          <w:sz w:val="16"/>
          <w:szCs w:val="16"/>
          <w:color w:val="auto"/>
        </w:rPr>
        <w:t>signed</w:t>
        <w:tab/>
        <w:t>on its</w:t>
      </w:r>
      <w:r>
        <w:rPr>
          <w:sz w:val="20"/>
          <w:szCs w:val="20"/>
          <w:color w:val="auto"/>
        </w:rPr>
        <w:tab/>
      </w:r>
      <w:r>
        <w:rPr>
          <w:rFonts w:ascii="Courier New" w:cs="Courier New" w:eastAsia="Courier New" w:hAnsi="Courier New"/>
          <w:sz w:val="14"/>
          <w:szCs w:val="14"/>
          <w:color w:val="auto"/>
        </w:rPr>
        <w:t>behalf by the</w:t>
      </w:r>
    </w:p>
    <w:p>
      <w:pPr>
        <w:spacing w:after="0" w:line="379" w:lineRule="exact"/>
        <w:rPr>
          <w:sz w:val="20"/>
          <w:szCs w:val="20"/>
          <w:color w:val="auto"/>
        </w:rPr>
      </w:pPr>
    </w:p>
    <w:p>
      <w:pPr>
        <w:sectPr>
          <w:pgSz w:w="11900" w:h="16838" w:orient="portrait"/>
          <w:cols w:equalWidth="0" w:num="2">
            <w:col w:w="4640" w:space="100"/>
            <w:col w:w="5479"/>
          </w:cols>
          <w:pgMar w:left="240" w:top="654" w:right="1440" w:bottom="1440" w:gutter="0" w:footer="0" w:header="0"/>
          <w:type w:val="continuous"/>
        </w:sectPr>
      </w:pPr>
    </w:p>
    <w:p>
      <w:pPr>
        <w:spacing w:after="0" w:line="33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ITRON, INC.</w:t>
      </w:r>
    </w:p>
    <w:p>
      <w:pPr>
        <w:spacing w:after="0" w:line="177" w:lineRule="exact"/>
        <w:rPr>
          <w:sz w:val="20"/>
          <w:szCs w:val="20"/>
          <w:color w:val="auto"/>
        </w:rPr>
      </w:pPr>
    </w:p>
    <w:p>
      <w:pPr>
        <w:spacing w:after="0"/>
        <w:tabs>
          <w:tab w:leader="none" w:pos="720" w:val="left"/>
          <w:tab w:leader="none" w:pos="4060" w:val="left"/>
          <w:tab w:leader="none" w:pos="4540" w:val="left"/>
        </w:tabs>
        <w:rPr>
          <w:sz w:val="20"/>
          <w:szCs w:val="20"/>
          <w:color w:val="auto"/>
        </w:rPr>
      </w:pPr>
      <w:r>
        <w:rPr>
          <w:rFonts w:ascii="Courier New" w:cs="Courier New" w:eastAsia="Courier New" w:hAnsi="Courier New"/>
          <w:sz w:val="16"/>
          <w:szCs w:val="16"/>
          <w:color w:val="auto"/>
        </w:rPr>
        <w:t>Dated:</w:t>
        <w:tab/>
        <w:t>July 19, 2004</w:t>
      </w:r>
      <w:r>
        <w:rPr>
          <w:sz w:val="20"/>
          <w:szCs w:val="20"/>
          <w:color w:val="auto"/>
        </w:rPr>
        <w:tab/>
      </w: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DAVID G. REMINGTON</w:t>
      </w:r>
    </w:p>
    <w:p>
      <w:pPr>
        <w:ind w:left="4560"/>
        <w:spacing w:after="0" w:line="236" w:lineRule="auto"/>
        <w:rPr>
          <w:sz w:val="20"/>
          <w:szCs w:val="20"/>
          <w:color w:val="auto"/>
        </w:rPr>
      </w:pPr>
      <w:r>
        <w:rPr>
          <w:rFonts w:ascii="Courier New" w:cs="Courier New" w:eastAsia="Courier New" w:hAnsi="Courier New"/>
          <w:sz w:val="16"/>
          <w:szCs w:val="16"/>
          <w:color w:val="auto"/>
        </w:rPr>
        <w:t>----------------------</w:t>
      </w:r>
    </w:p>
    <w:p>
      <w:pPr>
        <w:ind w:left="4640"/>
        <w:spacing w:after="0" w:line="237" w:lineRule="auto"/>
        <w:rPr>
          <w:sz w:val="20"/>
          <w:szCs w:val="20"/>
          <w:color w:val="auto"/>
        </w:rPr>
      </w:pPr>
      <w:r>
        <w:rPr>
          <w:rFonts w:ascii="Courier New" w:cs="Courier New" w:eastAsia="Courier New" w:hAnsi="Courier New"/>
          <w:sz w:val="16"/>
          <w:szCs w:val="16"/>
          <w:color w:val="auto"/>
        </w:rPr>
        <w:t>David G. Remington</w:t>
      </w:r>
    </w:p>
    <w:p>
      <w:pPr>
        <w:ind w:left="4640"/>
        <w:spacing w:after="0" w:line="237" w:lineRule="auto"/>
        <w:rPr>
          <w:sz w:val="20"/>
          <w:szCs w:val="20"/>
          <w:color w:val="auto"/>
        </w:rPr>
      </w:pPr>
      <w:r>
        <w:rPr>
          <w:rFonts w:ascii="Courier New" w:cs="Courier New" w:eastAsia="Courier New" w:hAnsi="Courier New"/>
          <w:sz w:val="16"/>
          <w:szCs w:val="16"/>
          <w:color w:val="auto"/>
        </w:rPr>
        <w:t>Vice President and</w:t>
      </w:r>
    </w:p>
    <w:p>
      <w:pPr>
        <w:jc w:val="right"/>
        <w:ind w:right="3439"/>
        <w:spacing w:after="0" w:line="237" w:lineRule="auto"/>
        <w:rPr>
          <w:sz w:val="20"/>
          <w:szCs w:val="20"/>
          <w:color w:val="auto"/>
        </w:rPr>
      </w:pPr>
      <w:r>
        <w:rPr>
          <w:rFonts w:ascii="Courier New" w:cs="Courier New" w:eastAsia="Courier New" w:hAnsi="Courier New"/>
          <w:sz w:val="16"/>
          <w:szCs w:val="16"/>
          <w:color w:val="auto"/>
        </w:rPr>
        <w:t>Chief Financial Officer</w:t>
      </w:r>
    </w:p>
    <w:sectPr>
      <w:pgSz w:w="11900" w:h="16838" w:orient="portrait"/>
      <w:cols w:equalWidth="0" w:num="1">
        <w:col w:w="10219"/>
      </w:cols>
      <w:pgMar w:left="240" w:top="65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2)"/>
      <w:numFmt w:val="decimal"/>
      <w:start w:val="50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2019-12-13T15:40:42Z</dcterms:created>
  <dcterms:modified xsi:type="dcterms:W3CDTF">2019-12-13T15:40:42Z</dcterms:modified>
</cp:coreProperties>
</file>