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720" w:hanging="681"/>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5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20" w:hanging="681"/>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56"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jc w:val="center"/>
              <w:ind w:left="88"/>
              <w:spacing w:after="0"/>
              <w:rPr>
                <w:sz w:val="20"/>
                <w:szCs w:val="20"/>
                <w:color w:val="auto"/>
              </w:rPr>
            </w:pPr>
            <w:r>
              <w:rPr>
                <w:rFonts w:ascii="Arial" w:cs="Arial" w:eastAsia="Arial" w:hAnsi="Arial"/>
                <w:sz w:val="43"/>
                <w:szCs w:val="43"/>
                <w:b w:val="1"/>
                <w:bCs w:val="1"/>
                <w:color w:val="auto"/>
              </w:rPr>
              <w:t>ITRON, INC.</w:t>
            </w: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86"/>
        </w:trPr>
        <w:tc>
          <w:tcPr>
            <w:tcW w:w="3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80" w:type="dxa"/>
            <w:vAlign w:val="bottom"/>
            <w:gridSpan w:val="5"/>
          </w:tcPr>
          <w:p>
            <w:pPr>
              <w:jc w:val="center"/>
              <w:ind w:right="377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69"/>
        </w:trPr>
        <w:tc>
          <w:tcPr>
            <w:tcW w:w="3640" w:type="dxa"/>
            <w:vAlign w:val="bottom"/>
          </w:tcPr>
          <w:p>
            <w:pPr>
              <w:jc w:val="center"/>
              <w:ind w:left="1633"/>
              <w:spacing w:after="0"/>
              <w:rPr>
                <w:sz w:val="20"/>
                <w:szCs w:val="20"/>
                <w:color w:val="auto"/>
              </w:rPr>
            </w:pPr>
            <w:r>
              <w:rPr>
                <w:rFonts w:ascii="Arial" w:cs="Arial" w:eastAsia="Arial" w:hAnsi="Arial"/>
                <w:sz w:val="18"/>
                <w:szCs w:val="18"/>
                <w:b w:val="1"/>
                <w:bCs w:val="1"/>
                <w:color w:val="auto"/>
                <w:w w:val="89"/>
              </w:rPr>
              <w:t>Washington</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rPr>
              <w:t>91-1011792</w:t>
            </w:r>
          </w:p>
        </w:tc>
      </w:tr>
      <w:tr>
        <w:trPr>
          <w:trHeight w:val="270"/>
        </w:trPr>
        <w:tc>
          <w:tcPr>
            <w:tcW w:w="3640" w:type="dxa"/>
            <w:vAlign w:val="bottom"/>
          </w:tcPr>
          <w:p>
            <w:pPr>
              <w:jc w:val="center"/>
              <w:ind w:left="1653"/>
              <w:spacing w:after="0"/>
              <w:rPr>
                <w:sz w:val="20"/>
                <w:szCs w:val="20"/>
                <w:color w:val="auto"/>
              </w:rPr>
            </w:pPr>
            <w:r>
              <w:rPr>
                <w:rFonts w:ascii="Arial" w:cs="Arial" w:eastAsia="Arial" w:hAnsi="Arial"/>
                <w:sz w:val="18"/>
                <w:szCs w:val="18"/>
                <w:b w:val="1"/>
                <w:bCs w:val="1"/>
                <w:color w:val="auto"/>
                <w:w w:val="91"/>
              </w:rPr>
              <w:t>(State of Incorporation)</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87"/>
        </w:trPr>
        <w:tc>
          <w:tcPr>
            <w:tcW w:w="11100" w:type="dxa"/>
            <w:vAlign w:val="bottom"/>
            <w:gridSpan w:val="7"/>
          </w:tcPr>
          <w:p>
            <w:pPr>
              <w:jc w:val="center"/>
              <w:ind w:left="53"/>
              <w:spacing w:after="0"/>
              <w:rPr>
                <w:sz w:val="20"/>
                <w:szCs w:val="20"/>
                <w:color w:val="auto"/>
              </w:rPr>
            </w:pPr>
            <w:r>
              <w:rPr>
                <w:rFonts w:ascii="Arial" w:cs="Arial" w:eastAsia="Arial" w:hAnsi="Arial"/>
                <w:sz w:val="18"/>
                <w:szCs w:val="18"/>
                <w:b w:val="1"/>
                <w:bCs w:val="1"/>
                <w:color w:val="auto"/>
                <w:w w:val="92"/>
              </w:rPr>
              <w:t>2111 N Molter Road, Liberty Lake, Washington 99019</w:t>
            </w:r>
          </w:p>
        </w:tc>
      </w:tr>
      <w:tr>
        <w:trPr>
          <w:trHeight w:val="234"/>
        </w:trPr>
        <w:tc>
          <w:tcPr>
            <w:tcW w:w="3640" w:type="dxa"/>
            <w:vAlign w:val="bottom"/>
          </w:tcPr>
          <w:p>
            <w:pPr>
              <w:spacing w:after="0"/>
              <w:rPr>
                <w:sz w:val="20"/>
                <w:szCs w:val="20"/>
                <w:color w:val="auto"/>
              </w:rPr>
            </w:pPr>
          </w:p>
        </w:tc>
        <w:tc>
          <w:tcPr>
            <w:tcW w:w="3180" w:type="dxa"/>
            <w:vAlign w:val="bottom"/>
            <w:gridSpan w:val="3"/>
          </w:tcPr>
          <w:p>
            <w:pPr>
              <w:jc w:val="center"/>
              <w:ind w:left="699"/>
              <w:spacing w:after="0"/>
              <w:rPr>
                <w:sz w:val="20"/>
                <w:szCs w:val="20"/>
                <w:color w:val="auto"/>
              </w:rPr>
            </w:pPr>
            <w:r>
              <w:rPr>
                <w:rFonts w:ascii="Arial" w:cs="Arial" w:eastAsia="Arial" w:hAnsi="Arial"/>
                <w:sz w:val="18"/>
                <w:szCs w:val="18"/>
                <w:b w:val="1"/>
                <w:bCs w:val="1"/>
                <w:color w:val="auto"/>
                <w:w w:val="90"/>
              </w:rPr>
              <w:t>(509) 924-9900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190"/>
        </w:trPr>
        <w:tc>
          <w:tcPr>
            <w:tcW w:w="11100" w:type="dxa"/>
            <w:vAlign w:val="bottom"/>
            <w:gridSpan w:val="7"/>
          </w:tcPr>
          <w:p>
            <w:pPr>
              <w:jc w:val="center"/>
              <w:ind w:left="33"/>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58"/>
        </w:trPr>
        <w:tc>
          <w:tcPr>
            <w:tcW w:w="11100" w:type="dxa"/>
            <w:vAlign w:val="bottom"/>
            <w:gridSpan w:val="7"/>
          </w:tcPr>
          <w:p>
            <w:pPr>
              <w:jc w:val="center"/>
              <w:ind w:left="53"/>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3640" w:type="dxa"/>
            <w:vAlign w:val="bottom"/>
          </w:tcPr>
          <w:p>
            <w:pPr>
              <w:jc w:val="center"/>
              <w:ind w:left="293"/>
              <w:spacing w:after="0"/>
              <w:rPr>
                <w:sz w:val="20"/>
                <w:szCs w:val="20"/>
                <w:color w:val="auto"/>
              </w:rPr>
            </w:pPr>
            <w:r>
              <w:rPr>
                <w:rFonts w:ascii="Arial" w:cs="Arial" w:eastAsia="Arial" w:hAnsi="Arial"/>
                <w:sz w:val="18"/>
                <w:szCs w:val="18"/>
                <w:b w:val="1"/>
                <w:bCs w:val="1"/>
                <w:color w:val="auto"/>
                <w:w w:val="86"/>
              </w:rPr>
              <w:t>Title of each class</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Trading Symbol(s)</w:t>
            </w:r>
          </w:p>
        </w:tc>
        <w:tc>
          <w:tcPr>
            <w:tcW w:w="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jc w:val="center"/>
              <w:ind w:left="293"/>
              <w:spacing w:after="0"/>
              <w:rPr>
                <w:sz w:val="20"/>
                <w:szCs w:val="20"/>
                <w:color w:val="auto"/>
              </w:rPr>
            </w:pPr>
            <w:r>
              <w:rPr>
                <w:rFonts w:ascii="Arial" w:cs="Arial" w:eastAsia="Arial" w:hAnsi="Arial"/>
                <w:sz w:val="18"/>
                <w:szCs w:val="18"/>
                <w:color w:val="auto"/>
                <w:w w:val="89"/>
              </w:rPr>
              <w:t>Common stock, no par 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center"/>
              <w:ind w:right="60"/>
              <w:spacing w:after="0"/>
              <w:rPr>
                <w:sz w:val="20"/>
                <w:szCs w:val="20"/>
                <w:color w:val="auto"/>
              </w:rPr>
            </w:pPr>
            <w:r>
              <w:rPr>
                <w:rFonts w:ascii="Arial" w:cs="Arial" w:eastAsia="Arial" w:hAnsi="Arial"/>
                <w:sz w:val="18"/>
                <w:szCs w:val="18"/>
                <w:color w:val="auto"/>
              </w:rPr>
              <w:t>ITRI</w:t>
            </w:r>
          </w:p>
        </w:tc>
        <w:tc>
          <w:tcPr>
            <w:tcW w:w="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98"/>
        </w:trPr>
        <w:tc>
          <w:tcPr>
            <w:tcW w:w="3640" w:type="dxa"/>
            <w:vAlign w:val="bottom"/>
          </w:tcPr>
          <w:p>
            <w:pPr>
              <w:spacing w:after="0"/>
              <w:rPr>
                <w:sz w:val="24"/>
                <w:szCs w:val="24"/>
                <w:color w:val="auto"/>
              </w:rPr>
            </w:pPr>
          </w:p>
        </w:tc>
        <w:tc>
          <w:tcPr>
            <w:tcW w:w="7460" w:type="dxa"/>
            <w:vAlign w:val="bottom"/>
            <w:gridSpan w:val="6"/>
          </w:tcPr>
          <w:p>
            <w:pPr>
              <w:jc w:val="center"/>
              <w:ind w:right="339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bl>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400" w:type="dxa"/>
        <w:tblCellMar>
          <w:top w:w="0" w:type="dxa"/>
          <w:left w:w="0" w:type="dxa"/>
          <w:bottom w:w="0" w:type="dxa"/>
          <w:right w:w="0" w:type="dxa"/>
        </w:tblCellMar>
      </w:tblPr>
      <w:tr>
        <w:trPr>
          <w:trHeight w:val="29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5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July 31, 2020, there were outstanding 40,332,428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0240" w:type="dxa"/>
            <w:vAlign w:val="bottom"/>
          </w:tcPr>
          <w:p>
            <w:pPr>
              <w:ind w:left="5240"/>
              <w:spacing w:after="0"/>
              <w:rPr>
                <w:sz w:val="20"/>
                <w:szCs w:val="20"/>
                <w:color w:val="auto"/>
              </w:rPr>
            </w:pPr>
            <w:r>
              <w:rPr>
                <w:rFonts w:ascii="Arial" w:cs="Arial" w:eastAsia="Arial" w:hAnsi="Arial"/>
                <w:sz w:val="18"/>
                <w:szCs w:val="18"/>
                <w:b w:val="1"/>
                <w:bCs w:val="1"/>
                <w:color w:val="auto"/>
              </w:rPr>
              <w:t>Itron, Inc.</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40" w:type="dxa"/>
            <w:vAlign w:val="bottom"/>
          </w:tcPr>
          <w:p>
            <w:pPr>
              <w:ind w:left="49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024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240" w:type="dxa"/>
            <w:vAlign w:val="bottom"/>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240" w:type="dxa"/>
            <w:vAlign w:val="bottom"/>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0240" w:type="dxa"/>
            <w:vAlign w:val="bottom"/>
          </w:tcPr>
          <w:p>
            <w:pPr>
              <w:ind w:left="10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486"/>
        </w:trPr>
        <w:tc>
          <w:tcPr>
            <w:tcW w:w="10240" w:type="dxa"/>
            <w:vAlign w:val="bottom"/>
          </w:tcPr>
          <w:p>
            <w:pPr>
              <w:ind w:left="10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Comprehensive Income (Loss)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486"/>
        </w:trPr>
        <w:tc>
          <w:tcPr>
            <w:tcW w:w="10240" w:type="dxa"/>
            <w:vAlign w:val="bottom"/>
          </w:tcPr>
          <w:p>
            <w:pPr>
              <w:ind w:left="10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486"/>
        </w:trPr>
        <w:tc>
          <w:tcPr>
            <w:tcW w:w="10240" w:type="dxa"/>
            <w:vAlign w:val="bottom"/>
          </w:tcPr>
          <w:p>
            <w:pPr>
              <w:ind w:left="10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Equity</w:t>
              </w:r>
            </w:hyperlink>
          </w:p>
        </w:tc>
        <w:tc>
          <w:tcPr>
            <w:tcW w:w="7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486"/>
        </w:trPr>
        <w:tc>
          <w:tcPr>
            <w:tcW w:w="10240" w:type="dxa"/>
            <w:vAlign w:val="bottom"/>
          </w:tcPr>
          <w:p>
            <w:pPr>
              <w:ind w:left="10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w:t>
              </w:r>
            </w:hyperlink>
          </w:p>
        </w:tc>
        <w:tc>
          <w:tcPr>
            <w:tcW w:w="7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486"/>
        </w:trPr>
        <w:tc>
          <w:tcPr>
            <w:tcW w:w="10240" w:type="dxa"/>
            <w:vAlign w:val="bottom"/>
          </w:tcPr>
          <w:p>
            <w:pPr>
              <w:ind w:left="10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Consolidated Financial Statements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8">
        <w:r>
          <w:rPr>
            <w:rFonts w:ascii="Arial" w:cs="Arial" w:eastAsia="Arial" w:hAnsi="Arial"/>
            <w:sz w:val="18"/>
            <w:szCs w:val="18"/>
            <w:u w:val="single" w:color="auto"/>
            <w:color w:val="0000FF"/>
          </w:rPr>
          <w:t>Management’s Discussion and Analysis of Financial Condition and Results of Operations</w:t>
        </w:r>
      </w:hyperlink>
    </w:p>
    <w:p>
      <w:pPr>
        <w:ind w:left="1078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26</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5">
        <w:r>
          <w:rPr>
            <w:rFonts w:ascii="Arial" w:cs="Arial" w:eastAsia="Arial" w:hAnsi="Arial"/>
            <w:sz w:val="18"/>
            <w:szCs w:val="18"/>
            <w:u w:val="single" w:color="auto"/>
            <w:color w:val="0000FF"/>
          </w:rPr>
          <w:t>Quantitative and Qualitative Disclosures About Market Risk</w:t>
        </w:r>
      </w:hyperlink>
    </w:p>
    <w:p>
      <w:pPr>
        <w:ind w:left="1078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7">
        <w:r>
          <w:rPr>
            <w:rFonts w:ascii="Arial" w:cs="Arial" w:eastAsia="Arial" w:hAnsi="Arial"/>
            <w:sz w:val="18"/>
            <w:szCs w:val="18"/>
            <w:u w:val="single" w:color="auto"/>
            <w:color w:val="0000FF"/>
          </w:rPr>
          <w:t>Controls and Procedures</w:t>
        </w:r>
      </w:hyperlink>
    </w:p>
    <w:p>
      <w:pPr>
        <w:ind w:left="1078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45</w:t>
        </w:r>
      </w:hyperlink>
    </w:p>
    <w:p>
      <w:pPr>
        <w:spacing w:after="0" w:line="200" w:lineRule="exact"/>
        <w:rPr>
          <w:sz w:val="20"/>
          <w:szCs w:val="20"/>
          <w:color w:val="auto"/>
        </w:rPr>
      </w:pPr>
    </w:p>
    <w:p>
      <w:pPr>
        <w:spacing w:after="0" w:line="33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PART II: OTHER INFORMATION</w:t>
        </w:r>
      </w:hyperlink>
    </w:p>
    <w:p>
      <w:pPr>
        <w:spacing w:after="0" w:line="376"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8">
        <w:r>
          <w:rPr>
            <w:rFonts w:ascii="Arial" w:cs="Arial" w:eastAsia="Arial" w:hAnsi="Arial"/>
            <w:sz w:val="18"/>
            <w:szCs w:val="18"/>
            <w:u w:val="single" w:color="auto"/>
            <w:color w:val="0000FF"/>
          </w:rPr>
          <w:t>Legal Proceedings</w:t>
        </w:r>
      </w:hyperlink>
    </w:p>
    <w:p>
      <w:pPr>
        <w:ind w:left="1078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46</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8">
        <w:r>
          <w:rPr>
            <w:rFonts w:ascii="Arial" w:cs="Arial" w:eastAsia="Arial" w:hAnsi="Arial"/>
            <w:sz w:val="18"/>
            <w:szCs w:val="18"/>
            <w:u w:val="single" w:color="auto"/>
            <w:color w:val="0000FF"/>
          </w:rPr>
          <w:t>Risk Factors</w:t>
        </w:r>
      </w:hyperlink>
    </w:p>
    <w:p>
      <w:pPr>
        <w:ind w:left="1078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46</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8">
        <w:r>
          <w:rPr>
            <w:rFonts w:ascii="Arial" w:cs="Arial" w:eastAsia="Arial" w:hAnsi="Arial"/>
            <w:sz w:val="18"/>
            <w:szCs w:val="18"/>
            <w:u w:val="single" w:color="auto"/>
            <w:color w:val="0000FF"/>
          </w:rPr>
          <w:t>Unregistered Sales of Equity Securities and Use of Proceeds</w:t>
        </w:r>
      </w:hyperlink>
    </w:p>
    <w:p>
      <w:pPr>
        <w:ind w:left="10780"/>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9">
        <w:r>
          <w:rPr>
            <w:rFonts w:ascii="Arial" w:cs="Arial" w:eastAsia="Arial" w:hAnsi="Arial"/>
            <w:sz w:val="18"/>
            <w:szCs w:val="18"/>
            <w:u w:val="single" w:color="auto"/>
            <w:color w:val="0000FF"/>
          </w:rPr>
          <w:t>Other Information</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47</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9">
        <w:r>
          <w:rPr>
            <w:rFonts w:ascii="Arial" w:cs="Arial" w:eastAsia="Arial" w:hAnsi="Arial"/>
            <w:sz w:val="18"/>
            <w:szCs w:val="18"/>
            <w:u w:val="single" w:color="auto"/>
            <w:color w:val="0000FF"/>
          </w:rPr>
          <w:t>Exhibits</w:t>
        </w:r>
      </w:hyperlink>
    </w:p>
    <w:p>
      <w:pPr>
        <w:ind w:left="1078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48</w:t>
        </w:r>
      </w:hyperlink>
    </w:p>
    <w:p>
      <w:pPr>
        <w:sectPr>
          <w:pgSz w:w="11900" w:h="16838" w:orient="portrait"/>
          <w:cols w:equalWidth="0" w:num="1">
            <w:col w:w="10960"/>
          </w:cols>
          <w:pgMar w:left="320" w:top="125" w:right="6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0760" w:val="left"/>
        </w:tabs>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SIGNATURE</w:t>
      </w:r>
      <w:r>
        <w:rPr>
          <w:sz w:val="20"/>
          <w:szCs w:val="20"/>
          <w:color w:val="auto"/>
        </w:rPr>
        <w:tab/>
      </w:r>
      <w:hyperlink w:anchor="page50">
        <w:r>
          <w:rPr>
            <w:rFonts w:ascii="Arial" w:cs="Arial" w:eastAsia="Arial" w:hAnsi="Arial"/>
            <w:sz w:val="16"/>
            <w:szCs w:val="16"/>
            <w:u w:val="single" w:color="auto"/>
            <w:color w:val="0000FF"/>
          </w:rPr>
          <w:t>49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438,985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566,047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967,122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1,110,897</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70,609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68,990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140,887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509,594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1,108,009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1,249,613</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713,974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787,135</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Service cost of revenues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41,784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42,790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83,952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84,001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371,077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443,823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797,926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871,136</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138,517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191,214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310,083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378,477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69,538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88,259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150,036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180,974</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48,994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49,449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102,775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99,939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22,305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32,090</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of business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56,915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56,915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36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183,904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147,656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329,100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314,096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(45,387)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43,558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(19,017)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64,381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(27,031)</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(29,873)</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34,508</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(14,540)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243"/>
        </w:trPr>
        <w:tc>
          <w:tcPr>
            <w:tcW w:w="4360" w:type="dxa"/>
            <w:vAlign w:val="bottom"/>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(62,802)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19,446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17,539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vMerge w:val="continue"/>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w w:val="98"/>
              </w:rPr>
              <w:t>Weighted average common shares outstanding - Basic</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40,216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39,389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40,130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Weighted average common shares outstanding - Diluted</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40,216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39,686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40,130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0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(14,135)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Foreign currency translation adjustment reclassified to</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52,088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52,088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on sale of business</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60" w:type="dxa"/>
            <w:vAlign w:val="bottom"/>
          </w:tcPr>
          <w:p>
            <w:pPr>
              <w:ind w:left="180"/>
              <w:spacing w:after="0" w:line="176" w:lineRule="exact"/>
              <w:rPr>
                <w:sz w:val="20"/>
                <w:szCs w:val="20"/>
                <w:color w:val="auto"/>
              </w:rPr>
            </w:pPr>
            <w:r>
              <w:rPr>
                <w:rFonts w:ascii="Arial" w:cs="Arial" w:eastAsia="Arial" w:hAnsi="Arial"/>
                <w:sz w:val="18"/>
                <w:szCs w:val="18"/>
                <w:color w:val="auto"/>
              </w:rPr>
              <w:t>Net unrealized gain (loss) on derivative instruments,</w:t>
            </w:r>
          </w:p>
        </w:tc>
        <w:tc>
          <w:tcPr>
            <w:tcW w:w="380" w:type="dxa"/>
            <w:vAlign w:val="bottom"/>
          </w:tcPr>
          <w:p>
            <w:pPr>
              <w:spacing w:after="0"/>
              <w:rPr>
                <w:sz w:val="15"/>
                <w:szCs w:val="15"/>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restart"/>
          </w:tcPr>
          <w:p>
            <w:pPr>
              <w:jc w:val="right"/>
              <w:ind w:right="11"/>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9"/>
        </w:trPr>
        <w:tc>
          <w:tcPr>
            <w:tcW w:w="4360" w:type="dxa"/>
            <w:vAlign w:val="bottom"/>
          </w:tcPr>
          <w:p>
            <w:pPr>
              <w:ind w:left="360"/>
              <w:spacing w:after="0"/>
              <w:rPr>
                <w:sz w:val="20"/>
                <w:szCs w:val="20"/>
                <w:color w:val="auto"/>
              </w:rPr>
            </w:pPr>
            <w:r>
              <w:rPr>
                <w:rFonts w:ascii="Arial" w:cs="Arial" w:eastAsia="Arial" w:hAnsi="Arial"/>
                <w:sz w:val="18"/>
                <w:szCs w:val="18"/>
                <w:color w:val="auto"/>
              </w:rPr>
              <w:t>designated as cash flow hedges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62,056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36,845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23,853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(16,480)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21,924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180"/>
              <w:spacing w:after="0" w:line="176" w:lineRule="exact"/>
              <w:rPr>
                <w:sz w:val="20"/>
                <w:szCs w:val="20"/>
                <w:color w:val="auto"/>
              </w:rPr>
            </w:pPr>
            <w:r>
              <w:rPr>
                <w:rFonts w:ascii="Arial" w:cs="Arial" w:eastAsia="Arial" w:hAnsi="Arial"/>
                <w:sz w:val="18"/>
                <w:szCs w:val="18"/>
                <w:color w:val="auto"/>
                <w:w w:val="98"/>
              </w:rPr>
              <w:t>Comprehensive income attributable to noncontrolling</w:t>
            </w:r>
          </w:p>
        </w:tc>
        <w:tc>
          <w:tcPr>
            <w:tcW w:w="380" w:type="dxa"/>
            <w:vAlign w:val="bottom"/>
          </w:tcPr>
          <w:p>
            <w:pPr>
              <w:spacing w:after="0"/>
              <w:rPr>
                <w:sz w:val="15"/>
                <w:szCs w:val="15"/>
                <w:color w:val="auto"/>
              </w:rPr>
            </w:pPr>
          </w:p>
        </w:tc>
        <w:tc>
          <w:tcPr>
            <w:tcW w:w="1260" w:type="dxa"/>
            <w:vAlign w:val="bottom"/>
            <w:vMerge w:val="restart"/>
          </w:tcPr>
          <w:p>
            <w:pPr>
              <w:jc w:val="right"/>
              <w:ind w:right="7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vMerge w:val="restart"/>
          </w:tcPr>
          <w:p>
            <w:pPr>
              <w:jc w:val="right"/>
              <w:ind w:right="51"/>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ind w:right="52"/>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 net of tax</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23,182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6760" w:type="dxa"/>
            <w:vAlign w:val="bottom"/>
          </w:tcPr>
          <w:p>
            <w:pPr>
              <w:jc w:val="center"/>
              <w:ind w:left="4410"/>
              <w:spacing w:after="0"/>
              <w:rPr>
                <w:sz w:val="20"/>
                <w:szCs w:val="20"/>
                <w:color w:val="auto"/>
              </w:rPr>
            </w:pPr>
            <w:r>
              <w:rPr>
                <w:rFonts w:ascii="Arial" w:cs="Arial" w:eastAsia="Arial" w:hAnsi="Arial"/>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jc w:val="center"/>
              <w:ind w:left="3890"/>
              <w:spacing w:after="0"/>
              <w:rPr>
                <w:sz w:val="20"/>
                <w:szCs w:val="20"/>
                <w:color w:val="auto"/>
              </w:rPr>
            </w:pPr>
            <w:r>
              <w:rPr>
                <w:rFonts w:ascii="Arial" w:cs="Arial" w:eastAsia="Arial" w:hAnsi="Arial"/>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jc w:val="center"/>
              <w:ind w:left="4390"/>
              <w:spacing w:after="0"/>
              <w:rPr>
                <w:sz w:val="20"/>
                <w:szCs w:val="20"/>
                <w:color w:val="auto"/>
              </w:rPr>
            </w:pPr>
            <w:r>
              <w:rPr>
                <w:rFonts w:ascii="Arial" w:cs="Arial" w:eastAsia="Arial" w:hAnsi="Arial"/>
                <w:sz w:val="18"/>
                <w:szCs w:val="18"/>
                <w:b w:val="1"/>
                <w:bCs w:val="1"/>
                <w:color w:val="auto"/>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3"/>
                <w:szCs w:val="23"/>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3"/>
                <w:szCs w:val="23"/>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544,823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149,904</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411,200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472,925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227,896</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172,241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146,526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1,354,828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997,251</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233,228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57,835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63,899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45,610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78,777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79,773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185,097</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1,101,648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1,103,907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3,012,142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240,221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328,128</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63,429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63,785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119,220</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19,878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33,039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38,509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37"/>
        </w:trPr>
        <w:tc>
          <w:tcPr>
            <w:tcW w:w="67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601,679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671,391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1,320,004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932,482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14,732</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Pension benefit obligation</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99,184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98,712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69,337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68,919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5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105,557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118,981</w:t>
            </w:r>
          </w:p>
        </w:tc>
        <w:tc>
          <w:tcPr>
            <w:tcW w:w="0" w:type="dxa"/>
            <w:vAlign w:val="bottom"/>
          </w:tcPr>
          <w:p>
            <w:pPr>
              <w:spacing w:after="0"/>
              <w:rPr>
                <w:sz w:val="1"/>
                <w:szCs w:val="1"/>
                <w:color w:val="auto"/>
              </w:rPr>
            </w:pPr>
          </w:p>
        </w:tc>
      </w:tr>
      <w:tr>
        <w:trPr>
          <w:trHeight w:val="236"/>
        </w:trPr>
        <w:tc>
          <w:tcPr>
            <w:tcW w:w="67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5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2,209,273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1,907,026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5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40,234 and 39,941 shares issued</w:t>
            </w:r>
          </w:p>
        </w:tc>
        <w:tc>
          <w:tcPr>
            <w:tcW w:w="500" w:type="dxa"/>
            <w:vAlign w:val="bottom"/>
          </w:tcPr>
          <w:p>
            <w:pPr>
              <w:spacing w:after="0"/>
              <w:rPr>
                <w:sz w:val="15"/>
                <w:szCs w:val="15"/>
                <w:color w:val="auto"/>
              </w:rPr>
            </w:pPr>
          </w:p>
        </w:tc>
        <w:tc>
          <w:tcPr>
            <w:tcW w:w="1680" w:type="dxa"/>
            <w:vAlign w:val="bottom"/>
            <w:vMerge w:val="restart"/>
          </w:tcPr>
          <w:p>
            <w:pPr>
              <w:jc w:val="right"/>
              <w:ind w:right="50"/>
              <w:spacing w:after="0"/>
              <w:rPr>
                <w:sz w:val="20"/>
                <w:szCs w:val="20"/>
                <w:color w:val="auto"/>
              </w:rPr>
            </w:pPr>
            <w:r>
              <w:rPr>
                <w:rFonts w:ascii="Arial" w:cs="Arial" w:eastAsia="Arial" w:hAnsi="Arial"/>
                <w:sz w:val="18"/>
                <w:szCs w:val="18"/>
                <w:color w:val="auto"/>
              </w:rPr>
              <w:t>1,376,134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ind w:right="70"/>
              <w:spacing w:after="0"/>
              <w:rPr>
                <w:sz w:val="20"/>
                <w:szCs w:val="20"/>
                <w:color w:val="auto"/>
              </w:rPr>
            </w:pPr>
            <w:r>
              <w:rPr>
                <w:rFonts w:ascii="Arial" w:cs="Arial" w:eastAsia="Arial" w:hAnsi="Arial"/>
                <w:sz w:val="18"/>
                <w:szCs w:val="18"/>
                <w:color w:val="auto"/>
              </w:rPr>
              <w:t>1,357,600</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5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(204,672)</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5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(430,508)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(376,390)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Itron, Inc. shareholders'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777,799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776,538</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50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25,070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24,277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802,869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800,815</w:t>
            </w:r>
          </w:p>
        </w:tc>
        <w:tc>
          <w:tcPr>
            <w:tcW w:w="0" w:type="dxa"/>
            <w:vAlign w:val="bottom"/>
          </w:tcPr>
          <w:p>
            <w:pPr>
              <w:spacing w:after="0"/>
              <w:rPr>
                <w:sz w:val="1"/>
                <w:szCs w:val="1"/>
                <w:color w:val="auto"/>
              </w:rPr>
            </w:pPr>
          </w:p>
        </w:tc>
      </w:tr>
      <w:tr>
        <w:trPr>
          <w:trHeight w:val="236"/>
        </w:trPr>
        <w:tc>
          <w:tcPr>
            <w:tcW w:w="676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3,012,142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4"/>
                <w:szCs w:val="4"/>
                <w:color w:val="auto"/>
              </w:rPr>
            </w:pPr>
          </w:p>
        </w:tc>
        <w:tc>
          <w:tcPr>
            <w:tcW w:w="1180" w:type="dxa"/>
            <w:vAlign w:val="bottom"/>
            <w:gridSpan w:val="2"/>
            <w:vMerge w:val="restart"/>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900" w:type="dxa"/>
            <w:vAlign w:val="bottom"/>
          </w:tcPr>
          <w:p>
            <w:pPr>
              <w:spacing w:after="0"/>
              <w:rPr>
                <w:sz w:val="4"/>
                <w:szCs w:val="4"/>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1,357,600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(204,672)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(376,390)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776,538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24,277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9,162</w:t>
            </w:r>
          </w:p>
        </w:tc>
        <w:tc>
          <w:tcPr>
            <w:tcW w:w="0" w:type="dxa"/>
            <w:vAlign w:val="bottom"/>
          </w:tcPr>
          <w:p>
            <w:pPr>
              <w:spacing w:after="0"/>
              <w:rPr>
                <w:sz w:val="1"/>
                <w:szCs w:val="1"/>
                <w:color w:val="auto"/>
              </w:rPr>
            </w:pPr>
          </w:p>
        </w:tc>
      </w:tr>
      <w:tr>
        <w:trPr>
          <w:trHeight w:val="20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(25,211)</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rPr>
                <w:sz w:val="20"/>
                <w:szCs w:val="20"/>
                <w:color w:val="auto"/>
              </w:rPr>
            </w:pPr>
            <w:r>
              <w:rPr>
                <w:rFonts w:ascii="Arial" w:cs="Arial" w:eastAsia="Arial" w:hAnsi="Arial"/>
                <w:sz w:val="14"/>
                <w:szCs w:val="14"/>
                <w:color w:val="auto"/>
              </w:rPr>
              <w:t>Net stock issues and repurchases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20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8,482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8,482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40,176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1,368,329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(229,883)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(367,706)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770,740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24,755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795,495</w:t>
            </w:r>
          </w:p>
        </w:tc>
        <w:tc>
          <w:tcPr>
            <w:tcW w:w="0" w:type="dxa"/>
            <w:vAlign w:val="bottom"/>
          </w:tcPr>
          <w:p>
            <w:pPr>
              <w:spacing w:after="0"/>
              <w:rPr>
                <w:sz w:val="1"/>
                <w:szCs w:val="1"/>
                <w:color w:val="auto"/>
              </w:rPr>
            </w:pPr>
          </w:p>
        </w:tc>
      </w:tr>
      <w:tr>
        <w:trPr>
          <w:trHeight w:val="20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(62,487)</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rPr>
                <w:sz w:val="20"/>
                <w:szCs w:val="20"/>
                <w:color w:val="auto"/>
              </w:rPr>
            </w:pPr>
            <w:r>
              <w:rPr>
                <w:rFonts w:ascii="Arial" w:cs="Arial" w:eastAsia="Arial" w:hAnsi="Arial"/>
                <w:sz w:val="14"/>
                <w:szCs w:val="14"/>
                <w:color w:val="auto"/>
                <w:w w:val="99"/>
              </w:rPr>
              <w:t>Other comprehensive income (loss), net of tax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62,056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62,056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62,056</w:t>
            </w:r>
          </w:p>
        </w:tc>
        <w:tc>
          <w:tcPr>
            <w:tcW w:w="0" w:type="dxa"/>
            <w:vAlign w:val="bottom"/>
          </w:tcPr>
          <w:p>
            <w:pPr>
              <w:spacing w:after="0"/>
              <w:rPr>
                <w:sz w:val="1"/>
                <w:szCs w:val="1"/>
                <w:color w:val="auto"/>
              </w:rPr>
            </w:pPr>
          </w:p>
        </w:tc>
      </w:tr>
      <w:tr>
        <w:trPr>
          <w:trHeight w:val="208"/>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issues and repurchases</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7,099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7,099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7,099</w:t>
            </w:r>
          </w:p>
        </w:tc>
        <w:tc>
          <w:tcPr>
            <w:tcW w:w="0" w:type="dxa"/>
            <w:vAlign w:val="bottom"/>
          </w:tcPr>
          <w:p>
            <w:pPr>
              <w:spacing w:after="0"/>
              <w:rPr>
                <w:sz w:val="1"/>
                <w:szCs w:val="1"/>
                <w:color w:val="auto"/>
              </w:rPr>
            </w:pPr>
          </w:p>
        </w:tc>
      </w:tr>
      <w:tr>
        <w:trPr>
          <w:trHeight w:val="221"/>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40,234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1,376,134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(167,827)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(430,508)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777,799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25,070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802,869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2019</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39,498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1,334,364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(196,305)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(425,396)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712,663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Other comprehensive income (loss), net of tax</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issues and repurchases</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7,048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7,048</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repurchased</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(7,814)</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Balances at March 31, 2019</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39,693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1,334,793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(198,085)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(427,303)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709,405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22,626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732,031</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20,117</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w w:val="99"/>
              </w:rPr>
              <w:t>Other comprehensive income (loss), net of tax</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issues and repurchases</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197"/>
        </w:trPr>
        <w:tc>
          <w:tcPr>
            <w:tcW w:w="28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6,420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6,420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6,420</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repurchased</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(17,186)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(17,186)</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Arial" w:cs="Arial" w:eastAsia="Arial" w:hAnsi="Arial"/>
                <w:sz w:val="14"/>
                <w:szCs w:val="14"/>
                <w:color w:val="auto"/>
              </w:rPr>
              <w:t>Balances at June 30, 2019</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39,395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1,325,508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(194,349)</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(407,857)</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723,302</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23,297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746,599</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96"/>
        </w:trPr>
        <w:tc>
          <w:tcPr>
            <w:tcW w:w="7840" w:type="dxa"/>
            <w:vAlign w:val="bottom"/>
          </w:tcPr>
          <w:p>
            <w:pPr>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19,968</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48,230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57,068</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Non-cash operating lease expense</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9,909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9,481</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13,783</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Amortization of prepaid debt fees</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2,402</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Deferred taxes,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2,076</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Loss on sale of business</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56,915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Restructuring, non-cash</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(5,295)</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Other adjustments, net</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(3,471)</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52,031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(29,121)</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Inventories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(9,202)</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(7,861)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(14,413)</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long-term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6,616</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Accounts payable, other current liabilities, and taxes payable</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(76,144)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(2,801)</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Wages and benefits payable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13,484</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Unearned revenue</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23,099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14,961</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Warranty</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(3,270)</w:t>
            </w:r>
          </w:p>
        </w:tc>
      </w:tr>
      <w:tr>
        <w:trPr>
          <w:trHeight w:val="19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operating, net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5,797</w:t>
            </w: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25,786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78,063</w:t>
            </w:r>
          </w:p>
        </w:tc>
      </w:tr>
      <w:tr>
        <w:trPr>
          <w:trHeight w:val="216"/>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Net payments related to the sale of business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(26,511)</w:t>
            </w:r>
          </w:p>
        </w:tc>
      </w:tr>
      <w:tr>
        <w:trPr>
          <w:trHeight w:val="19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investing, net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9,773</w:t>
            </w: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(16,738)</w:t>
            </w:r>
          </w:p>
        </w:tc>
      </w:tr>
      <w:tr>
        <w:trPr>
          <w:trHeight w:val="216"/>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Proceeds from borrowings</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50,000</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Payments on debt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(72,188)</w:t>
            </w: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4,183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4,001</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Prepaid debt fees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financing,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(3,165)</w:t>
            </w: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401,963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(46,527)</w:t>
            </w:r>
          </w:p>
        </w:tc>
      </w:tr>
      <w:tr>
        <w:trPr>
          <w:trHeight w:val="222"/>
        </w:trPr>
        <w:tc>
          <w:tcPr>
            <w:tcW w:w="7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97"/>
        </w:trPr>
        <w:tc>
          <w:tcPr>
            <w:tcW w:w="7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(3,671)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727</w:t>
            </w:r>
          </w:p>
        </w:tc>
      </w:tr>
      <w:tr>
        <w:trPr>
          <w:trHeight w:val="202"/>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Increase in cash, cash equivalents, and restricted cash</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394,919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15,525</w:t>
            </w:r>
          </w:p>
        </w:tc>
      </w:tr>
      <w:tr>
        <w:trPr>
          <w:trHeight w:val="196"/>
        </w:trPr>
        <w:tc>
          <w:tcPr>
            <w:tcW w:w="7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149,904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122,328</w:t>
            </w:r>
          </w:p>
        </w:tc>
      </w:tr>
      <w:tr>
        <w:trPr>
          <w:trHeight w:val="221"/>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544,823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137,853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Cash paid (received) during the period for:</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Income taxes, net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6,571</w:t>
            </w: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Interest</w:t>
            </w:r>
          </w:p>
        </w:tc>
        <w:tc>
          <w:tcPr>
            <w:tcW w:w="36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32,149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23,333</w:t>
            </w:r>
          </w:p>
        </w:tc>
      </w:tr>
    </w:tbl>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consolidated financial statements presented in this Quarterly Report on Form 10-Q are unaudited and reflect entries necessary for the fair presentation of the Consolidated Statements of Operations, Consolidated Statements of Comprehensive Income (Loss), and Consolidated Statements of Equity for the three and six months ended June 30, 2020 and 2019, the Consolidated Statements of Cash Flows for the six months ended June 30, 2020 and 2019, and the Consolidated Balance Sheets as of June 30, 2020 and December 31, 2019, of Itron, Inc. and its subsidiaries. All entries required for the fair presentation of the financial statements are of a normal recurring nature, except as disclosed. The results of operations for the three and six months ended June 30, 2020 are not necessarily indicative of the results expected for the full year or for any other period.</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2019 filed with the SEC in our Annual Report on Form 10-K on February 27, 2020 (2019 Annual Report). There have been no significant changes in financial statement preparation or significant accounting policies since December 31, 2019.</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We expect that certain of our customers’ projects and deployments may shift to later in 2020 and 2021. At this time, we have not identified any significant decrease in long-term customer demand for our products and services. Nonetheless, a prolonged pandemic could adversely impact the efficiency and effectiveness of our organization, further impact our global supply chain network, result in delays or decreases in customer collections, reduce demand for our products and services, and inhibit our sales efforts, any of which could further materially impact our revenues, results of operations, cash flows and financial condition.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Pr>
          <w:p>
            <w:pPr>
              <w:spacing w:after="0"/>
              <w:rPr>
                <w:sz w:val="18"/>
                <w:szCs w:val="18"/>
                <w:color w:val="auto"/>
              </w:rPr>
            </w:pPr>
          </w:p>
        </w:tc>
        <w:tc>
          <w:tcPr>
            <w:tcW w:w="18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4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544,823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135,736</w:t>
            </w:r>
          </w:p>
        </w:tc>
      </w:tr>
      <w:tr>
        <w:trPr>
          <w:trHeight w:val="223"/>
        </w:trPr>
        <w:tc>
          <w:tcPr>
            <w:tcW w:w="4460" w:type="dxa"/>
            <w:vAlign w:val="bottom"/>
          </w:tcPr>
          <w:p>
            <w:pPr>
              <w:ind w:left="20"/>
              <w:spacing w:after="0"/>
              <w:rPr>
                <w:sz w:val="20"/>
                <w:szCs w:val="20"/>
                <w:color w:val="auto"/>
              </w:rPr>
            </w:pPr>
            <w:r>
              <w:rPr>
                <w:rFonts w:ascii="Arial" w:cs="Arial" w:eastAsia="Arial" w:hAnsi="Arial"/>
                <w:sz w:val="16"/>
                <w:szCs w:val="16"/>
                <w:color w:val="auto"/>
              </w:rPr>
              <w:t>Current restricted cash included in other current assets</w:t>
            </w:r>
          </w:p>
        </w:tc>
        <w:tc>
          <w:tcPr>
            <w:tcW w:w="36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51</w:t>
            </w:r>
          </w:p>
        </w:tc>
      </w:tr>
      <w:tr>
        <w:trPr>
          <w:trHeight w:val="33"/>
        </w:trPr>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3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2,066</w:t>
            </w:r>
          </w:p>
        </w:tc>
      </w:tr>
      <w:tr>
        <w:trPr>
          <w:trHeight w:val="247"/>
        </w:trPr>
        <w:tc>
          <w:tcPr>
            <w:tcW w:w="4460" w:type="dxa"/>
            <w:vAlign w:val="bottom"/>
          </w:tcPr>
          <w:p>
            <w:pPr>
              <w:ind w:left="34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544,823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149,904</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137,853</w:t>
            </w:r>
          </w:p>
        </w:tc>
      </w:tr>
      <w:tr>
        <w:trPr>
          <w:trHeight w:val="23"/>
        </w:trPr>
        <w:tc>
          <w:tcPr>
            <w:tcW w:w="4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Subsequent to 2016-13 the FASB also issued codification improvements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relief in ASU 2019-04, ASU 2019-05, ASU 2019-11, ASU 2020-02, and ASU 2020-03, hereafter collectively referred to as Accounting Standards Codification (ASC) 326. ASC 326 replaces the incurred loss impairment methodology in previous GAAP with a methodology based on expected credit losses, which results in losses being recognized earlier. The estimate of expected credit losses uses a broader range of reasonable and supportable information. We adopted ASC 326 on January 1, 2020, and the impacts on our consolidated financial position, results of operations, and cash flows were immaterial.</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which amended the disclosure requirements under ASC 820</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clarifies and unifies the disclosure of Level 3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instruments. We adopted this standard on January 1, 2020, and it did not materially impact our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which amends the disclosure requirements under ASC 715-20. This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clarifies annual disclosures for Defined Benefit Plans. We adopted this standard on January 1, 2020, and it did not materially impact our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modifies certain provisions of ASC 740, in an effort to reduce the complexity of accounting for income taxes. ASU 2019-12 is effective for us beginning with our interim financial reports for the first quarter of 2021. We are currently evaluating the effects and do not believe this standard will have a material impact on our consolidated financial position, results of operations, or cash flows.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which provides optional expedients and exceptions for applying GAAP to contracts, hedging relationships, and other transactions affected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(62,802)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19,446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17,539</w:t>
            </w:r>
          </w:p>
        </w:tc>
      </w:tr>
      <w:tr>
        <w:trPr>
          <w:trHeight w:val="256"/>
        </w:trPr>
        <w:tc>
          <w:tcPr>
            <w:tcW w:w="4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39,389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39,523</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Dilutive effect of stock-based awards</w:t>
            </w:r>
          </w:p>
        </w:tc>
        <w:tc>
          <w:tcPr>
            <w:tcW w:w="38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352</w:t>
            </w:r>
          </w:p>
        </w:tc>
      </w:tr>
      <w:tr>
        <w:trPr>
          <w:trHeight w:val="33"/>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39,686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39,875</w:t>
            </w:r>
          </w:p>
        </w:tc>
      </w:tr>
      <w:tr>
        <w:trPr>
          <w:trHeight w:val="247"/>
        </w:trPr>
        <w:tc>
          <w:tcPr>
            <w:tcW w:w="436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0.44</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0.44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0.9 million and 0.8 million stock-based awards were excluded from the calculation of diluted EPS for the three and six months ended June 30, 2020 because they were anti-dilutive. Approximately 0.5 million and 0.6 million stock-based awards were excluded from the calculation of diluted EPS for the three and six months ended June 30, 2019 because they were anti-dilutive. These stock-based awards could be dilutive in future periods.</w:t>
      </w:r>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Accounts receivable, net</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2"/>
                <w:szCs w:val="22"/>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22"/>
                <w:szCs w:val="22"/>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$2,102 and $3,064)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330,283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415,887</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Unbilled receivables</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80,917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57,038</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2"/>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accounts receivable,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411,200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472,925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Allowance for doubtful accounts activity</w:t>
            </w:r>
          </w:p>
        </w:tc>
        <w:tc>
          <w:tcPr>
            <w:tcW w:w="2760" w:type="dxa"/>
            <w:vAlign w:val="bottom"/>
            <w:gridSpan w:val="5"/>
          </w:tcPr>
          <w:p>
            <w:pPr>
              <w:ind w:left="660"/>
              <w:spacing w:after="0"/>
              <w:rPr>
                <w:sz w:val="20"/>
                <w:szCs w:val="20"/>
                <w:color w:val="auto"/>
              </w:rPr>
            </w:pPr>
            <w:r>
              <w:rPr>
                <w:rFonts w:ascii="Arial" w:cs="Arial" w:eastAsia="Arial" w:hAnsi="Arial"/>
                <w:sz w:val="16"/>
                <w:szCs w:val="16"/>
                <w:b w:val="1"/>
                <w:bCs w:val="1"/>
                <w:color w:val="auto"/>
                <w:w w:val="91"/>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7"/>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w w:val="95"/>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b w:val="1"/>
                <w:bCs w:val="1"/>
                <w:color w:val="auto"/>
                <w:w w:val="95"/>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3,064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6,331</w:t>
            </w:r>
          </w:p>
        </w:tc>
        <w:tc>
          <w:tcPr>
            <w:tcW w:w="0" w:type="dxa"/>
            <w:vAlign w:val="bottom"/>
          </w:tcPr>
          <w:p>
            <w:pPr>
              <w:spacing w:after="0"/>
              <w:rPr>
                <w:sz w:val="1"/>
                <w:szCs w:val="1"/>
                <w:color w:val="auto"/>
              </w:rPr>
            </w:pP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Provision for (release of) doubtful accounts, net</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3"/>
          </w:tcPr>
          <w:p>
            <w:pPr>
              <w:jc w:val="right"/>
              <w:ind w:right="5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written-off</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w w:val="98"/>
              </w:rPr>
              <w:t>(1,211)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24"/>
        </w:trPr>
        <w:tc>
          <w:tcPr>
            <w:tcW w:w="436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3"/>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4,360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2,102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Inventories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4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ind w:left="26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139,035</w:t>
            </w:r>
          </w:p>
        </w:tc>
        <w:tc>
          <w:tcPr>
            <w:tcW w:w="620" w:type="dxa"/>
            <w:vAlign w:val="bottom"/>
            <w:tcBorders>
              <w:bottom w:val="single" w:sz="8" w:color="CCEEFF"/>
            </w:tcBorders>
            <w:gridSpan w:val="3"/>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120,861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11,105</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77,075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95,930</w:t>
            </w:r>
          </w:p>
        </w:tc>
        <w:tc>
          <w:tcPr>
            <w:tcW w:w="0" w:type="dxa"/>
            <w:vAlign w:val="bottom"/>
          </w:tcPr>
          <w:p>
            <w:pPr>
              <w:spacing w:after="0"/>
              <w:rPr>
                <w:sz w:val="1"/>
                <w:szCs w:val="1"/>
                <w:color w:val="auto"/>
              </w:rPr>
            </w:pPr>
          </w:p>
        </w:tc>
      </w:tr>
      <w:tr>
        <w:trPr>
          <w:trHeight w:val="244"/>
        </w:trPr>
        <w:tc>
          <w:tcPr>
            <w:tcW w:w="4360" w:type="dxa"/>
            <w:vAlign w:val="bottom"/>
          </w:tcPr>
          <w:p>
            <w:pPr>
              <w:ind w:left="340"/>
              <w:spacing w:after="0"/>
              <w:rPr>
                <w:sz w:val="20"/>
                <w:szCs w:val="20"/>
                <w:color w:val="auto"/>
              </w:rPr>
            </w:pPr>
            <w:r>
              <w:rPr>
                <w:rFonts w:ascii="Arial" w:cs="Arial" w:eastAsia="Arial" w:hAnsi="Arial"/>
                <w:sz w:val="16"/>
                <w:szCs w:val="16"/>
                <w:color w:val="auto"/>
              </w:rPr>
              <w:t>Total inventories</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226,564</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227,896</w:t>
            </w:r>
          </w:p>
        </w:tc>
        <w:tc>
          <w:tcPr>
            <w:tcW w:w="0" w:type="dxa"/>
            <w:vAlign w:val="bottom"/>
          </w:tcPr>
          <w:p>
            <w:pPr>
              <w:spacing w:after="0"/>
              <w:rPr>
                <w:sz w:val="1"/>
                <w:szCs w:val="1"/>
                <w:color w:val="auto"/>
              </w:rPr>
            </w:pPr>
          </w:p>
        </w:tc>
      </w:tr>
      <w:tr>
        <w:trPr>
          <w:trHeight w:val="26"/>
        </w:trPr>
        <w:tc>
          <w:tcPr>
            <w:tcW w:w="4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Property, plant, and equipment, net</w:t>
            </w: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4"/>
        </w:trPr>
        <w:tc>
          <w:tcPr>
            <w:tcW w:w="4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ind w:left="260"/>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302,385</w:t>
            </w:r>
          </w:p>
        </w:tc>
        <w:tc>
          <w:tcPr>
            <w:tcW w:w="620" w:type="dxa"/>
            <w:vAlign w:val="bottom"/>
            <w:tcBorders>
              <w:bottom w:val="single" w:sz="8" w:color="CCEEFF"/>
            </w:tcBorders>
            <w:gridSpan w:val="3"/>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323,003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111,774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109,924</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151,440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149,471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Land</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14,988</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54,490</w:t>
            </w:r>
          </w:p>
        </w:tc>
        <w:tc>
          <w:tcPr>
            <w:tcW w:w="0" w:type="dxa"/>
            <w:vAlign w:val="bottom"/>
          </w:tcPr>
          <w:p>
            <w:pPr>
              <w:spacing w:after="0"/>
              <w:rPr>
                <w:sz w:val="1"/>
                <w:szCs w:val="1"/>
                <w:color w:val="auto"/>
              </w:rPr>
            </w:pPr>
          </w:p>
        </w:tc>
      </w:tr>
      <w:tr>
        <w:trPr>
          <w:trHeight w:val="217"/>
        </w:trPr>
        <w:tc>
          <w:tcPr>
            <w:tcW w:w="4360" w:type="dxa"/>
            <w:vAlign w:val="bottom"/>
          </w:tcPr>
          <w:p>
            <w:pPr>
              <w:ind w:left="340"/>
              <w:spacing w:after="0"/>
              <w:rPr>
                <w:sz w:val="20"/>
                <w:szCs w:val="20"/>
                <w:color w:val="auto"/>
              </w:rPr>
            </w:pPr>
            <w:r>
              <w:rPr>
                <w:rFonts w:ascii="Arial" w:cs="Arial" w:eastAsia="Arial" w:hAnsi="Arial"/>
                <w:sz w:val="16"/>
                <w:szCs w:val="16"/>
                <w:color w:val="auto"/>
              </w:rPr>
              <w:t>Total cost</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622,495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651,876</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depreciation</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(406,176)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(418,648)</w:t>
            </w:r>
          </w:p>
        </w:tc>
        <w:tc>
          <w:tcPr>
            <w:tcW w:w="0" w:type="dxa"/>
            <w:vAlign w:val="bottom"/>
          </w:tcPr>
          <w:p>
            <w:pPr>
              <w:spacing w:after="0"/>
              <w:rPr>
                <w:sz w:val="1"/>
                <w:szCs w:val="1"/>
                <w:color w:val="auto"/>
              </w:rPr>
            </w:pPr>
          </w:p>
        </w:tc>
      </w:tr>
      <w:tr>
        <w:trPr>
          <w:trHeight w:val="247"/>
        </w:trPr>
        <w:tc>
          <w:tcPr>
            <w:tcW w:w="4360" w:type="dxa"/>
            <w:vAlign w:val="bottom"/>
          </w:tcPr>
          <w:p>
            <w:pPr>
              <w:ind w:left="660"/>
              <w:spacing w:after="0"/>
              <w:rPr>
                <w:sz w:val="20"/>
                <w:szCs w:val="20"/>
                <w:color w:val="auto"/>
              </w:rPr>
            </w:pPr>
            <w:r>
              <w:rPr>
                <w:rFonts w:ascii="Arial" w:cs="Arial" w:eastAsia="Arial" w:hAnsi="Arial"/>
                <w:sz w:val="16"/>
                <w:szCs w:val="16"/>
                <w:color w:val="auto"/>
              </w:rPr>
              <w:t>Property, plant, and equipment, net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216,319</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233,228</w:t>
            </w: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2400" w:type="dxa"/>
            <w:vAlign w:val="bottom"/>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Depreciation expense</w:t>
            </w:r>
          </w:p>
        </w:tc>
        <w:tc>
          <w:tcPr>
            <w:tcW w:w="2760" w:type="dxa"/>
            <w:vAlign w:val="bottom"/>
            <w:gridSpan w:val="5"/>
          </w:tcPr>
          <w:p>
            <w:pPr>
              <w:ind w:left="660"/>
              <w:spacing w:after="0"/>
              <w:rPr>
                <w:sz w:val="20"/>
                <w:szCs w:val="20"/>
                <w:color w:val="auto"/>
              </w:rPr>
            </w:pPr>
            <w:r>
              <w:rPr>
                <w:rFonts w:ascii="Arial" w:cs="Arial" w:eastAsia="Arial" w:hAnsi="Arial"/>
                <w:sz w:val="16"/>
                <w:szCs w:val="16"/>
                <w:b w:val="1"/>
                <w:bCs w:val="1"/>
                <w:color w:val="auto"/>
                <w:w w:val="91"/>
              </w:rPr>
              <w:t>Three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ind w:left="660"/>
              <w:spacing w:after="0"/>
              <w:rPr>
                <w:sz w:val="20"/>
                <w:szCs w:val="20"/>
                <w:color w:val="auto"/>
              </w:rPr>
            </w:pPr>
            <w:r>
              <w:rPr>
                <w:rFonts w:ascii="Arial" w:cs="Arial" w:eastAsia="Arial" w:hAnsi="Arial"/>
                <w:sz w:val="16"/>
                <w:szCs w:val="16"/>
                <w:b w:val="1"/>
                <w:bCs w:val="1"/>
                <w:color w:val="auto"/>
                <w:w w:val="95"/>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Arial" w:cs="Arial" w:eastAsia="Arial" w:hAnsi="Arial"/>
                <w:sz w:val="16"/>
                <w:szCs w:val="16"/>
                <w:b w:val="1"/>
                <w:bCs w:val="1"/>
                <w:color w:val="auto"/>
                <w:w w:val="95"/>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13,059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12,594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center"/>
              <w:ind w:right="19"/>
              <w:spacing w:after="0"/>
              <w:rPr>
                <w:sz w:val="20"/>
                <w:szCs w:val="20"/>
                <w:color w:val="auto"/>
              </w:rPr>
            </w:pPr>
            <w:r>
              <w:rPr>
                <w:rFonts w:ascii="Arial" w:cs="Arial" w:eastAsia="Arial" w:hAnsi="Arial"/>
                <w:sz w:val="16"/>
                <w:szCs w:val="16"/>
                <w:color w:val="auto"/>
                <w:w w:val="89"/>
              </w:rPr>
              <w:t>25,925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24,978</w:t>
            </w:r>
          </w:p>
        </w:tc>
        <w:tc>
          <w:tcPr>
            <w:tcW w:w="0" w:type="dxa"/>
            <w:vAlign w:val="bottom"/>
          </w:tcPr>
          <w:p>
            <w:pPr>
              <w:spacing w:after="0"/>
              <w:rPr>
                <w:sz w:val="1"/>
                <w:szCs w:val="1"/>
                <w:color w:val="auto"/>
              </w:rPr>
            </w:pPr>
          </w:p>
        </w:tc>
      </w:tr>
      <w:tr>
        <w:trPr>
          <w:trHeight w:val="33"/>
        </w:trPr>
        <w:tc>
          <w:tcPr>
            <w:tcW w:w="4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w:t>
            </w:r>
          </w:p>
        </w:tc>
      </w:tr>
      <w:tr>
        <w:trPr>
          <w:trHeight w:val="33"/>
        </w:trPr>
        <w:tc>
          <w:tcPr>
            <w:tcW w:w="3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498,006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(459,876)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507,669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(458,109)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49,560</w:t>
            </w:r>
          </w:p>
        </w:tc>
      </w:tr>
      <w:tr>
        <w:trPr>
          <w:trHeight w:val="224"/>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365,567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(251,085)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114,482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381,288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(251,509)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129,779</w:t>
            </w: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76,631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78,837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5,105</w:t>
            </w:r>
          </w:p>
        </w:tc>
      </w:tr>
      <w:tr>
        <w:trPr>
          <w:trHeight w:val="224"/>
        </w:trPr>
        <w:tc>
          <w:tcPr>
            <w:tcW w:w="30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653</w:t>
            </w:r>
          </w:p>
        </w:tc>
      </w:tr>
      <w:tr>
        <w:trPr>
          <w:trHeight w:val="33"/>
        </w:trPr>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952,225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979,814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(794,717)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185,097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17,465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(10,450)</w:t>
            </w: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979,814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981,160</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Intangibles disposed in sale of business</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(18,140)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4,349</w:t>
            </w: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952,225</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985,509</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(23,900)</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5, 2018, we completed our acquisition of Silver Spring Networks, Inc. (SSNI) and acquired intangible assets including in-process research and development (IPR&amp;D), which were completed during 2019 and are now included within core-developed technology. Assumed intangible liabilities reflect the present value of the projected cash outflows for an existing contract where remaining costs are expected to exceed projected revenues.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disposal of intangible assets was related to the sale of our Latin America business. The net book value of these assets was $0.8 million at the disposal date. Refer to "Note 17: Sale of Business" for additional information on the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r>
      <w:tr>
        <w:trPr>
          <w:trHeight w:val="33"/>
        </w:trPr>
        <w:tc>
          <w:tcPr>
            <w:tcW w:w="6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(amount remaining at June 30, 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22,332</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37,479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35,516</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26,679</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19,605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19,605</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15,469</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31,089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31,089</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157,125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150,690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reflects changes in the carrying amount of goodwill for the six months ended June 30, 2020:</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Networked Solutions</w:t>
            </w: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Total Company</w:t>
            </w:r>
          </w:p>
        </w:tc>
      </w:tr>
      <w:tr>
        <w:trPr>
          <w:trHeight w:val="33"/>
        </w:trPr>
        <w:tc>
          <w:tcPr>
            <w:tcW w:w="4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54,930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908,088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140,889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1,103,907</w:t>
            </w:r>
          </w:p>
        </w:tc>
      </w:tr>
      <w:tr>
        <w:trPr>
          <w:trHeight w:val="223"/>
        </w:trPr>
        <w:tc>
          <w:tcPr>
            <w:tcW w:w="4740" w:type="dxa"/>
            <w:vAlign w:val="bottom"/>
          </w:tcPr>
          <w:p>
            <w:pPr>
              <w:ind w:left="340"/>
              <w:spacing w:after="0"/>
              <w:rPr>
                <w:sz w:val="20"/>
                <w:szCs w:val="20"/>
                <w:color w:val="auto"/>
              </w:rPr>
            </w:pPr>
            <w:r>
              <w:rPr>
                <w:rFonts w:ascii="Arial" w:cs="Arial" w:eastAsia="Arial" w:hAnsi="Arial"/>
                <w:sz w:val="16"/>
                <w:szCs w:val="16"/>
                <w:color w:val="auto"/>
              </w:rPr>
              <w:t>Goodwill allocated to business sold</w:t>
            </w:r>
          </w:p>
        </w:tc>
        <w:tc>
          <w:tcPr>
            <w:tcW w:w="1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(3,000)</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741</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Goodwill balance at June 30,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51,967</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908,698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140,983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1,101,648</w:t>
            </w:r>
          </w:p>
        </w:tc>
      </w:tr>
      <w:tr>
        <w:trPr>
          <w:trHeight w:val="33"/>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recognized a $3.0 million reduction in Device Solutions goodwill as part of our loss on sale of business. Refer to "Note 17: Sale of Business" for additional information on the transaction.</w:t>
      </w:r>
    </w:p>
    <w:p>
      <w:pPr>
        <w:spacing w:after="0" w:line="19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60" w:type="dxa"/>
            <w:vAlign w:val="bottom"/>
          </w:tcPr>
          <w:p>
            <w:pPr>
              <w:jc w:val="center"/>
              <w:ind w:right="5799"/>
              <w:spacing w:after="0"/>
              <w:rPr>
                <w:sz w:val="20"/>
                <w:szCs w:val="20"/>
                <w:color w:val="auto"/>
              </w:rPr>
            </w:pPr>
            <w:r>
              <w:rPr>
                <w:rFonts w:ascii="Arial" w:cs="Arial" w:eastAsia="Arial" w:hAnsi="Arial"/>
                <w:sz w:val="16"/>
                <w:szCs w:val="16"/>
                <w:i w:val="1"/>
                <w:iCs w:val="1"/>
                <w:color w:val="auto"/>
                <w:w w:val="91"/>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7"/>
        </w:trPr>
        <w:tc>
          <w:tcPr>
            <w:tcW w:w="6780" w:type="dxa"/>
            <w:vAlign w:val="bottom"/>
            <w:gridSpan w:val="2"/>
          </w:tcPr>
          <w:p>
            <w:pPr>
              <w:jc w:val="center"/>
              <w:ind w:right="5799"/>
              <w:spacing w:after="0"/>
              <w:rPr>
                <w:sz w:val="20"/>
                <w:szCs w:val="20"/>
                <w:color w:val="auto"/>
              </w:rPr>
            </w:pPr>
            <w:r>
              <w:rPr>
                <w:rFonts w:ascii="Arial" w:cs="Arial" w:eastAsia="Arial" w:hAnsi="Arial"/>
                <w:sz w:val="16"/>
                <w:szCs w:val="16"/>
                <w:color w:val="auto"/>
                <w:w w:val="98"/>
              </w:rPr>
              <w:t>Credit facility</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r>
      <w:tr>
        <w:trPr>
          <w:trHeight w:val="223"/>
        </w:trPr>
        <w:tc>
          <w:tcPr>
            <w:tcW w:w="2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jc w:val="center"/>
              <w:ind w:right="5819"/>
              <w:spacing w:after="0"/>
              <w:rPr>
                <w:sz w:val="20"/>
                <w:szCs w:val="20"/>
                <w:color w:val="auto"/>
              </w:rPr>
            </w:pPr>
            <w:r>
              <w:rPr>
                <w:rFonts w:ascii="Arial" w:cs="Arial" w:eastAsia="Arial" w:hAnsi="Arial"/>
                <w:sz w:val="16"/>
                <w:szCs w:val="16"/>
                <w:color w:val="auto"/>
                <w:w w:val="91"/>
              </w:rPr>
              <w:t>Senior notes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400,000</w:t>
            </w:r>
          </w:p>
        </w:tc>
      </w:tr>
      <w:tr>
        <w:trPr>
          <w:trHeight w:val="217"/>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6"/>
                <w:szCs w:val="16"/>
                <w:color w:val="auto"/>
              </w:rPr>
              <w:t>Total debt</w:t>
            </w:r>
          </w:p>
        </w:tc>
        <w:tc>
          <w:tcPr>
            <w:tcW w:w="3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1,350,156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950,156</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current portion of debt</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20" w:type="dxa"/>
            <w:vAlign w:val="bottom"/>
          </w:tcPr>
          <w:p>
            <w:pPr>
              <w:spacing w:after="0"/>
              <w:rPr>
                <w:sz w:val="19"/>
                <w:szCs w:val="19"/>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3,661</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14,013</w:t>
            </w:r>
          </w:p>
        </w:tc>
      </w:tr>
      <w:tr>
        <w:trPr>
          <w:trHeight w:val="217"/>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6"/>
                <w:szCs w:val="16"/>
                <w:color w:val="auto"/>
              </w:rPr>
              <w:t>Long-term debt, net</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1,320,004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932,482</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Amounts not borrowed under the revolver are subject to a commitment fee, which is paid in arrears on the last day of each fiscal quarter, ranging from 0.15% to 0.25% and drawn amounts are subject to a margin ranging from 1.00% to 1.75%.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06"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2020.</w:t>
      </w:r>
    </w:p>
    <w:p>
      <w:pPr>
        <w:spacing w:after="0" w:line="21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ind w:left="20" w:right="20" w:firstLine="8"/>
        <w:spacing w:after="0" w:line="260"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greatest of three rates: (i) the prime rate, (ii) the Federal Reserve effective rate plus 0.50%, or (iii) one-month LIBOR plus 1.00%. At June 30, 2020, the interest rate for both the term loan and revolver was 1.68%, which includes the LIBOR rate plus a margin of 1.50%.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2020, we drew $400 million in U.S. dollars under the revolving line of credit within the 2018 credit facility to increase our cash position and preserve future financial flexibility. At June 30, 2020, $400 million was outstanding under the revolver, and $45.5 million was utilized by outstanding standby letters of credit, resulting in $54.5 million available for additional borrowings or standby letters of credit. At June 30, 2020, no amounts were outstanding under the swingline sub-facility.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22, 2017 and January 19, 2018, we issued $300 million and $100 million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The $10 million interest payment due on July 15, 2020 was paid as of June 30, 2020. The Senior Notes are fully and unconditionally guaranteed, jointly and severally, on a senior unsecured basis by each of our subsidiaries that guarantee the senior credit facilities.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9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(amount remaining at June 30, 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32,422</w:t>
            </w:r>
          </w:p>
        </w:tc>
      </w:tr>
      <w:tr>
        <w:trPr>
          <w:trHeight w:val="33"/>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44,063</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44,063</w:t>
            </w:r>
          </w:p>
        </w:tc>
      </w:tr>
      <w:tr>
        <w:trPr>
          <w:trHeight w:val="33"/>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829,608</w:t>
            </w:r>
          </w:p>
        </w:tc>
      </w:tr>
      <w:tr>
        <w:trPr>
          <w:trHeight w:val="224"/>
        </w:trPr>
        <w:tc>
          <w:tcPr>
            <w:tcW w:w="90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400,000</w:t>
            </w:r>
          </w:p>
        </w:tc>
      </w:tr>
      <w:tr>
        <w:trPr>
          <w:trHeight w:val="33"/>
        </w:trPr>
        <w:tc>
          <w:tcPr>
            <w:tcW w:w="9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72"/>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1,350,156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Values of Financial Instruments" for additional disclosures on our derivative instruments.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Pr>
          <w:p>
            <w:pPr>
              <w:ind w:left="860"/>
              <w:spacing w:after="0"/>
              <w:rPr>
                <w:sz w:val="20"/>
                <w:szCs w:val="20"/>
                <w:color w:val="auto"/>
              </w:rPr>
            </w:pPr>
            <w:r>
              <w:rPr>
                <w:rFonts w:ascii="Arial" w:cs="Arial" w:eastAsia="Arial" w:hAnsi="Arial"/>
                <w:sz w:val="16"/>
                <w:szCs w:val="16"/>
                <w:b w:val="1"/>
                <w:bCs w:val="1"/>
                <w:color w:val="auto"/>
              </w:rPr>
              <w:t>Balance Sheet Location</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400" w:type="dxa"/>
            <w:vAlign w:val="bottom"/>
          </w:tcPr>
          <w:p>
            <w:pPr>
              <w:spacing w:after="0"/>
              <w:rPr>
                <w:sz w:val="18"/>
                <w:szCs w:val="18"/>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6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 contract</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r>
      <w:tr>
        <w:trPr>
          <w:trHeight w:val="224"/>
        </w:trPr>
        <w:tc>
          <w:tcPr>
            <w:tcW w:w="3320" w:type="dxa"/>
            <w:vAlign w:val="bottom"/>
          </w:tcPr>
          <w:p>
            <w:pPr>
              <w:ind w:left="120"/>
              <w:spacing w:after="0"/>
              <w:rPr>
                <w:sz w:val="20"/>
                <w:szCs w:val="20"/>
                <w:color w:val="auto"/>
              </w:rPr>
            </w:pPr>
            <w:r>
              <w:rPr>
                <w:rFonts w:ascii="Arial" w:cs="Arial" w:eastAsia="Arial" w:hAnsi="Arial"/>
                <w:sz w:val="16"/>
                <w:szCs w:val="16"/>
                <w:color w:val="auto"/>
              </w:rPr>
              <w:t>Interest rate cap contracts</w:t>
            </w:r>
          </w:p>
        </w:tc>
        <w:tc>
          <w:tcPr>
            <w:tcW w:w="3440" w:type="dxa"/>
            <w:vAlign w:val="bottom"/>
          </w:tcPr>
          <w:p>
            <w:pPr>
              <w:ind w:left="86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options</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320" w:type="dxa"/>
            <w:vAlign w:val="bottom"/>
          </w:tcPr>
          <w:p>
            <w:pPr>
              <w:ind w:left="120"/>
              <w:spacing w:after="0"/>
              <w:rPr>
                <w:sz w:val="20"/>
                <w:szCs w:val="20"/>
                <w:color w:val="auto"/>
              </w:rPr>
            </w:pPr>
            <w:r>
              <w:rPr>
                <w:rFonts w:ascii="Arial" w:cs="Arial" w:eastAsia="Arial" w:hAnsi="Arial"/>
                <w:sz w:val="16"/>
                <w:szCs w:val="16"/>
                <w:color w:val="auto"/>
              </w:rPr>
              <w:t>Cross currency swap contract</w:t>
            </w:r>
          </w:p>
        </w:tc>
        <w:tc>
          <w:tcPr>
            <w:tcW w:w="3440" w:type="dxa"/>
            <w:vAlign w:val="bottom"/>
          </w:tcPr>
          <w:p>
            <w:pPr>
              <w:ind w:left="860"/>
              <w:spacing w:after="0"/>
              <w:rPr>
                <w:sz w:val="20"/>
                <w:szCs w:val="20"/>
                <w:color w:val="auto"/>
              </w:rPr>
            </w:pPr>
            <w:r>
              <w:rPr>
                <w:rFonts w:ascii="Arial" w:cs="Arial" w:eastAsia="Arial" w:hAnsi="Arial"/>
                <w:sz w:val="16"/>
                <w:szCs w:val="16"/>
                <w:color w:val="auto"/>
              </w:rPr>
              <w:t>Other current assets</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3,954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1,156</w:t>
            </w: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Cross currency swap contract</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long-term assets</w:t>
            </w:r>
          </w:p>
        </w:tc>
        <w:tc>
          <w:tcPr>
            <w:tcW w:w="3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2,870</w:t>
            </w:r>
          </w:p>
        </w:tc>
      </w:tr>
      <w:tr>
        <w:trPr>
          <w:trHeight w:val="223"/>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r>
      <w:tr>
        <w:trPr>
          <w:trHeight w:val="217"/>
        </w:trPr>
        <w:tc>
          <w:tcPr>
            <w:tcW w:w="3320" w:type="dxa"/>
            <w:vAlign w:val="bottom"/>
          </w:tcPr>
          <w:p>
            <w:pPr>
              <w:ind w:left="380"/>
              <w:spacing w:after="0"/>
              <w:rPr>
                <w:sz w:val="20"/>
                <w:szCs w:val="20"/>
                <w:color w:val="auto"/>
              </w:rPr>
            </w:pPr>
            <w:r>
              <w:rPr>
                <w:rFonts w:ascii="Arial" w:cs="Arial" w:eastAsia="Arial" w:hAnsi="Arial"/>
                <w:sz w:val="16"/>
                <w:szCs w:val="16"/>
                <w:b w:val="1"/>
                <w:bCs w:val="1"/>
                <w:color w:val="auto"/>
              </w:rPr>
              <w:t>Total asset derivatives</w:t>
            </w:r>
          </w:p>
        </w:tc>
        <w:tc>
          <w:tcPr>
            <w:tcW w:w="344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4,279</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4,297</w:t>
            </w: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33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4"/>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6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4"/>
        </w:trPr>
        <w:tc>
          <w:tcPr>
            <w:tcW w:w="3320" w:type="dxa"/>
            <w:vAlign w:val="bottom"/>
          </w:tcPr>
          <w:p>
            <w:pPr>
              <w:ind w:left="120"/>
              <w:spacing w:after="0"/>
              <w:rPr>
                <w:sz w:val="20"/>
                <w:szCs w:val="20"/>
                <w:color w:val="auto"/>
              </w:rPr>
            </w:pPr>
            <w:r>
              <w:rPr>
                <w:rFonts w:ascii="Arial" w:cs="Arial" w:eastAsia="Arial" w:hAnsi="Arial"/>
                <w:sz w:val="16"/>
                <w:szCs w:val="16"/>
                <w:color w:val="auto"/>
              </w:rPr>
              <w:t>Interest rate swap contracts</w:t>
            </w:r>
          </w:p>
        </w:tc>
        <w:tc>
          <w:tcPr>
            <w:tcW w:w="3440" w:type="dxa"/>
            <w:vAlign w:val="bottom"/>
          </w:tcPr>
          <w:p>
            <w:pPr>
              <w:ind w:left="86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 contracts</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long-term obligations</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7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forward contracts</w:t>
            </w:r>
          </w:p>
        </w:tc>
        <w:tc>
          <w:tcPr>
            <w:tcW w:w="3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w:t>
            </w:r>
          </w:p>
        </w:tc>
      </w:tr>
      <w:tr>
        <w:trPr>
          <w:trHeight w:val="217"/>
        </w:trPr>
        <w:tc>
          <w:tcPr>
            <w:tcW w:w="3320" w:type="dxa"/>
            <w:vAlign w:val="bottom"/>
          </w:tcPr>
          <w:p>
            <w:pPr>
              <w:ind w:left="380"/>
              <w:spacing w:after="0"/>
              <w:rPr>
                <w:sz w:val="20"/>
                <w:szCs w:val="20"/>
                <w:color w:val="auto"/>
              </w:rPr>
            </w:pPr>
            <w:r>
              <w:rPr>
                <w:rFonts w:ascii="Arial" w:cs="Arial" w:eastAsia="Arial" w:hAnsi="Arial"/>
                <w:sz w:val="16"/>
                <w:szCs w:val="16"/>
                <w:b w:val="1"/>
                <w:bCs w:val="1"/>
                <w:color w:val="auto"/>
              </w:rPr>
              <w:t>Total liability derivatives</w:t>
            </w:r>
          </w:p>
        </w:tc>
        <w:tc>
          <w:tcPr>
            <w:tcW w:w="344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162</w:t>
            </w:r>
          </w:p>
        </w:tc>
      </w:tr>
      <w:tr>
        <w:trPr>
          <w:trHeight w:val="33"/>
        </w:trPr>
        <w:tc>
          <w:tcPr>
            <w:tcW w:w="33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3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(13,179)</w:t>
            </w:r>
          </w:p>
        </w:tc>
      </w:tr>
      <w:tr>
        <w:trPr>
          <w:trHeight w:val="223"/>
        </w:trPr>
        <w:tc>
          <w:tcPr>
            <w:tcW w:w="6760" w:type="dxa"/>
            <w:vAlign w:val="bottom"/>
          </w:tcPr>
          <w:p>
            <w:pPr>
              <w:ind w:left="120"/>
              <w:spacing w:after="0"/>
              <w:rPr>
                <w:sz w:val="20"/>
                <w:szCs w:val="20"/>
                <w:color w:val="auto"/>
              </w:rPr>
            </w:pPr>
            <w:r>
              <w:rPr>
                <w:rFonts w:ascii="Arial" w:cs="Arial" w:eastAsia="Arial" w:hAnsi="Arial"/>
                <w:sz w:val="16"/>
                <w:szCs w:val="16"/>
                <w:color w:val="auto"/>
              </w:rPr>
              <w:t>Unrealized gain (loss) on hedging instruments</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998</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(gains) losses reclassified into net income (loss)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w:t>
            </w: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June 30,</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(17,259)</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(14,678)</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June 30, 2020 and 2019. Included in the net unrealized gain (loss) on hedging instruments at June 30, 2020 and 2019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Gross Amounts of</w:t>
            </w:r>
          </w:p>
        </w:tc>
        <w:tc>
          <w:tcPr>
            <w:tcW w:w="120" w:type="dxa"/>
            <w:vAlign w:val="bottom"/>
          </w:tcPr>
          <w:p>
            <w:pPr>
              <w:spacing w:after="0"/>
              <w:rPr>
                <w:sz w:val="18"/>
                <w:szCs w:val="1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5"/>
              </w:rPr>
              <w:t>Recognized Assets</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64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Presented in the</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Consolidated Balance</w:t>
            </w: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Cash Collateral Received</w:t>
            </w:r>
          </w:p>
        </w:tc>
        <w:tc>
          <w:tcPr>
            <w:tcW w:w="340" w:type="dxa"/>
            <w:vAlign w:val="bottom"/>
          </w:tcPr>
          <w:p>
            <w:pPr>
              <w:spacing w:after="0"/>
              <w:rPr>
                <w:sz w:val="18"/>
                <w:szCs w:val="18"/>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4,075</w:t>
            </w:r>
          </w:p>
        </w:tc>
        <w:tc>
          <w:tcPr>
            <w:tcW w:w="0" w:type="dxa"/>
            <w:vAlign w:val="bottom"/>
          </w:tcPr>
          <w:p>
            <w:pPr>
              <w:spacing w:after="0"/>
              <w:rPr>
                <w:sz w:val="1"/>
                <w:szCs w:val="1"/>
                <w:color w:val="auto"/>
              </w:rPr>
            </w:pPr>
          </w:p>
        </w:tc>
      </w:tr>
      <w:tr>
        <w:trPr>
          <w:trHeight w:val="224"/>
        </w:trPr>
        <w:tc>
          <w:tcPr>
            <w:tcW w:w="25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640" w:type="dxa"/>
            <w:vAlign w:val="bottom"/>
          </w:tcPr>
          <w:p>
            <w:pPr>
              <w:spacing w:after="0"/>
              <w:rPr>
                <w:sz w:val="19"/>
                <w:szCs w:val="19"/>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Gross Amounts of</w:t>
            </w:r>
          </w:p>
        </w:tc>
        <w:tc>
          <w:tcPr>
            <w:tcW w:w="120" w:type="dxa"/>
            <w:vAlign w:val="bottom"/>
          </w:tcPr>
          <w:p>
            <w:pPr>
              <w:spacing w:after="0"/>
              <w:rPr>
                <w:sz w:val="18"/>
                <w:szCs w:val="1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Recognized Liabilities</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5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Presented in the</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Consolidated Balance</w:t>
            </w: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Cash Collateral Pledged</w:t>
            </w:r>
          </w:p>
        </w:tc>
        <w:tc>
          <w:tcPr>
            <w:tcW w:w="340" w:type="dxa"/>
            <w:vAlign w:val="bottom"/>
          </w:tcPr>
          <w:p>
            <w:pPr>
              <w:spacing w:after="0"/>
              <w:rPr>
                <w:sz w:val="18"/>
                <w:szCs w:val="18"/>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520" w:type="dxa"/>
            <w:vAlign w:val="bottom"/>
          </w:tcPr>
          <w:p>
            <w:pPr>
              <w:spacing w:after="0"/>
              <w:rPr>
                <w:sz w:val="19"/>
                <w:szCs w:val="19"/>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forwards and options and interest rate contracts with six counterparties at June 30, 2020 and five counterparties at December 31, 2019. No derivative asset or liability balance with any of our counterparties was individually significant at June 30, 2020 or December 31, 2019.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June 30, 2020, our LIBOR-based debt balance was $950.2 million.</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2015, we entered into one interest rate swap, which was effective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our term loan. The cash flow hedge was expected to be highly effective in achieving offsetting cash flows attributable to the hedged risk through the term of the hedge. Consequently, effective changes in the fair value of the interest rate swap were recorded as a component of other comprehensive income (loss) (OCI) and recognized in earnings when the hedged item affected earnings. The amounts paid or received on the hedge were recognized as adjustment to interest expense.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entered into an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our term loan. Changes in the fair value of the interest rate swap are recognized as a component of OCI and recognized in earnings when the hedged item affects earnings. The amounts paid or received on the hedge are recognized as adjustment to interest expense along with the earnings effect of the hedged item. The amount of net losses expected to be reclassified into earnings in the next 12 months is $1.0 million.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expired on June 23, 2020 and were entered into in order to limit our interest rate exposure on $100 million of our variable LIBOR based debt up to 2.00%. The interest rate cap contracts did not include the effect of the applicable margin. Changes in the fair value of these instruments were recognized as a component of OCI and recognized in earnings when the hedged item affected earnings. The amounts received on the hedge were recognized as an adjustment to interest expense along with the earnings effect of the hedged item.</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one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$3.9 million.</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forecasted inventory purchases in a non-functional currency, we are exposed to foreign exchange risk. We hedge portions of these purchases. During February 2020, we entered into foreign exchange option contracts for a total notional amount of $96 million at a cost of $1.2 million. The contracts will mature ratably through the year with final maturity in October 2020. Changes in the fair value of the option contracts are recognized as a component of OCI and are recognized in product cost of revenues when the hedged item affects earnings.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2"/>
              </w:rPr>
              <w:t>Derivatives in ASC 815-20</w:t>
            </w:r>
          </w:p>
        </w:tc>
        <w:tc>
          <w:tcPr>
            <w:tcW w:w="580" w:type="dxa"/>
            <w:vAlign w:val="bottom"/>
          </w:tcPr>
          <w:p>
            <w:pPr>
              <w:spacing w:after="0"/>
              <w:rPr>
                <w:sz w:val="17"/>
                <w:szCs w:val="17"/>
                <w:color w:val="auto"/>
              </w:rPr>
            </w:pPr>
          </w:p>
        </w:tc>
        <w:tc>
          <w:tcPr>
            <w:tcW w:w="256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w w:val="92"/>
              </w:rPr>
              <w:t>Amount of Gain (Loss)</w:t>
            </w:r>
          </w:p>
        </w:tc>
        <w:tc>
          <w:tcPr>
            <w:tcW w:w="3900" w:type="dxa"/>
            <w:vAlign w:val="bottom"/>
            <w:gridSpan w:val="6"/>
          </w:tcPr>
          <w:p>
            <w:pPr>
              <w:ind w:left="1640"/>
              <w:spacing w:after="0"/>
              <w:rPr>
                <w:sz w:val="20"/>
                <w:szCs w:val="20"/>
                <w:color w:val="auto"/>
              </w:rPr>
            </w:pPr>
            <w:r>
              <w:rPr>
                <w:rFonts w:ascii="Arial" w:cs="Arial" w:eastAsia="Arial" w:hAnsi="Arial"/>
                <w:sz w:val="16"/>
                <w:szCs w:val="16"/>
                <w:b w:val="1"/>
                <w:bCs w:val="1"/>
                <w:color w:val="auto"/>
                <w:w w:val="99"/>
              </w:rPr>
              <w:t>Gain (Loss) Reclassified from</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2000" w:type="dxa"/>
            <w:vAlign w:val="bottom"/>
          </w:tcPr>
          <w:p>
            <w:pPr>
              <w:spacing w:after="0"/>
              <w:rPr>
                <w:sz w:val="5"/>
                <w:szCs w:val="5"/>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6"/>
              </w:rPr>
              <w:t>AOCI into Income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760" w:type="dxa"/>
            <w:vAlign w:val="bottom"/>
            <w:vMerge w:val="restart"/>
          </w:tcPr>
          <w:p>
            <w:pPr>
              <w:jc w:val="center"/>
              <w:ind w:left="219"/>
              <w:spacing w:after="0" w:line="176" w:lineRule="exact"/>
              <w:rPr>
                <w:sz w:val="20"/>
                <w:szCs w:val="20"/>
                <w:color w:val="auto"/>
              </w:rPr>
            </w:pPr>
            <w:r>
              <w:rPr>
                <w:rFonts w:ascii="Arial" w:cs="Arial" w:eastAsia="Arial" w:hAnsi="Arial"/>
                <w:sz w:val="16"/>
                <w:szCs w:val="16"/>
                <w:b w:val="1"/>
                <w:bCs w:val="1"/>
                <w:color w:val="auto"/>
                <w:w w:val="92"/>
              </w:rPr>
              <w:t>Cash Flow</w:t>
            </w:r>
          </w:p>
        </w:tc>
        <w:tc>
          <w:tcPr>
            <w:tcW w:w="580" w:type="dxa"/>
            <w:vAlign w:val="bottom"/>
          </w:tcPr>
          <w:p>
            <w:pPr>
              <w:spacing w:after="0"/>
              <w:rPr>
                <w:sz w:val="12"/>
                <w:szCs w:val="12"/>
                <w:color w:val="auto"/>
              </w:rPr>
            </w:pPr>
          </w:p>
        </w:tc>
        <w:tc>
          <w:tcPr>
            <w:tcW w:w="2560" w:type="dxa"/>
            <w:vAlign w:val="bottom"/>
            <w:gridSpan w:val="5"/>
            <w:vMerge w:val="restart"/>
          </w:tcPr>
          <w:p>
            <w:pPr>
              <w:jc w:val="center"/>
              <w:ind w:right="400"/>
              <w:spacing w:after="0" w:line="176" w:lineRule="exact"/>
              <w:rPr>
                <w:sz w:val="20"/>
                <w:szCs w:val="20"/>
                <w:color w:val="auto"/>
              </w:rPr>
            </w:pPr>
            <w:r>
              <w:rPr>
                <w:rFonts w:ascii="Arial" w:cs="Arial" w:eastAsia="Arial" w:hAnsi="Arial"/>
                <w:sz w:val="16"/>
                <w:szCs w:val="16"/>
                <w:b w:val="1"/>
                <w:bCs w:val="1"/>
                <w:color w:val="auto"/>
                <w:w w:val="91"/>
              </w:rPr>
              <w:t>Recognized in OCI on</w:t>
            </w:r>
          </w:p>
        </w:tc>
        <w:tc>
          <w:tcPr>
            <w:tcW w:w="20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7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560" w:type="dxa"/>
            <w:vAlign w:val="bottom"/>
            <w:gridSpan w:val="5"/>
            <w:vMerge w:val="continue"/>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60" w:type="dxa"/>
            <w:vAlign w:val="bottom"/>
          </w:tcPr>
          <w:p>
            <w:pPr>
              <w:jc w:val="center"/>
              <w:ind w:left="199"/>
              <w:spacing w:after="0"/>
              <w:rPr>
                <w:sz w:val="20"/>
                <w:szCs w:val="20"/>
                <w:color w:val="auto"/>
              </w:rPr>
            </w:pPr>
            <w:r>
              <w:rPr>
                <w:rFonts w:ascii="Arial" w:cs="Arial" w:eastAsia="Arial" w:hAnsi="Arial"/>
                <w:sz w:val="16"/>
                <w:szCs w:val="16"/>
                <w:b w:val="1"/>
                <w:bCs w:val="1"/>
                <w:color w:val="auto"/>
                <w:w w:val="89"/>
              </w:rPr>
              <w:t>Hedging Relationships</w:t>
            </w:r>
          </w:p>
        </w:tc>
        <w:tc>
          <w:tcPr>
            <w:tcW w:w="580" w:type="dxa"/>
            <w:vAlign w:val="bottom"/>
          </w:tcPr>
          <w:p>
            <w:pPr>
              <w:spacing w:after="0"/>
              <w:rPr>
                <w:sz w:val="18"/>
                <w:szCs w:val="18"/>
                <w:color w:val="auto"/>
              </w:rPr>
            </w:pPr>
          </w:p>
        </w:tc>
        <w:tc>
          <w:tcPr>
            <w:tcW w:w="15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4"/>
              </w:rPr>
              <w:t>Derivative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ind w:left="820"/>
              <w:spacing w:after="0"/>
              <w:rPr>
                <w:sz w:val="20"/>
                <w:szCs w:val="20"/>
                <w:color w:val="auto"/>
              </w:rPr>
            </w:pPr>
            <w:r>
              <w:rPr>
                <w:rFonts w:ascii="Arial" w:cs="Arial" w:eastAsia="Arial" w:hAnsi="Arial"/>
                <w:sz w:val="16"/>
                <w:szCs w:val="16"/>
                <w:b w:val="1"/>
                <w:bCs w:val="1"/>
                <w:color w:val="auto"/>
              </w:rPr>
              <w:t>Location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rate swap contracts</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32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7"/>
              </w:rPr>
              <w:t>453</w:t>
            </w:r>
          </w:p>
        </w:tc>
        <w:tc>
          <w:tcPr>
            <w:tcW w:w="0" w:type="dxa"/>
            <w:vAlign w:val="bottom"/>
          </w:tcPr>
          <w:p>
            <w:pPr>
              <w:spacing w:after="0"/>
              <w:rPr>
                <w:sz w:val="1"/>
                <w:szCs w:val="1"/>
                <w:color w:val="auto"/>
              </w:rPr>
            </w:pPr>
          </w:p>
        </w:tc>
      </w:tr>
      <w:tr>
        <w:trPr>
          <w:trHeight w:val="224"/>
        </w:trPr>
        <w:tc>
          <w:tcPr>
            <w:tcW w:w="2760" w:type="dxa"/>
            <w:vAlign w:val="bottom"/>
          </w:tcPr>
          <w:p>
            <w:pPr>
              <w:ind w:left="340"/>
              <w:spacing w:after="0"/>
              <w:rPr>
                <w:sz w:val="20"/>
                <w:szCs w:val="20"/>
                <w:color w:val="auto"/>
              </w:rPr>
            </w:pPr>
            <w:r>
              <w:rPr>
                <w:rFonts w:ascii="Arial" w:cs="Arial" w:eastAsia="Arial" w:hAnsi="Arial"/>
                <w:sz w:val="16"/>
                <w:szCs w:val="16"/>
                <w:color w:val="auto"/>
              </w:rPr>
              <w:t>Interest rate cap contracts</w:t>
            </w:r>
          </w:p>
        </w:tc>
        <w:tc>
          <w:tcPr>
            <w:tcW w:w="5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97"/>
              </w:rPr>
              <w:t>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left="419"/>
              <w:spacing w:after="0"/>
              <w:rPr>
                <w:sz w:val="20"/>
                <w:szCs w:val="20"/>
                <w:color w:val="auto"/>
              </w:rPr>
            </w:pPr>
            <w:r>
              <w:rPr>
                <w:rFonts w:ascii="Arial" w:cs="Arial" w:eastAsia="Arial" w:hAnsi="Arial"/>
                <w:sz w:val="16"/>
                <w:szCs w:val="16"/>
                <w:color w:val="auto"/>
                <w:w w:val="97"/>
              </w:rPr>
              <w:t>305</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options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Product cost of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7"/>
              </w:rPr>
              <w:t>162</w:t>
            </w:r>
          </w:p>
        </w:tc>
        <w:tc>
          <w:tcPr>
            <w:tcW w:w="0" w:type="dxa"/>
            <w:vAlign w:val="bottom"/>
          </w:tcPr>
          <w:p>
            <w:pPr>
              <w:spacing w:after="0"/>
              <w:rPr>
                <w:sz w:val="1"/>
                <w:szCs w:val="1"/>
                <w:color w:val="auto"/>
              </w:rPr>
            </w:pPr>
          </w:p>
        </w:tc>
      </w:tr>
      <w:tr>
        <w:trPr>
          <w:trHeight w:val="224"/>
        </w:trPr>
        <w:tc>
          <w:tcPr>
            <w:tcW w:w="2760" w:type="dxa"/>
            <w:vAlign w:val="bottom"/>
          </w:tcPr>
          <w:p>
            <w:pPr>
              <w:ind w:left="340"/>
              <w:spacing w:after="0"/>
              <w:rPr>
                <w:sz w:val="20"/>
                <w:szCs w:val="20"/>
                <w:color w:val="auto"/>
              </w:rPr>
            </w:pPr>
            <w:r>
              <w:rPr>
                <w:rFonts w:ascii="Arial" w:cs="Arial" w:eastAsia="Arial" w:hAnsi="Arial"/>
                <w:sz w:val="16"/>
                <w:szCs w:val="16"/>
                <w:color w:val="auto"/>
              </w:rPr>
              <w:t>Cross currency swap contract</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97"/>
              </w:rPr>
              <w:t>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left="419"/>
              <w:spacing w:after="0"/>
              <w:rPr>
                <w:sz w:val="20"/>
                <w:szCs w:val="20"/>
                <w:color w:val="auto"/>
              </w:rPr>
            </w:pPr>
            <w:r>
              <w:rPr>
                <w:rFonts w:ascii="Arial" w:cs="Arial" w:eastAsia="Arial" w:hAnsi="Arial"/>
                <w:sz w:val="16"/>
                <w:szCs w:val="16"/>
                <w:color w:val="auto"/>
                <w:w w:val="97"/>
              </w:rPr>
              <w:t>416</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Cross currency swap contract</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1"/>
              </w:rPr>
              <w:t>Other income/(expense), net</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left="399"/>
              <w:spacing w:after="0"/>
              <w:rPr>
                <w:sz w:val="20"/>
                <w:szCs w:val="20"/>
                <w:color w:val="auto"/>
              </w:rPr>
            </w:pPr>
            <w:r>
              <w:rPr>
                <w:rFonts w:ascii="Arial" w:cs="Arial" w:eastAsia="Arial" w:hAnsi="Arial"/>
                <w:sz w:val="16"/>
                <w:szCs w:val="16"/>
                <w:color w:val="auto"/>
                <w:w w:val="96"/>
              </w:rPr>
              <w:t>(607)</w:t>
            </w:r>
          </w:p>
        </w:tc>
        <w:tc>
          <w:tcPr>
            <w:tcW w:w="0" w:type="dxa"/>
            <w:vAlign w:val="bottom"/>
          </w:tcPr>
          <w:p>
            <w:pPr>
              <w:spacing w:after="0"/>
              <w:rPr>
                <w:sz w:val="1"/>
                <w:szCs w:val="1"/>
                <w:color w:val="auto"/>
              </w:rPr>
            </w:pPr>
          </w:p>
        </w:tc>
      </w:tr>
      <w:tr>
        <w:trPr>
          <w:trHeight w:val="480"/>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rate swap contract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32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7"/>
              </w:rPr>
              <w:t>919</w:t>
            </w:r>
          </w:p>
        </w:tc>
        <w:tc>
          <w:tcPr>
            <w:tcW w:w="0" w:type="dxa"/>
            <w:vAlign w:val="bottom"/>
          </w:tcPr>
          <w:p>
            <w:pPr>
              <w:spacing w:after="0"/>
              <w:rPr>
                <w:sz w:val="1"/>
                <w:szCs w:val="1"/>
                <w:color w:val="auto"/>
              </w:rPr>
            </w:pPr>
          </w:p>
        </w:tc>
      </w:tr>
      <w:tr>
        <w:trPr>
          <w:trHeight w:val="223"/>
        </w:trPr>
        <w:tc>
          <w:tcPr>
            <w:tcW w:w="2760" w:type="dxa"/>
            <w:vAlign w:val="bottom"/>
          </w:tcPr>
          <w:p>
            <w:pPr>
              <w:ind w:left="340"/>
              <w:spacing w:after="0"/>
              <w:rPr>
                <w:sz w:val="20"/>
                <w:szCs w:val="20"/>
                <w:color w:val="auto"/>
              </w:rPr>
            </w:pPr>
            <w:r>
              <w:rPr>
                <w:rFonts w:ascii="Arial" w:cs="Arial" w:eastAsia="Arial" w:hAnsi="Arial"/>
                <w:sz w:val="16"/>
                <w:szCs w:val="16"/>
                <w:color w:val="auto"/>
              </w:rPr>
              <w:t>Interest rate cap contracts</w:t>
            </w:r>
          </w:p>
        </w:tc>
        <w:tc>
          <w:tcPr>
            <w:tcW w:w="5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97"/>
              </w:rPr>
              <w:t>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left="419"/>
              <w:spacing w:after="0"/>
              <w:rPr>
                <w:sz w:val="20"/>
                <w:szCs w:val="20"/>
                <w:color w:val="auto"/>
              </w:rPr>
            </w:pPr>
            <w:r>
              <w:rPr>
                <w:rFonts w:ascii="Arial" w:cs="Arial" w:eastAsia="Arial" w:hAnsi="Arial"/>
                <w:sz w:val="16"/>
                <w:szCs w:val="16"/>
                <w:color w:val="auto"/>
                <w:w w:val="97"/>
              </w:rPr>
              <w:t>597</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options</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Product cost of revenues</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7"/>
              </w:rPr>
              <w:t>162</w:t>
            </w:r>
          </w:p>
        </w:tc>
        <w:tc>
          <w:tcPr>
            <w:tcW w:w="0" w:type="dxa"/>
            <w:vAlign w:val="bottom"/>
          </w:tcPr>
          <w:p>
            <w:pPr>
              <w:spacing w:after="0"/>
              <w:rPr>
                <w:sz w:val="1"/>
                <w:szCs w:val="1"/>
                <w:color w:val="auto"/>
              </w:rPr>
            </w:pPr>
          </w:p>
        </w:tc>
      </w:tr>
      <w:tr>
        <w:trPr>
          <w:trHeight w:val="224"/>
        </w:trPr>
        <w:tc>
          <w:tcPr>
            <w:tcW w:w="2760" w:type="dxa"/>
            <w:vAlign w:val="bottom"/>
          </w:tcPr>
          <w:p>
            <w:pPr>
              <w:ind w:left="340"/>
              <w:spacing w:after="0"/>
              <w:rPr>
                <w:sz w:val="20"/>
                <w:szCs w:val="20"/>
                <w:color w:val="auto"/>
              </w:rPr>
            </w:pPr>
            <w:r>
              <w:rPr>
                <w:rFonts w:ascii="Arial" w:cs="Arial" w:eastAsia="Arial" w:hAnsi="Arial"/>
                <w:sz w:val="16"/>
                <w:szCs w:val="16"/>
                <w:color w:val="auto"/>
              </w:rPr>
              <w:t>Cross currency swap contract</w:t>
            </w:r>
          </w:p>
        </w:tc>
        <w:tc>
          <w:tcPr>
            <w:tcW w:w="58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19"/>
                <w:szCs w:val="19"/>
                <w:color w:val="auto"/>
              </w:rPr>
            </w:pPr>
          </w:p>
        </w:tc>
        <w:tc>
          <w:tcPr>
            <w:tcW w:w="200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97"/>
              </w:rPr>
              <w:t>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left="419"/>
              <w:spacing w:after="0"/>
              <w:rPr>
                <w:sz w:val="20"/>
                <w:szCs w:val="20"/>
                <w:color w:val="auto"/>
              </w:rPr>
            </w:pPr>
            <w:r>
              <w:rPr>
                <w:rFonts w:ascii="Arial" w:cs="Arial" w:eastAsia="Arial" w:hAnsi="Arial"/>
                <w:sz w:val="16"/>
                <w:szCs w:val="16"/>
                <w:color w:val="auto"/>
                <w:w w:val="97"/>
              </w:rPr>
              <w:t>910</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Cross currency swap contract</w:t>
            </w: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Other income/(expense), net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19"/>
              <w:spacing w:after="0"/>
              <w:rPr>
                <w:sz w:val="20"/>
                <w:szCs w:val="20"/>
                <w:color w:val="auto"/>
              </w:rPr>
            </w:pPr>
            <w:r>
              <w:rPr>
                <w:rFonts w:ascii="Arial" w:cs="Arial" w:eastAsia="Arial" w:hAnsi="Arial"/>
                <w:sz w:val="16"/>
                <w:szCs w:val="16"/>
                <w:color w:val="auto"/>
                <w:w w:val="97"/>
              </w:rPr>
              <w:t>285</w:t>
            </w: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and expense. We enter into monthly foreign exchange forward contracts, which are not designated for hedge accounting, with the intent to reduce earnings volatility associated with currency exposures. As of June 30, 2020, a total of 50 contracts were offsetting our exposures from the euro, Canadian dollar, Chinese yuan, Mexican peso, Pound Sterling and various other currencies, with notional amounts ranging from $111,000 to $26.4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ind w:left="120"/>
              <w:spacing w:after="0"/>
              <w:rPr>
                <w:sz w:val="20"/>
                <w:szCs w:val="20"/>
                <w:color w:val="auto"/>
              </w:rPr>
            </w:pPr>
            <w:r>
              <w:rPr>
                <w:rFonts w:ascii="Arial" w:cs="Arial" w:eastAsia="Arial" w:hAnsi="Arial"/>
                <w:sz w:val="16"/>
                <w:szCs w:val="16"/>
                <w:b w:val="1"/>
                <w:bCs w:val="1"/>
                <w:color w:val="auto"/>
                <w:w w:val="92"/>
              </w:rPr>
              <w:t>Derivatives Not Designated as Hedging Instrument under</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w w:val="93"/>
              </w:rPr>
              <w:t>Gain (Loss) Recognized on Derivatives in Other Income</w:t>
            </w:r>
          </w:p>
        </w:tc>
      </w:tr>
      <w:tr>
        <w:trPr>
          <w:trHeight w:val="210"/>
        </w:trPr>
        <w:tc>
          <w:tcPr>
            <w:tcW w:w="4160" w:type="dxa"/>
            <w:vAlign w:val="bottom"/>
          </w:tcPr>
          <w:p>
            <w:pPr>
              <w:ind w:left="1700"/>
              <w:spacing w:after="0"/>
              <w:rPr>
                <w:sz w:val="20"/>
                <w:szCs w:val="20"/>
                <w:color w:val="auto"/>
              </w:rPr>
            </w:pPr>
            <w:r>
              <w:rPr>
                <w:rFonts w:ascii="Arial" w:cs="Arial" w:eastAsia="Arial" w:hAnsi="Arial"/>
                <w:sz w:val="16"/>
                <w:szCs w:val="16"/>
                <w:b w:val="1"/>
                <w:bCs w:val="1"/>
                <w:color w:val="auto"/>
              </w:rPr>
              <w:t>ASC 815-20</w:t>
            </w:r>
          </w:p>
        </w:tc>
        <w:tc>
          <w:tcPr>
            <w:tcW w:w="2600" w:type="dxa"/>
            <w:vAlign w:val="bottom"/>
            <w:gridSpan w:val="2"/>
          </w:tcPr>
          <w:p>
            <w:pPr>
              <w:ind w:left="96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18"/>
                <w:szCs w:val="18"/>
                <w:color w:val="auto"/>
              </w:rPr>
            </w:pPr>
          </w:p>
        </w:tc>
        <w:tc>
          <w:tcPr>
            <w:tcW w:w="2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(Expense)</w:t>
            </w:r>
          </w:p>
        </w:tc>
        <w:tc>
          <w:tcPr>
            <w:tcW w:w="1580" w:type="dxa"/>
            <w:vAlign w:val="bottom"/>
          </w:tcPr>
          <w:p>
            <w:pPr>
              <w:spacing w:after="0"/>
              <w:rPr>
                <w:sz w:val="18"/>
                <w:szCs w:val="18"/>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859"/>
              <w:spacing w:after="0"/>
              <w:rPr>
                <w:sz w:val="20"/>
                <w:szCs w:val="20"/>
                <w:color w:val="auto"/>
              </w:rPr>
            </w:pPr>
            <w:r>
              <w:rPr>
                <w:rFonts w:ascii="Arial" w:cs="Arial" w:eastAsia="Arial" w:hAnsi="Arial"/>
                <w:sz w:val="16"/>
                <w:szCs w:val="16"/>
                <w:b w:val="1"/>
                <w:bCs w:val="1"/>
                <w:color w:val="auto"/>
              </w:rPr>
              <w:t>2020</w:t>
            </w:r>
          </w:p>
        </w:tc>
        <w:tc>
          <w:tcPr>
            <w:tcW w:w="700" w:type="dxa"/>
            <w:vAlign w:val="bottom"/>
          </w:tcPr>
          <w:p>
            <w:pPr>
              <w:spacing w:after="0"/>
              <w:rPr>
                <w:sz w:val="18"/>
                <w:szCs w:val="18"/>
                <w:color w:val="auto"/>
              </w:rPr>
            </w:pPr>
          </w:p>
        </w:tc>
        <w:tc>
          <w:tcPr>
            <w:tcW w:w="15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4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forward contracts</w:t>
            </w:r>
          </w:p>
        </w:tc>
        <w:tc>
          <w:tcPr>
            <w:tcW w:w="2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43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4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exchange forward contracts</w:t>
            </w: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589</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(912)</w:t>
            </w:r>
          </w:p>
        </w:tc>
      </w:tr>
      <w:tr>
        <w:trPr>
          <w:trHeight w:val="33"/>
        </w:trPr>
        <w:tc>
          <w:tcPr>
            <w:tcW w:w="41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Plan assets in other long-term assets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2,885</w:t>
            </w:r>
          </w:p>
        </w:tc>
      </w:tr>
      <w:tr>
        <w:trPr>
          <w:trHeight w:val="224"/>
        </w:trPr>
        <w:tc>
          <w:tcPr>
            <w:tcW w:w="6760" w:type="dxa"/>
            <w:vAlign w:val="bottom"/>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36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99,184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98,712</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benefit obligation,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102,900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101,553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1,971</w:t>
            </w: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1,155</w:t>
            </w:r>
          </w:p>
        </w:tc>
      </w:tr>
      <w:tr>
        <w:trPr>
          <w:trHeight w:val="33"/>
        </w:trPr>
        <w:tc>
          <w:tcPr>
            <w:tcW w:w="4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33</w:t>
            </w:r>
          </w:p>
        </w:tc>
      </w:tr>
      <w:tr>
        <w:trPr>
          <w:trHeight w:val="33"/>
        </w:trPr>
        <w:tc>
          <w:tcPr>
            <w:tcW w:w="4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w:t>
            </w:r>
          </w:p>
        </w:tc>
      </w:tr>
      <w:tr>
        <w:trPr>
          <w:trHeight w:val="247"/>
        </w:trPr>
        <w:tc>
          <w:tcPr>
            <w:tcW w:w="4360" w:type="dxa"/>
            <w:vAlign w:val="bottom"/>
          </w:tcPr>
          <w:p>
            <w:pPr>
              <w:ind w:left="340"/>
              <w:spacing w:after="0"/>
              <w:rPr>
                <w:sz w:val="20"/>
                <w:szCs w:val="20"/>
                <w:color w:val="auto"/>
              </w:rPr>
            </w:pPr>
            <w:r>
              <w:rPr>
                <w:rFonts w:ascii="Arial" w:cs="Arial" w:eastAsia="Arial" w:hAnsi="Arial"/>
                <w:sz w:val="16"/>
                <w:szCs w:val="16"/>
                <w:color w:val="auto"/>
              </w:rPr>
              <w:t>Net periodic benefit cost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1,670</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3,583</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3,537</w:t>
            </w:r>
          </w:p>
        </w:tc>
      </w:tr>
      <w:tr>
        <w:trPr>
          <w:trHeight w:val="23"/>
        </w:trPr>
        <w:tc>
          <w:tcPr>
            <w:tcW w:w="4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grant stock-based compensation awards under the Second Amended and Restated 2010 Stock Incentive Plan (Stock Incentive Plan), including stock options, restricted stock units, phantom stock, and unrestricted stock units. In the Stock Incentive Plan, we have 12,623,538 shares of common stock reserved and authorized for issuance subject to stock splits, dividends, and other similar events and at June 30, 2020, 5,611,617 shares were available for grant.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204,451 shares of common stock were available for future issuance at June 30,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forms of stock grants, including Unrestricted stock, ESPP, and Phantom stock units were not significant for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2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1,024</w:t>
            </w:r>
          </w:p>
        </w:tc>
      </w:tr>
      <w:tr>
        <w:trPr>
          <w:trHeight w:val="224"/>
        </w:trPr>
        <w:tc>
          <w:tcPr>
            <w:tcW w:w="420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5,977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14,176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12,444</w:t>
            </w:r>
          </w:p>
        </w:tc>
      </w:tr>
      <w:tr>
        <w:trPr>
          <w:trHeight w:val="33"/>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w:t>
            </w:r>
          </w:p>
        </w:tc>
      </w:tr>
      <w:tr>
        <w:trPr>
          <w:trHeight w:val="224"/>
        </w:trPr>
        <w:tc>
          <w:tcPr>
            <w:tcW w:w="4200" w:type="dxa"/>
            <w:vAlign w:val="bottom"/>
          </w:tcPr>
          <w:p>
            <w:pPr>
              <w:ind w:left="20"/>
              <w:spacing w:after="0"/>
              <w:rPr>
                <w:sz w:val="20"/>
                <w:szCs w:val="20"/>
                <w:color w:val="auto"/>
              </w:rPr>
            </w:pPr>
            <w:r>
              <w:rPr>
                <w:rFonts w:ascii="Arial" w:cs="Arial" w:eastAsia="Arial" w:hAnsi="Arial"/>
                <w:sz w:val="16"/>
                <w:szCs w:val="16"/>
                <w:color w:val="auto"/>
              </w:rPr>
              <w:t>Phantom stock units</w:t>
            </w: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1,443</w:t>
            </w:r>
          </w:p>
        </w:tc>
      </w:tr>
      <w:tr>
        <w:trPr>
          <w:trHeight w:val="33"/>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2"/>
        </w:trPr>
        <w:tc>
          <w:tcPr>
            <w:tcW w:w="4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7,103</w:t>
            </w:r>
          </w:p>
        </w:tc>
        <w:tc>
          <w:tcPr>
            <w:tcW w:w="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17,074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15,226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7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1,275</w:t>
            </w:r>
          </w:p>
        </w:tc>
        <w:tc>
          <w:tcPr>
            <w:tcW w:w="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2,718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30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per Share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Intrinsic Value</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3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color w:val="auto"/>
                <w:w w:val="92"/>
              </w:rPr>
              <w:t>(in thousands)</w:t>
            </w:r>
          </w:p>
        </w:tc>
        <w:tc>
          <w:tcPr>
            <w:tcW w:w="136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3"/>
        </w:trPr>
        <w:tc>
          <w:tcPr>
            <w:tcW w:w="30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67.38</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Expired</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66.36</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2019</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4"/>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56.38</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3"/>
        </w:trPr>
        <w:tc>
          <w:tcPr>
            <w:tcW w:w="3080" w:type="dxa"/>
            <w:vAlign w:val="bottom"/>
          </w:tcPr>
          <w:p>
            <w:pPr>
              <w:ind w:left="340"/>
              <w:spacing w:after="0"/>
              <w:rPr>
                <w:sz w:val="20"/>
                <w:szCs w:val="20"/>
                <w:color w:val="auto"/>
              </w:rPr>
            </w:pPr>
            <w:r>
              <w:rPr>
                <w:rFonts w:ascii="Arial" w:cs="Arial" w:eastAsia="Arial" w:hAnsi="Arial"/>
                <w:sz w:val="16"/>
                <w:szCs w:val="16"/>
                <w:color w:val="auto"/>
              </w:rPr>
              <w:t>Granted</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26.72</w:t>
            </w: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Exercised</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51.52</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color w:val="auto"/>
              </w:rPr>
              <w:t>Outstanding, June 30, 2020</w:t>
            </w: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61.48</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24"/>
        </w:trPr>
        <w:tc>
          <w:tcPr>
            <w:tcW w:w="3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color w:val="auto"/>
              </w:rPr>
              <w:t>Exercisable, June 30, 2020</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50.30</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2020, total unrecognized stock-based compensation expense related to nonvested stock options was $3.4 million, which is expected to be recognized over a weighted average period of approximately 2.2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87"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37465</wp:posOffset>
            </wp:positionV>
            <wp:extent cx="2897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right"/>
              <w:ind w:right="879"/>
              <w:spacing w:after="0"/>
              <w:rPr>
                <w:sz w:val="20"/>
                <w:szCs w:val="20"/>
                <w:color w:val="auto"/>
              </w:rPr>
            </w:pPr>
            <w:r>
              <w:rPr>
                <w:rFonts w:ascii="Arial" w:cs="Arial" w:eastAsia="Arial" w:hAnsi="Arial"/>
                <w:sz w:val="16"/>
                <w:szCs w:val="16"/>
                <w:b w:val="1"/>
                <w:bCs w:val="1"/>
                <w:color w:val="auto"/>
              </w:rPr>
              <w:t>2019</w:t>
            </w:r>
          </w:p>
        </w:tc>
      </w:tr>
      <w:tr>
        <w:trPr>
          <w:trHeight w:val="33"/>
        </w:trPr>
        <w:tc>
          <w:tcPr>
            <w:tcW w:w="66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4"/>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33"/>
        </w:trPr>
        <w:tc>
          <w:tcPr>
            <w:tcW w:w="66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employee stock options granted for the three months ended June 30, 2020, and the three and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2180" w:type="dxa"/>
            <w:vAlign w:val="bottom"/>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7"/>
                <w:szCs w:val="17"/>
                <w:color w:val="auto"/>
              </w:rPr>
            </w:pPr>
          </w:p>
        </w:tc>
        <w:tc>
          <w:tcPr>
            <w:tcW w:w="1840" w:type="dxa"/>
            <w:vAlign w:val="bottom"/>
          </w:tcPr>
          <w:p>
            <w:pPr>
              <w:jc w:val="right"/>
              <w:ind w:right="659"/>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18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4"/>
        </w:trPr>
        <w:tc>
          <w:tcPr>
            <w:tcW w:w="4420" w:type="dxa"/>
            <w:vAlign w:val="bottom"/>
          </w:tcPr>
          <w:p>
            <w:pPr>
              <w:ind w:left="3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56.40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7"/>
        </w:trPr>
        <w:tc>
          <w:tcPr>
            <w:tcW w:w="4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22,304</w:t>
            </w:r>
          </w:p>
        </w:tc>
      </w:tr>
      <w:tr>
        <w:trPr>
          <w:trHeight w:val="224"/>
        </w:trPr>
        <w:tc>
          <w:tcPr>
            <w:tcW w:w="442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2019</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r>
        <w:trPr>
          <w:trHeight w:val="206"/>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684</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3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85.97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7"/>
        </w:trPr>
        <w:tc>
          <w:tcPr>
            <w:tcW w:w="4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r>
      <w:tr>
        <w:trPr>
          <w:trHeight w:val="224"/>
        </w:trPr>
        <w:tc>
          <w:tcPr>
            <w:tcW w:w="442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66.91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2020</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r>
        <w:trPr>
          <w:trHeight w:val="206"/>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June 30, 2020</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gross of shares netted for employee payroll tax obligations.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total unrecognized compensation expense on restricted stock units was $38.0 million, which is expected to be recognized over a weighted average period of approximately 2.0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w w:val="91"/>
              </w:rPr>
              <w:t>Six Months Ended June 30,</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right"/>
              <w:ind w:right="699"/>
              <w:spacing w:after="0"/>
              <w:rPr>
                <w:sz w:val="20"/>
                <w:szCs w:val="20"/>
                <w:color w:val="auto"/>
              </w:rPr>
            </w:pPr>
            <w:r>
              <w:rPr>
                <w:rFonts w:ascii="Arial" w:cs="Arial" w:eastAsia="Arial" w:hAnsi="Arial"/>
                <w:sz w:val="16"/>
                <w:szCs w:val="16"/>
                <w:b w:val="1"/>
                <w:bCs w:val="1"/>
                <w:color w:val="auto"/>
                <w:w w:val="95"/>
              </w:rPr>
              <w:t>2019</w:t>
            </w:r>
          </w:p>
        </w:tc>
        <w:tc>
          <w:tcPr>
            <w:tcW w:w="180" w:type="dxa"/>
            <w:vAlign w:val="bottom"/>
          </w:tcPr>
          <w:p>
            <w:pPr>
              <w:spacing w:after="0"/>
              <w:rPr>
                <w:sz w:val="18"/>
                <w:szCs w:val="18"/>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66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w:t>
            </w:r>
          </w:p>
        </w:tc>
        <w:tc>
          <w:tcPr>
            <w:tcW w:w="1220" w:type="dxa"/>
            <w:vAlign w:val="bottom"/>
            <w:gridSpan w:val="3"/>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80" w:type="dxa"/>
            <w:vAlign w:val="bottom"/>
            <w:shd w:val="clear" w:color="auto" w:fill="CCEEFF"/>
          </w:tcPr>
          <w:p>
            <w:pPr>
              <w:spacing w:after="0"/>
              <w:rPr>
                <w:sz w:val="19"/>
                <w:szCs w:val="19"/>
                <w:color w:val="auto"/>
              </w:rPr>
            </w:pPr>
          </w:p>
        </w:tc>
      </w:tr>
      <w:tr>
        <w:trPr>
          <w:trHeight w:val="33"/>
        </w:trPr>
        <w:tc>
          <w:tcPr>
            <w:tcW w:w="66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performance-based restricted stock units granted for the three months ended June 30,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tax rate for the three and six months ended June 30, 2020 of (8)% and (30)%, respectively, differed from the federal statutory rate of 21% primarily due to a significant loss recognized in the second quarter for the divestiture of the majority of our Latin American business activities. Refer to "Note 17: Sale of Business" for additional information on the transaction. This loss was recognized for tax as a discrete item and resulted in no tax benefit. Other rate drivers include losses in jurisdictions for which no benefit is recognized because of valuation allowances on deferred tax assets, the forecasted mix of earnings in domestic and international jurisdictions, a benefit related to excess stock-based compensation, and uncertain tax positions.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rate for the three and six months ended June 30, 2019 of 30% and 42%,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860" w:type="dxa"/>
            <w:vAlign w:val="bottom"/>
            <w:gridSpan w:val="4"/>
          </w:tcPr>
          <w:p>
            <w:pPr>
              <w:ind w:left="640"/>
              <w:spacing w:after="0"/>
              <w:rPr>
                <w:sz w:val="20"/>
                <w:szCs w:val="20"/>
                <w:color w:val="auto"/>
              </w:rPr>
            </w:pPr>
            <w:r>
              <w:rPr>
                <w:rFonts w:ascii="Arial" w:cs="Arial" w:eastAsia="Arial" w:hAnsi="Arial"/>
                <w:sz w:val="16"/>
                <w:szCs w:val="16"/>
                <w:b w:val="1"/>
                <w:bCs w:val="1"/>
                <w:color w:val="auto"/>
                <w:w w:val="97"/>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ind w:left="660"/>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w:t>
            </w:r>
          </w:p>
        </w:tc>
      </w:tr>
      <w:tr>
        <w:trPr>
          <w:trHeight w:val="33"/>
        </w:trPr>
        <w:tc>
          <w:tcPr>
            <w:tcW w:w="4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1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39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2,849</w:t>
            </w:r>
          </w:p>
        </w:tc>
      </w:tr>
      <w:tr>
        <w:trPr>
          <w:trHeight w:val="223"/>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140" w:type="dxa"/>
            <w:vAlign w:val="bottom"/>
          </w:tcPr>
          <w:p>
            <w:pPr>
              <w:spacing w:after="0"/>
              <w:rPr>
                <w:sz w:val="19"/>
                <w:szCs w:val="19"/>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1,681</w:t>
            </w:r>
          </w:p>
        </w:tc>
      </w:tr>
    </w:tbl>
    <w:p>
      <w:pPr>
        <w:spacing w:after="0" w:line="3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122,621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121,715</w:t>
            </w:r>
          </w:p>
        </w:tc>
      </w:tr>
      <w:tr>
        <w:trPr>
          <w:trHeight w:val="251"/>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40" w:type="dxa"/>
            <w:vAlign w:val="bottom"/>
          </w:tcPr>
          <w:p>
            <w:pPr>
              <w:spacing w:after="0"/>
              <w:rPr>
                <w:sz w:val="21"/>
                <w:szCs w:val="21"/>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121,311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120,410</w:t>
            </w:r>
          </w:p>
        </w:tc>
      </w:tr>
    </w:tbl>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and the United Kingdom.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 and may assess in subsequent quarters the impact and availability of payroll tax credits from the U.S. and similar programs provided for by foreign governments, as applicable.</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Long-term borrowings</w:t>
            </w:r>
          </w:p>
        </w:tc>
        <w:tc>
          <w:tcPr>
            <w:tcW w:w="36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(41,072)</w:t>
            </w:r>
          </w:p>
        </w:tc>
      </w:tr>
      <w:tr>
        <w:trPr>
          <w:trHeight w:val="217"/>
        </w:trPr>
        <w:tc>
          <w:tcPr>
            <w:tcW w:w="6760" w:type="dxa"/>
            <w:vAlign w:val="bottom"/>
          </w:tcPr>
          <w:p>
            <w:pPr>
              <w:ind w:left="680"/>
              <w:spacing w:after="0"/>
              <w:rPr>
                <w:sz w:val="20"/>
                <w:szCs w:val="20"/>
                <w:color w:val="auto"/>
              </w:rPr>
            </w:pPr>
            <w:r>
              <w:rPr>
                <w:rFonts w:ascii="Arial" w:cs="Arial" w:eastAsia="Arial" w:hAnsi="Arial"/>
                <w:sz w:val="16"/>
                <w:szCs w:val="16"/>
                <w:color w:val="auto"/>
                <w:w w:val="99"/>
              </w:rPr>
              <w:t>Net available for additional borrowings under the multi-currency revolving line of credit</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54,542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458,928</w:t>
            </w: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54,542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258,928</w:t>
            </w: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99,782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107,206</w:t>
            </w: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(23,440)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(25,100)</w:t>
            </w:r>
          </w:p>
        </w:tc>
      </w:tr>
      <w:tr>
        <w:trPr>
          <w:trHeight w:val="33"/>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76,208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81,933</w:t>
            </w: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Unsecured surety bonds in force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160,860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136,004</w:t>
            </w: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August 3, 2020, we do not believe that any outstanding LOC or bond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48,719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57,532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60,443</w:t>
            </w:r>
          </w:p>
        </w:tc>
      </w:tr>
      <w:tr>
        <w:trPr>
          <w:trHeight w:val="224"/>
        </w:trPr>
        <w:tc>
          <w:tcPr>
            <w:tcW w:w="4360" w:type="dxa"/>
            <w:vAlign w:val="bottom"/>
          </w:tcPr>
          <w:p>
            <w:pPr>
              <w:ind w:left="340"/>
              <w:spacing w:after="0"/>
              <w:rPr>
                <w:sz w:val="20"/>
                <w:szCs w:val="20"/>
                <w:color w:val="auto"/>
              </w:rPr>
            </w:pPr>
            <w:r>
              <w:rPr>
                <w:rFonts w:ascii="Arial" w:cs="Arial" w:eastAsia="Arial" w:hAnsi="Arial"/>
                <w:sz w:val="16"/>
                <w:szCs w:val="16"/>
                <w:color w:val="auto"/>
              </w:rPr>
              <w:t>New product warranties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2,257</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adjustments and expirations, net</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7,931</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Claims activity</w:t>
            </w: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(8,365)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(7,434)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(14,305)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(13,517)</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44,757</w:t>
            </w: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57,112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44,757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57,112</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33,039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38,987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33,039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38,987</w:t>
            </w:r>
          </w:p>
        </w:tc>
      </w:tr>
      <w:tr>
        <w:trPr>
          <w:trHeight w:val="247"/>
        </w:trPr>
        <w:tc>
          <w:tcPr>
            <w:tcW w:w="4360" w:type="dxa"/>
            <w:vAlign w:val="bottom"/>
          </w:tcPr>
          <w:p>
            <w:pPr>
              <w:ind w:left="340"/>
              <w:spacing w:after="0"/>
              <w:rPr>
                <w:sz w:val="20"/>
                <w:szCs w:val="20"/>
                <w:color w:val="auto"/>
              </w:rPr>
            </w:pPr>
            <w:r>
              <w:rPr>
                <w:rFonts w:ascii="Arial" w:cs="Arial" w:eastAsia="Arial" w:hAnsi="Arial"/>
                <w:sz w:val="16"/>
                <w:szCs w:val="16"/>
                <w:color w:val="auto"/>
              </w:rPr>
              <w:t>Long-term warranty</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3"/>
              </w:rPr>
              <w:t>11,718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3"/>
              </w:rPr>
              <w:t>18,125</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11,718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18,125</w:t>
            </w:r>
          </w:p>
        </w:tc>
      </w:tr>
      <w:tr>
        <w:trPr>
          <w:trHeight w:val="2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0" w:type="dxa"/>
            <w:vAlign w:val="bottom"/>
            <w:gridSpan w:val="4"/>
          </w:tcPr>
          <w:p>
            <w:pPr>
              <w:ind w:left="660"/>
              <w:spacing w:after="0"/>
              <w:rPr>
                <w:sz w:val="20"/>
                <w:szCs w:val="20"/>
                <w:color w:val="auto"/>
              </w:rPr>
            </w:pPr>
            <w:r>
              <w:rPr>
                <w:rFonts w:ascii="Arial" w:cs="Arial" w:eastAsia="Arial" w:hAnsi="Arial"/>
                <w:sz w:val="16"/>
                <w:szCs w:val="16"/>
                <w:b w:val="1"/>
                <w:bCs w:val="1"/>
                <w:color w:val="auto"/>
                <w:w w:val="93"/>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Pr>
          <w:p>
            <w:pPr>
              <w:ind w:left="660"/>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7,966</w:t>
            </w:r>
          </w:p>
        </w:tc>
      </w:tr>
      <w:tr>
        <w:trPr>
          <w:trHeight w:val="33"/>
        </w:trPr>
        <w:tc>
          <w:tcPr>
            <w:tcW w:w="4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expense recognition on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 All prior restructuring plans are substantially complete and are not presented below.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2020 we reversed expense for employee severance costs and asset impairments we will no longer incur as a result of selling our business in Latin America.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1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Total Expected Costs at</w:t>
            </w:r>
          </w:p>
        </w:tc>
        <w:tc>
          <w:tcPr>
            <w:tcW w:w="2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the Six Months Ended</w:t>
            </w:r>
          </w:p>
        </w:tc>
        <w:tc>
          <w:tcPr>
            <w:tcW w:w="200" w:type="dxa"/>
            <w:vAlign w:val="bottom"/>
          </w:tcPr>
          <w:p>
            <w:pPr>
              <w:spacing w:after="0"/>
              <w:rPr>
                <w:sz w:val="17"/>
                <w:szCs w:val="17"/>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2020</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June 30, 2020</w:t>
            </w: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67,833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72,133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center"/>
              <w:ind w:left="1099"/>
              <w:spacing w:after="0"/>
              <w:rPr>
                <w:sz w:val="20"/>
                <w:szCs w:val="20"/>
                <w:color w:val="auto"/>
              </w:rPr>
            </w:pPr>
            <w:r>
              <w:rPr>
                <w:rFonts w:ascii="Arial" w:cs="Arial" w:eastAsia="Arial" w:hAnsi="Arial"/>
                <w:sz w:val="16"/>
                <w:szCs w:val="16"/>
                <w:color w:val="auto"/>
                <w:w w:val="94"/>
              </w:rPr>
              <w:t>(4,300)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6" w:lineRule="exact"/>
              <w:rPr>
                <w:sz w:val="20"/>
                <w:szCs w:val="20"/>
                <w:color w:val="auto"/>
              </w:rPr>
            </w:pPr>
            <w:r>
              <w:rPr>
                <w:rFonts w:ascii="Arial" w:cs="Arial" w:eastAsia="Arial" w:hAnsi="Arial"/>
                <w:sz w:val="16"/>
                <w:szCs w:val="16"/>
                <w:color w:val="auto"/>
                <w:w w:val="96"/>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ind w:right="59"/>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ind w:right="79"/>
              <w:spacing w:after="0"/>
              <w:rPr>
                <w:sz w:val="20"/>
                <w:szCs w:val="20"/>
                <w:color w:val="auto"/>
              </w:rPr>
            </w:pPr>
            <w:r>
              <w:rPr>
                <w:rFonts w:ascii="Arial" w:cs="Arial" w:eastAsia="Arial" w:hAnsi="Arial"/>
                <w:sz w:val="16"/>
                <w:szCs w:val="16"/>
                <w:color w:val="auto"/>
              </w:rPr>
              <w:t>3,842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center"/>
              <w:ind w:left="1099"/>
              <w:spacing w:after="0"/>
              <w:rPr>
                <w:sz w:val="20"/>
                <w:szCs w:val="20"/>
                <w:color w:val="auto"/>
              </w:rPr>
            </w:pPr>
            <w:r>
              <w:rPr>
                <w:rFonts w:ascii="Arial" w:cs="Arial" w:eastAsia="Arial" w:hAnsi="Arial"/>
                <w:sz w:val="16"/>
                <w:szCs w:val="16"/>
                <w:color w:val="auto"/>
                <w:w w:val="94"/>
              </w:rPr>
              <w:t>(1,146)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0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21,381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center"/>
              <w:ind w:left="1139"/>
              <w:spacing w:after="0"/>
              <w:rPr>
                <w:sz w:val="20"/>
                <w:szCs w:val="20"/>
                <w:color w:val="auto"/>
              </w:rPr>
            </w:pPr>
            <w:r>
              <w:rPr>
                <w:rFonts w:ascii="Arial" w:cs="Arial" w:eastAsia="Arial" w:hAnsi="Arial"/>
                <w:sz w:val="16"/>
                <w:szCs w:val="16"/>
                <w:color w:val="auto"/>
                <w:w w:val="89"/>
              </w:rPr>
              <w:t>2,515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17"/>
        </w:trPr>
        <w:tc>
          <w:tcPr>
            <w:tcW w:w="3000" w:type="dxa"/>
            <w:vAlign w:val="bottom"/>
            <w:vMerge w:val="restart"/>
          </w:tcPr>
          <w:p>
            <w:pPr>
              <w:ind w:left="5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91,910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87,395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center"/>
              <w:ind w:left="1099"/>
              <w:spacing w:after="0"/>
              <w:rPr>
                <w:sz w:val="20"/>
                <w:szCs w:val="20"/>
                <w:color w:val="auto"/>
              </w:rPr>
            </w:pPr>
            <w:r>
              <w:rPr>
                <w:rFonts w:ascii="Arial" w:cs="Arial" w:eastAsia="Arial" w:hAnsi="Arial"/>
                <w:sz w:val="16"/>
                <w:szCs w:val="16"/>
                <w:color w:val="auto"/>
                <w:w w:val="94"/>
              </w:rPr>
              <w:t>(2,931)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33"/>
        </w:trPr>
        <w:tc>
          <w:tcPr>
            <w:tcW w:w="3000" w:type="dxa"/>
            <w:vAlign w:val="bottom"/>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within the restructuring related balance sheet accounts for the 2018 Projects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1"/>
              </w:rPr>
              <w:t>Asset Impairments &amp; Net</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Accrued Employee</w:t>
            </w:r>
          </w:p>
        </w:tc>
        <w:tc>
          <w:tcPr>
            <w:tcW w:w="100" w:type="dxa"/>
            <w:vAlign w:val="bottom"/>
          </w:tcPr>
          <w:p>
            <w:pPr>
              <w:spacing w:after="0"/>
              <w:rPr>
                <w:sz w:val="17"/>
                <w:szCs w:val="17"/>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Loss (Gain) on Sale or</w:t>
            </w: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Severance</w:t>
            </w:r>
          </w:p>
        </w:tc>
        <w:tc>
          <w:tcPr>
            <w:tcW w:w="10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Disposal</w:t>
            </w: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Accrued Costs</w:t>
            </w:r>
          </w:p>
        </w:tc>
        <w:tc>
          <w:tcPr>
            <w:tcW w:w="460" w:type="dxa"/>
            <w:vAlign w:val="bottom"/>
          </w:tcPr>
          <w:p>
            <w:pPr>
              <w:spacing w:after="0"/>
              <w:rPr>
                <w:sz w:val="18"/>
                <w:szCs w:val="18"/>
                <w:color w:val="auto"/>
              </w:rPr>
            </w:pPr>
          </w:p>
        </w:tc>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33"/>
        </w:trPr>
        <w:tc>
          <w:tcPr>
            <w:tcW w:w="3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56,107</w:t>
            </w:r>
          </w:p>
        </w:tc>
      </w:tr>
      <w:tr>
        <w:trPr>
          <w:trHeight w:val="253"/>
        </w:trPr>
        <w:tc>
          <w:tcPr>
            <w:tcW w:w="300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(2,931)</w:t>
            </w:r>
          </w:p>
        </w:tc>
      </w:tr>
      <w:tr>
        <w:trPr>
          <w:trHeight w:val="260"/>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 receipts</w:t>
            </w: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(7,424)</w:t>
            </w:r>
          </w:p>
        </w:tc>
      </w:tr>
      <w:tr>
        <w:trPr>
          <w:trHeight w:val="223"/>
        </w:trPr>
        <w:tc>
          <w:tcPr>
            <w:tcW w:w="3000" w:type="dxa"/>
            <w:vAlign w:val="bottom"/>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(1,166)</w:t>
            </w:r>
          </w:p>
        </w:tc>
      </w:tr>
      <w:tr>
        <w:trPr>
          <w:trHeight w:val="33"/>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r>
      <w:tr>
        <w:trPr>
          <w:trHeight w:val="247"/>
        </w:trPr>
        <w:tc>
          <w:tcPr>
            <w:tcW w:w="3000" w:type="dxa"/>
            <w:vAlign w:val="bottom"/>
          </w:tcPr>
          <w:p>
            <w:pPr>
              <w:ind w:left="20"/>
              <w:spacing w:after="0"/>
              <w:rPr>
                <w:sz w:val="20"/>
                <w:szCs w:val="20"/>
                <w:color w:val="auto"/>
              </w:rPr>
            </w:pPr>
            <w:r>
              <w:rPr>
                <w:rFonts w:ascii="Arial" w:cs="Arial" w:eastAsia="Arial" w:hAnsi="Arial"/>
                <w:sz w:val="16"/>
                <w:szCs w:val="16"/>
                <w:color w:val="auto"/>
              </w:rPr>
              <w:t>Ending balance, June 30, 2020</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42,026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44,681</w:t>
            </w:r>
          </w:p>
        </w:tc>
      </w:tr>
      <w:tr>
        <w:trPr>
          <w:trHeight w:val="24"/>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is not part of the operating segments.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current portion of restructuring liabilities was $15.6 million and $18.9 million as of June 30, 2020 and December 31, 2019. The current portion of restructuring liabilities is classified within other current liabilities on the Consolidated Balance Sheets.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long-term portion of restructuring liabilities balances was $29.1 million and $37.2 million as of June 30, 2020 and December 31, 2019. The long-term portion of restructuring liabilities is classified within other long-term obligations on the Consolidated Balance Sheets and includes severance accruals and facility exit costs.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June 30, 2020 or December 31, 2019.</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program expired on March 13, 2020 and no additional shares were repurchased during the quarter ended March 31, 2020.</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 (Loss) on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Pension Benefit</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Nonderivative</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Comprehensive</w:t>
            </w:r>
          </w:p>
        </w:tc>
      </w:tr>
      <w:tr>
        <w:trPr>
          <w:trHeight w:val="210"/>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r>
      <w:tr>
        <w:trPr>
          <w:trHeight w:val="33"/>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(196,305)</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4,462</w:t>
            </w:r>
          </w:p>
        </w:tc>
      </w:tr>
      <w:tr>
        <w:trPr>
          <w:trHeight w:val="33"/>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(2,506)</w:t>
            </w:r>
          </w:p>
        </w:tc>
      </w:tr>
      <w:tr>
        <w:trPr>
          <w:trHeight w:val="217"/>
        </w:trPr>
        <w:tc>
          <w:tcPr>
            <w:tcW w:w="354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1,956</w:t>
            </w:r>
          </w:p>
        </w:tc>
      </w:tr>
      <w:tr>
        <w:trPr>
          <w:trHeight w:val="33"/>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2019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(154,688)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(24,983)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(194,349)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(204,672)</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(15,966)</w:t>
            </w:r>
          </w:p>
        </w:tc>
      </w:tr>
      <w:tr>
        <w:trPr>
          <w:trHeight w:val="33"/>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52,811</w:t>
            </w:r>
          </w:p>
        </w:tc>
      </w:tr>
      <w:tr>
        <w:trPr>
          <w:trHeight w:val="217"/>
        </w:trPr>
        <w:tc>
          <w:tcPr>
            <w:tcW w:w="354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37,953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36,845</w:t>
            </w:r>
          </w:p>
        </w:tc>
      </w:tr>
      <w:tr>
        <w:trPr>
          <w:trHeight w:val="33"/>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2020</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(120,046)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(167,827)</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500" w:type="dxa"/>
            <w:vAlign w:val="bottom"/>
            <w:gridSpan w:val="4"/>
          </w:tcPr>
          <w:p>
            <w:pPr>
              <w:ind w:left="660"/>
              <w:spacing w:after="0"/>
              <w:rPr>
                <w:sz w:val="20"/>
                <w:szCs w:val="20"/>
                <w:color w:val="auto"/>
              </w:rPr>
            </w:pPr>
            <w:r>
              <w:rPr>
                <w:rFonts w:ascii="Arial" w:cs="Arial" w:eastAsia="Arial" w:hAnsi="Arial"/>
                <w:sz w:val="16"/>
                <w:szCs w:val="16"/>
                <w:b w:val="1"/>
                <w:bCs w:val="1"/>
                <w:color w:val="auto"/>
              </w:rPr>
              <w:t>Three Months Ended June 30,</w:t>
            </w:r>
          </w:p>
        </w:tc>
        <w:tc>
          <w:tcPr>
            <w:tcW w:w="33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40" w:type="dxa"/>
            <w:vAlign w:val="bottom"/>
          </w:tcPr>
          <w:p>
            <w:pPr>
              <w:ind w:left="6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3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rPr>
              <w:t>Foreign currency translation adjustment reclassified to net</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income on sale of business</w:t>
            </w:r>
          </w:p>
        </w:tc>
        <w:tc>
          <w:tcPr>
            <w:tcW w:w="100" w:type="dxa"/>
            <w:vAlign w:val="bottom"/>
          </w:tcPr>
          <w:p>
            <w:pPr>
              <w:spacing w:after="0"/>
              <w:rPr>
                <w:sz w:val="17"/>
                <w:szCs w:val="17"/>
                <w:color w:val="auto"/>
              </w:rPr>
            </w:pP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as cash flow hedges</w:t>
            </w:r>
          </w:p>
        </w:tc>
        <w:tc>
          <w:tcPr>
            <w:tcW w:w="100" w:type="dxa"/>
            <w:vAlign w:val="bottom"/>
          </w:tcPr>
          <w:p>
            <w:pPr>
              <w:spacing w:after="0"/>
              <w:rPr>
                <w:sz w:val="17"/>
                <w:szCs w:val="17"/>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100" w:type="dxa"/>
            <w:vAlign w:val="bottom"/>
          </w:tcPr>
          <w:p>
            <w:pPr>
              <w:spacing w:after="0"/>
              <w:rPr>
                <w:sz w:val="22"/>
                <w:szCs w:val="22"/>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100" w:type="dxa"/>
            <w:vAlign w:val="bottom"/>
          </w:tcPr>
          <w:p>
            <w:pPr>
              <w:spacing w:after="0"/>
              <w:rPr>
                <w:sz w:val="22"/>
                <w:szCs w:val="22"/>
                <w:color w:val="auto"/>
              </w:rPr>
            </w:pPr>
          </w:p>
        </w:tc>
      </w:tr>
      <w:tr>
        <w:trPr>
          <w:trHeight w:val="256"/>
        </w:trPr>
        <w:tc>
          <w:tcPr>
            <w:tcW w:w="4340" w:type="dxa"/>
            <w:vAlign w:val="bottom"/>
          </w:tcPr>
          <w:p>
            <w:pPr>
              <w:ind w:left="160"/>
              <w:spacing w:after="0"/>
              <w:rPr>
                <w:sz w:val="20"/>
                <w:szCs w:val="20"/>
                <w:color w:val="auto"/>
              </w:rPr>
            </w:pPr>
            <w:r>
              <w:rPr>
                <w:rFonts w:ascii="Arial" w:cs="Arial" w:eastAsia="Arial" w:hAnsi="Arial"/>
                <w:sz w:val="16"/>
                <w:szCs w:val="16"/>
                <w:color w:val="auto"/>
                <w:w w:val="96"/>
              </w:rPr>
              <w:t>Net defined benefit plan (gain) loss reclassified to net income</w:t>
            </w:r>
          </w:p>
        </w:tc>
        <w:tc>
          <w:tcPr>
            <w:tcW w:w="100" w:type="dxa"/>
            <w:vAlign w:val="bottom"/>
          </w:tcPr>
          <w:p>
            <w:pPr>
              <w:spacing w:after="0"/>
              <w:rPr>
                <w:sz w:val="22"/>
                <w:szCs w:val="22"/>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513"/>
        </w:trPr>
        <w:tc>
          <w:tcPr>
            <w:tcW w:w="4340" w:type="dxa"/>
            <w:vAlign w:val="bottom"/>
          </w:tcPr>
          <w:p>
            <w:pPr>
              <w:spacing w:after="0"/>
              <w:rPr>
                <w:sz w:val="20"/>
                <w:szCs w:val="20"/>
                <w:color w:val="auto"/>
              </w:rPr>
            </w:pPr>
            <w:r>
              <w:rPr>
                <w:rFonts w:ascii="Arial" w:cs="Arial" w:eastAsia="Arial" w:hAnsi="Arial"/>
                <w:sz w:val="16"/>
                <w:szCs w:val="16"/>
                <w:b w:val="1"/>
                <w:bCs w:val="1"/>
                <w:color w:val="auto"/>
              </w:rPr>
              <w:t>Tax (provision) benefit</w:t>
            </w:r>
          </w:p>
        </w:tc>
        <w:tc>
          <w:tcPr>
            <w:tcW w:w="100" w:type="dxa"/>
            <w:vAlign w:val="bottom"/>
          </w:tcPr>
          <w:p>
            <w:pPr>
              <w:spacing w:after="0"/>
              <w:rPr>
                <w:sz w:val="24"/>
                <w:szCs w:val="24"/>
                <w:color w:val="auto"/>
              </w:rPr>
            </w:pPr>
          </w:p>
        </w:tc>
      </w:tr>
      <w:tr>
        <w:trPr>
          <w:trHeight w:val="283"/>
        </w:trPr>
        <w:tc>
          <w:tcPr>
            <w:tcW w:w="43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rPr>
              <w:t>Foreign currency translation adjustment reclassified to net</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income on sale of business</w:t>
            </w:r>
          </w:p>
        </w:tc>
        <w:tc>
          <w:tcPr>
            <w:tcW w:w="100" w:type="dxa"/>
            <w:vAlign w:val="bottom"/>
          </w:tcPr>
          <w:p>
            <w:pPr>
              <w:spacing w:after="0"/>
              <w:rPr>
                <w:sz w:val="17"/>
                <w:szCs w:val="17"/>
                <w:color w:val="auto"/>
              </w:rPr>
            </w:pP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as cash flow hedges</w:t>
            </w:r>
          </w:p>
        </w:tc>
        <w:tc>
          <w:tcPr>
            <w:tcW w:w="100" w:type="dxa"/>
            <w:vAlign w:val="bottom"/>
          </w:tcPr>
          <w:p>
            <w:pPr>
              <w:spacing w:after="0"/>
              <w:rPr>
                <w:sz w:val="17"/>
                <w:szCs w:val="17"/>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100" w:type="dxa"/>
            <w:vAlign w:val="bottom"/>
          </w:tcPr>
          <w:p>
            <w:pPr>
              <w:spacing w:after="0"/>
              <w:rPr>
                <w:sz w:val="22"/>
                <w:szCs w:val="22"/>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100" w:type="dxa"/>
            <w:vAlign w:val="bottom"/>
          </w:tcPr>
          <w:p>
            <w:pPr>
              <w:spacing w:after="0"/>
              <w:rPr>
                <w:sz w:val="22"/>
                <w:szCs w:val="22"/>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w w:val="96"/>
              </w:rPr>
              <w:t>Net defined benefit plan (gain) loss reclassified to net income</w:t>
            </w:r>
          </w:p>
        </w:tc>
        <w:tc>
          <w:tcPr>
            <w:tcW w:w="100" w:type="dxa"/>
            <w:vAlign w:val="bottom"/>
          </w:tcPr>
          <w:p>
            <w:pPr>
              <w:spacing w:after="0"/>
              <w:rPr>
                <w:sz w:val="22"/>
                <w:szCs w:val="22"/>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513"/>
        </w:trPr>
        <w:tc>
          <w:tcPr>
            <w:tcW w:w="4340" w:type="dxa"/>
            <w:vAlign w:val="bottom"/>
          </w:tcPr>
          <w:p>
            <w:pPr>
              <w:spacing w:after="0"/>
              <w:rPr>
                <w:sz w:val="20"/>
                <w:szCs w:val="20"/>
                <w:color w:val="auto"/>
              </w:rPr>
            </w:pPr>
            <w:r>
              <w:rPr>
                <w:rFonts w:ascii="Arial" w:cs="Arial" w:eastAsia="Arial" w:hAnsi="Arial"/>
                <w:sz w:val="16"/>
                <w:szCs w:val="16"/>
                <w:b w:val="1"/>
                <w:bCs w:val="1"/>
                <w:color w:val="auto"/>
              </w:rPr>
              <w:t>Net-of-tax amount</w:t>
            </w:r>
          </w:p>
        </w:tc>
        <w:tc>
          <w:tcPr>
            <w:tcW w:w="100" w:type="dxa"/>
            <w:vAlign w:val="bottom"/>
          </w:tcPr>
          <w:p>
            <w:pPr>
              <w:spacing w:after="0"/>
              <w:rPr>
                <w:sz w:val="24"/>
                <w:szCs w:val="24"/>
                <w:color w:val="auto"/>
              </w:rPr>
            </w:pPr>
          </w:p>
        </w:tc>
      </w:tr>
      <w:tr>
        <w:trPr>
          <w:trHeight w:val="284"/>
        </w:trPr>
        <w:tc>
          <w:tcPr>
            <w:tcW w:w="43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rPr>
              <w:t>Foreign currency translation adjustment reclassified to net</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income on sale of business</w:t>
            </w:r>
          </w:p>
        </w:tc>
        <w:tc>
          <w:tcPr>
            <w:tcW w:w="100" w:type="dxa"/>
            <w:vAlign w:val="bottom"/>
          </w:tcPr>
          <w:p>
            <w:pPr>
              <w:spacing w:after="0"/>
              <w:rPr>
                <w:sz w:val="17"/>
                <w:szCs w:val="17"/>
                <w:color w:val="auto"/>
              </w:rPr>
            </w:pPr>
          </w:p>
        </w:tc>
      </w:tr>
      <w:tr>
        <w:trPr>
          <w:trHeight w:val="172"/>
        </w:trPr>
        <w:tc>
          <w:tcPr>
            <w:tcW w:w="4340" w:type="dxa"/>
            <w:vAlign w:val="bottom"/>
          </w:tcPr>
          <w:p>
            <w:pPr>
              <w:ind w:left="160"/>
              <w:spacing w:after="0" w:line="171" w:lineRule="exact"/>
              <w:rPr>
                <w:sz w:val="20"/>
                <w:szCs w:val="20"/>
                <w:color w:val="auto"/>
              </w:rPr>
            </w:pPr>
            <w:r>
              <w:rPr>
                <w:rFonts w:ascii="Arial" w:cs="Arial" w:eastAsia="Arial" w:hAnsi="Arial"/>
                <w:sz w:val="16"/>
                <w:szCs w:val="16"/>
                <w:color w:val="auto"/>
                <w:w w:val="92"/>
              </w:rPr>
              <w:t>Net unrealized gain (loss) on derivative instruments, designated</w:t>
            </w:r>
          </w:p>
        </w:tc>
        <w:tc>
          <w:tcPr>
            <w:tcW w:w="100" w:type="dxa"/>
            <w:vAlign w:val="bottom"/>
          </w:tcPr>
          <w:p>
            <w:pPr>
              <w:spacing w:after="0"/>
              <w:rPr>
                <w:sz w:val="14"/>
                <w:szCs w:val="14"/>
                <w:color w:val="auto"/>
              </w:rPr>
            </w:pPr>
          </w:p>
        </w:tc>
      </w:tr>
      <w:tr>
        <w:trPr>
          <w:trHeight w:val="206"/>
        </w:trPr>
        <w:tc>
          <w:tcPr>
            <w:tcW w:w="4340" w:type="dxa"/>
            <w:vAlign w:val="bottom"/>
          </w:tcPr>
          <w:p>
            <w:pPr>
              <w:ind w:left="340"/>
              <w:spacing w:after="0"/>
              <w:rPr>
                <w:sz w:val="20"/>
                <w:szCs w:val="20"/>
                <w:color w:val="auto"/>
              </w:rPr>
            </w:pPr>
            <w:r>
              <w:rPr>
                <w:rFonts w:ascii="Arial" w:cs="Arial" w:eastAsia="Arial" w:hAnsi="Arial"/>
                <w:sz w:val="16"/>
                <w:szCs w:val="16"/>
                <w:color w:val="auto"/>
              </w:rPr>
              <w:t>as cash flow hedges</w:t>
            </w:r>
          </w:p>
        </w:tc>
        <w:tc>
          <w:tcPr>
            <w:tcW w:w="100" w:type="dxa"/>
            <w:vAlign w:val="bottom"/>
          </w:tcPr>
          <w:p>
            <w:pPr>
              <w:spacing w:after="0"/>
              <w:rPr>
                <w:sz w:val="17"/>
                <w:szCs w:val="17"/>
                <w:color w:val="auto"/>
              </w:rPr>
            </w:pPr>
          </w:p>
        </w:tc>
      </w:tr>
      <w:tr>
        <w:trPr>
          <w:trHeight w:val="256"/>
        </w:trPr>
        <w:tc>
          <w:tcPr>
            <w:tcW w:w="434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100" w:type="dxa"/>
            <w:vAlign w:val="bottom"/>
          </w:tcPr>
          <w:p>
            <w:pPr>
              <w:spacing w:after="0"/>
              <w:rPr>
                <w:sz w:val="22"/>
                <w:szCs w:val="22"/>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100" w:type="dxa"/>
            <w:vAlign w:val="bottom"/>
          </w:tcPr>
          <w:p>
            <w:pPr>
              <w:spacing w:after="0"/>
              <w:rPr>
                <w:sz w:val="22"/>
                <w:szCs w:val="22"/>
                <w:color w:val="auto"/>
              </w:rPr>
            </w:pPr>
          </w:p>
        </w:tc>
      </w:tr>
      <w:tr>
        <w:trPr>
          <w:trHeight w:val="257"/>
        </w:trPr>
        <w:tc>
          <w:tcPr>
            <w:tcW w:w="4340" w:type="dxa"/>
            <w:vAlign w:val="bottom"/>
          </w:tcPr>
          <w:p>
            <w:pPr>
              <w:ind w:left="160"/>
              <w:spacing w:after="0"/>
              <w:rPr>
                <w:sz w:val="20"/>
                <w:szCs w:val="20"/>
                <w:color w:val="auto"/>
              </w:rPr>
            </w:pPr>
            <w:r>
              <w:rPr>
                <w:rFonts w:ascii="Arial" w:cs="Arial" w:eastAsia="Arial" w:hAnsi="Arial"/>
                <w:sz w:val="16"/>
                <w:szCs w:val="16"/>
                <w:color w:val="auto"/>
                <w:w w:val="96"/>
              </w:rPr>
              <w:t>Net defined benefit plan (gain) loss reclassified to net income</w:t>
            </w:r>
          </w:p>
        </w:tc>
        <w:tc>
          <w:tcPr>
            <w:tcW w:w="100" w:type="dxa"/>
            <w:vAlign w:val="bottom"/>
          </w:tcPr>
          <w:p>
            <w:pPr>
              <w:spacing w:after="0"/>
              <w:rPr>
                <w:sz w:val="22"/>
                <w:szCs w:val="22"/>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10,685</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(15,908)</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3,098</w:t>
            </w:r>
          </w:p>
        </w:tc>
      </w:tr>
      <w:tr>
        <w:trPr>
          <w:trHeight w:val="378"/>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52,088</w:t>
            </w:r>
          </w:p>
        </w:tc>
        <w:tc>
          <w:tcPr>
            <w:tcW w:w="5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52,088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78"/>
        </w:trPr>
        <w:tc>
          <w:tcPr>
            <w:tcW w:w="700" w:type="dxa"/>
            <w:vAlign w:val="bottom"/>
          </w:tcPr>
          <w:p>
            <w:pPr>
              <w:jc w:val="right"/>
              <w:ind w:right="119"/>
              <w:spacing w:after="0"/>
              <w:rPr>
                <w:sz w:val="20"/>
                <w:szCs w:val="20"/>
                <w:color w:val="auto"/>
              </w:rPr>
            </w:pPr>
            <w:r>
              <w:rPr>
                <w:rFonts w:ascii="Arial" w:cs="Arial" w:eastAsia="Arial" w:hAnsi="Arial"/>
                <w:sz w:val="16"/>
                <w:szCs w:val="16"/>
                <w:color w:val="auto"/>
                <w:w w:val="94"/>
              </w:rPr>
              <w:t>(2,331)</w:t>
            </w: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(2,341)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822</w:t>
            </w:r>
          </w:p>
        </w:tc>
      </w:tr>
      <w:tr>
        <w:trPr>
          <w:trHeight w:val="25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832</w:t>
            </w: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(2,874)</w:t>
            </w:r>
          </w:p>
        </w:tc>
      </w:tr>
      <w:tr>
        <w:trPr>
          <w:trHeight w:val="256"/>
        </w:trPr>
        <w:tc>
          <w:tcPr>
            <w:tcW w:w="700" w:type="dxa"/>
            <w:vAlign w:val="bottom"/>
          </w:tcPr>
          <w:p>
            <w:pPr>
              <w:jc w:val="right"/>
              <w:ind w:right="119"/>
              <w:spacing w:after="0"/>
              <w:rPr>
                <w:sz w:val="20"/>
                <w:szCs w:val="20"/>
                <w:color w:val="auto"/>
              </w:rPr>
            </w:pPr>
            <w:r>
              <w:rPr>
                <w:rFonts w:ascii="Arial" w:cs="Arial" w:eastAsia="Arial" w:hAnsi="Arial"/>
                <w:sz w:val="16"/>
                <w:szCs w:val="16"/>
                <w:color w:val="auto"/>
              </w:rPr>
              <w:t>(457)</w:t>
            </w: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720</w:t>
            </w:r>
          </w:p>
        </w:tc>
      </w:tr>
      <w:tr>
        <w:trPr>
          <w:trHeight w:val="25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469</w:t>
            </w: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61,286</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34,569</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1,756</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03"/>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625</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24"/>
                <w:szCs w:val="24"/>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(297)</w:t>
            </w:r>
          </w:p>
        </w:tc>
      </w:tr>
      <w:tr>
        <w:trPr>
          <w:trHeight w:val="378"/>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78"/>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135</w:t>
            </w: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176</w:t>
            </w:r>
          </w:p>
        </w:tc>
      </w:tr>
      <w:tr>
        <w:trPr>
          <w:trHeight w:val="257"/>
        </w:trPr>
        <w:tc>
          <w:tcPr>
            <w:tcW w:w="7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377</w:t>
            </w:r>
          </w:p>
        </w:tc>
      </w:tr>
      <w:tr>
        <w:trPr>
          <w:trHeight w:val="256"/>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5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29</w:t>
            </w: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770</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200</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03"/>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11,310</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5,187</w:t>
            </w:r>
          </w:p>
        </w:tc>
        <w:tc>
          <w:tcPr>
            <w:tcW w:w="12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(14,135)</w:t>
            </w:r>
          </w:p>
        </w:tc>
        <w:tc>
          <w:tcPr>
            <w:tcW w:w="120" w:type="dxa"/>
            <w:vAlign w:val="bottom"/>
          </w:tcPr>
          <w:p>
            <w:pPr>
              <w:spacing w:after="0"/>
              <w:rPr>
                <w:sz w:val="24"/>
                <w:szCs w:val="24"/>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2,801</w:t>
            </w:r>
          </w:p>
        </w:tc>
      </w:tr>
      <w:tr>
        <w:trPr>
          <w:trHeight w:val="378"/>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52,088</w:t>
            </w:r>
          </w:p>
        </w:tc>
        <w:tc>
          <w:tcPr>
            <w:tcW w:w="5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52,088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78"/>
        </w:trPr>
        <w:tc>
          <w:tcPr>
            <w:tcW w:w="700" w:type="dxa"/>
            <w:vAlign w:val="bottom"/>
          </w:tcPr>
          <w:p>
            <w:pPr>
              <w:jc w:val="right"/>
              <w:ind w:right="119"/>
              <w:spacing w:after="0"/>
              <w:rPr>
                <w:sz w:val="20"/>
                <w:szCs w:val="20"/>
                <w:color w:val="auto"/>
              </w:rPr>
            </w:pPr>
            <w:r>
              <w:rPr>
                <w:rFonts w:ascii="Arial" w:cs="Arial" w:eastAsia="Arial" w:hAnsi="Arial"/>
                <w:sz w:val="16"/>
                <w:szCs w:val="16"/>
                <w:color w:val="auto"/>
                <w:w w:val="94"/>
              </w:rPr>
              <w:t>(2,196)</w:t>
            </w: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998</w:t>
            </w:r>
          </w:p>
        </w:tc>
      </w:tr>
      <w:tr>
        <w:trPr>
          <w:trHeight w:val="25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807</w:t>
            </w: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(2,497)</w:t>
            </w:r>
          </w:p>
        </w:tc>
      </w:tr>
      <w:tr>
        <w:trPr>
          <w:trHeight w:val="256"/>
        </w:trPr>
        <w:tc>
          <w:tcPr>
            <w:tcW w:w="700" w:type="dxa"/>
            <w:vAlign w:val="bottom"/>
          </w:tcPr>
          <w:p>
            <w:pPr>
              <w:jc w:val="right"/>
              <w:ind w:right="119"/>
              <w:spacing w:after="0"/>
              <w:rPr>
                <w:sz w:val="20"/>
                <w:szCs w:val="20"/>
                <w:color w:val="auto"/>
              </w:rPr>
            </w:pPr>
            <w:r>
              <w:rPr>
                <w:rFonts w:ascii="Arial" w:cs="Arial" w:eastAsia="Arial" w:hAnsi="Arial"/>
                <w:sz w:val="16"/>
                <w:szCs w:val="16"/>
                <w:color w:val="auto"/>
              </w:rPr>
              <w:t>(451)</w:t>
            </w: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663</w:t>
            </w:r>
          </w:p>
        </w:tc>
      </w:tr>
      <w:tr>
        <w:trPr>
          <w:trHeight w:val="257"/>
        </w:trPr>
        <w:tc>
          <w:tcPr>
            <w:tcW w:w="700" w:type="dxa"/>
            <w:vAlign w:val="bottom"/>
          </w:tcPr>
          <w:p>
            <w:pPr>
              <w:jc w:val="right"/>
              <w:ind w:right="159"/>
              <w:spacing w:after="0"/>
              <w:rPr>
                <w:sz w:val="20"/>
                <w:szCs w:val="20"/>
                <w:color w:val="auto"/>
              </w:rPr>
            </w:pPr>
            <w:r>
              <w:rPr>
                <w:rFonts w:ascii="Arial" w:cs="Arial" w:eastAsia="Arial" w:hAnsi="Arial"/>
                <w:sz w:val="16"/>
                <w:szCs w:val="16"/>
                <w:color w:val="auto"/>
              </w:rPr>
              <w:t>498</w:t>
            </w: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159"/>
              <w:spacing w:after="0"/>
              <w:rPr>
                <w:sz w:val="20"/>
                <w:szCs w:val="20"/>
                <w:color w:val="auto"/>
              </w:rPr>
            </w:pPr>
            <w:r>
              <w:rPr>
                <w:rFonts w:ascii="Arial" w:cs="Arial" w:eastAsia="Arial" w:hAnsi="Arial"/>
                <w:sz w:val="16"/>
                <w:szCs w:val="16"/>
                <w:color w:val="auto"/>
                <w:w w:val="89"/>
              </w:rPr>
              <w:t>62,056</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3,736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36,845</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1,956</w:t>
            </w:r>
          </w:p>
        </w:tc>
      </w:tr>
      <w:tr>
        <w:trPr>
          <w:trHeight w:val="33"/>
        </w:trPr>
        <w:tc>
          <w:tcPr>
            <w:tcW w:w="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-4225290</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-3822700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-3145790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-2819400</wp:posOffset>
            </wp:positionV>
            <wp:extent cx="71323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-2339340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-2013585</wp:posOffset>
            </wp:positionV>
            <wp:extent cx="7132320" cy="2014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0142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-3496945</wp:posOffset>
            </wp:positionV>
            <wp:extent cx="71323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125" w:right="339" w:bottom="1440" w:gutter="0" w:footer="0" w:header="0"/>
          <w:type w:val="continuous"/>
        </w:sectPr>
      </w:pPr>
    </w:p>
    <w:p>
      <w:pPr>
        <w:spacing w:after="0" w:line="1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at June 30, 2020 and December 31, 2019 do not reflect subsequent changes in the economy, interest rates, tax rates, and other variables that may affect the determination of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June 30, 2020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2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Carrying</w:t>
            </w:r>
          </w:p>
        </w:tc>
        <w:tc>
          <w:tcPr>
            <w:tcW w:w="62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Carrying</w:t>
            </w:r>
          </w:p>
        </w:tc>
        <w:tc>
          <w:tcPr>
            <w:tcW w:w="740" w:type="dxa"/>
            <w:vAlign w:val="bottom"/>
          </w:tcPr>
          <w:p>
            <w:pPr>
              <w:spacing w:after="0"/>
              <w:rPr>
                <w:sz w:val="18"/>
                <w:szCs w:val="18"/>
                <w:color w:val="auto"/>
              </w:rPr>
            </w:pPr>
          </w:p>
        </w:tc>
        <w:tc>
          <w:tcPr>
            <w:tcW w:w="102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62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546,924</w:t>
            </w:r>
          </w:p>
        </w:tc>
        <w:tc>
          <w:tcPr>
            <w:tcW w:w="6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532,090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546,495</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550,135</w:t>
            </w:r>
          </w:p>
        </w:tc>
      </w:tr>
      <w:tr>
        <w:trPr>
          <w:trHeight w:val="224"/>
        </w:trPr>
        <w:tc>
          <w:tcPr>
            <w:tcW w:w="4320" w:type="dxa"/>
            <w:vAlign w:val="bottom"/>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6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385,272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387,143</w:t>
            </w: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398,500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385,987</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416,500</w:t>
            </w:r>
          </w:p>
        </w:tc>
      </w:tr>
      <w:tr>
        <w:trPr>
          <w:trHeight w:val="33"/>
        </w:trPr>
        <w:tc>
          <w:tcPr>
            <w:tcW w:w="4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Senior Notes are not registered securities nor listed on any securities exchange but may be actively traded by qualified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buyers. The fair value is estimated using Level 1 inputs, as it is based on quoted prices for these instruments in active markets.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Device Solutions </w:t>
      </w:r>
      <w:r>
        <w:rPr>
          <w:rFonts w:ascii="Arial" w:cs="Arial" w:eastAsia="Arial" w:hAnsi="Arial"/>
          <w:sz w:val="17"/>
          <w:szCs w:val="17"/>
          <w:color w:val="auto"/>
        </w:rPr>
        <w:t>– This segment primarily includes hardware products used for measurement, control, or sensing that do not have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Outcomes </w:t>
      </w:r>
      <w:r>
        <w:rPr>
          <w:rFonts w:ascii="Arial" w:cs="Arial" w:eastAsia="Arial" w:hAnsi="Arial"/>
          <w:sz w:val="17"/>
          <w:szCs w:val="17"/>
          <w:color w:val="auto"/>
        </w:rPr>
        <w:t>– 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identify new business models, including performance-based contracting, to drive broader portfolio offerings across utilities and cities.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126,950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214,589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327,118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433,158</w:t>
            </w:r>
          </w:p>
        </w:tc>
      </w:tr>
      <w:tr>
        <w:trPr>
          <w:trHeight w:val="224"/>
        </w:trPr>
        <w:tc>
          <w:tcPr>
            <w:tcW w:w="43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300,351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333,422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615,788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647,772</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18,036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29,967</w:t>
            </w:r>
          </w:p>
        </w:tc>
      </w:tr>
      <w:tr>
        <w:trPr>
          <w:trHeight w:val="217"/>
        </w:trPr>
        <w:tc>
          <w:tcPr>
            <w:tcW w:w="43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438,985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566,047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967,122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1,110,897</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6,320</w:t>
            </w:r>
          </w:p>
        </w:tc>
      </w:tr>
      <w:tr>
        <w:trPr>
          <w:trHeight w:val="224"/>
        </w:trPr>
        <w:tc>
          <w:tcPr>
            <w:tcW w:w="43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24,129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22,494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49,537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44,571</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87,024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87,825</w:t>
            </w:r>
          </w:p>
        </w:tc>
      </w:tr>
      <w:tr>
        <w:trPr>
          <w:trHeight w:val="217"/>
        </w:trPr>
        <w:tc>
          <w:tcPr>
            <w:tcW w:w="43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70,609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68,990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140,887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138,716</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129,165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331,444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439,478</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324,480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355,916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665,325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692,343</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55,949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111,240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117,792</w:t>
            </w:r>
          </w:p>
        </w:tc>
      </w:tr>
      <w:tr>
        <w:trPr>
          <w:trHeight w:val="217"/>
        </w:trPr>
        <w:tc>
          <w:tcPr>
            <w:tcW w:w="43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509,594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635,037</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1,108,009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1,249,613</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41,590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44,315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81,506</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108,323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126,243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230,073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253,311</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43,660</w:t>
            </w:r>
          </w:p>
        </w:tc>
      </w:tr>
      <w:tr>
        <w:trPr>
          <w:trHeight w:val="217"/>
        </w:trPr>
        <w:tc>
          <w:tcPr>
            <w:tcW w:w="43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138,517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191,214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310,083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378,477</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17,078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53,812</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77,382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98,035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166,062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193,357</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17,424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24,777</w:t>
            </w:r>
          </w:p>
        </w:tc>
      </w:tr>
      <w:tr>
        <w:trPr>
          <w:trHeight w:val="223"/>
        </w:trPr>
        <w:tc>
          <w:tcPr>
            <w:tcW w:w="4360" w:type="dxa"/>
            <w:vAlign w:val="bottom"/>
          </w:tcPr>
          <w:p>
            <w:pPr>
              <w:ind w:left="34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(130,875)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(97,199)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(219,581)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(207,565)</w:t>
            </w:r>
          </w:p>
        </w:tc>
      </w:tr>
      <w:tr>
        <w:trPr>
          <w:trHeight w:val="33"/>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43,558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64,381</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(12,299)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(29,873)</w:t>
            </w:r>
          </w:p>
        </w:tc>
      </w:tr>
      <w:tr>
        <w:trPr>
          <w:trHeight w:val="33"/>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34,508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corporate unallocated operating loss for the three and six months ended June 30, 2020 includes a $56.9 million loss from the sale of our Latin American business. Refer to "Note 17: Sale of Business" for additional information on the transaction.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June 30, 2020 and 2019, one customer represented 13% and 11% of total company revenues. For the six months ended June 30, 2020 and 2019, one customer represented 12% and 11% of total company revenues.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369,862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417,909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755,187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815,475</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Europe, Middle East, and Africa (EMEA)</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107,799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167,314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274,783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338,556</w:t>
            </w:r>
          </w:p>
        </w:tc>
      </w:tr>
      <w:tr>
        <w:trPr>
          <w:trHeight w:val="33"/>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Latin America and Asia Pacific</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31,933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49,814</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78,039</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95,582</w:t>
            </w:r>
          </w:p>
        </w:tc>
      </w:tr>
      <w:tr>
        <w:trPr>
          <w:trHeight w:val="217"/>
        </w:trPr>
        <w:tc>
          <w:tcPr>
            <w:tcW w:w="4360" w:type="dxa"/>
            <w:vAlign w:val="bottom"/>
          </w:tcPr>
          <w:p>
            <w:pPr>
              <w:ind w:left="34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509,594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635,037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1,108,009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1,249,613</w:t>
            </w:r>
          </w:p>
        </w:tc>
      </w:tr>
      <w:tr>
        <w:trPr>
          <w:trHeight w:val="33"/>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On June 25, 2020, Itron closed on the sale of its Latin American operations. We will continue to sell into the region through an exclusive distributor.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12,782</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8,070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6,453</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2,587</w:t>
            </w: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color w:val="auto"/>
              </w:rPr>
              <w:t>Corporate unallocated</w:t>
            </w: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12,392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17,805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24,858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35,246</w:t>
            </w:r>
          </w:p>
        </w:tc>
      </w:tr>
      <w:tr>
        <w:trPr>
          <w:trHeight w:val="33"/>
        </w:trPr>
        <w:tc>
          <w:tcPr>
            <w:tcW w:w="4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Company</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24,199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28,641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Contract liabilities, less</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000" w:type="dxa"/>
            <w:vAlign w:val="bottom"/>
          </w:tcPr>
          <w:p>
            <w:pPr>
              <w:jc w:val="right"/>
              <w:ind w:right="499"/>
              <w:spacing w:after="0"/>
              <w:rPr>
                <w:sz w:val="20"/>
                <w:szCs w:val="20"/>
                <w:color w:val="auto"/>
              </w:rPr>
            </w:pPr>
            <w:r>
              <w:rPr>
                <w:rFonts w:ascii="Arial" w:cs="Arial" w:eastAsia="Arial" w:hAnsi="Arial"/>
                <w:sz w:val="16"/>
                <w:szCs w:val="16"/>
                <w:b w:val="1"/>
                <w:bCs w:val="1"/>
                <w:color w:val="auto"/>
              </w:rPr>
              <w:t>contract assets</w:t>
            </w:r>
          </w:p>
        </w:tc>
      </w:tr>
      <w:tr>
        <w:trPr>
          <w:trHeight w:val="33"/>
        </w:trPr>
        <w:tc>
          <w:tcPr>
            <w:tcW w:w="9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88,215</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beginning contract liability</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(71,859)</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Increases due to amounts collected or due</w:t>
            </w: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181,878</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current period increases</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(75,447)</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6"/>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(5,629)</w:t>
            </w:r>
          </w:p>
        </w:tc>
      </w:tr>
      <w:tr>
        <w:trPr>
          <w:trHeight w:val="247"/>
        </w:trPr>
        <w:tc>
          <w:tcPr>
            <w:tcW w:w="9060" w:type="dxa"/>
            <w:vAlign w:val="bottom"/>
          </w:tcPr>
          <w:p>
            <w:pPr>
              <w:ind w:left="20"/>
              <w:spacing w:after="0"/>
              <w:rPr>
                <w:sz w:val="20"/>
                <w:szCs w:val="20"/>
                <w:color w:val="auto"/>
              </w:rPr>
            </w:pPr>
            <w:r>
              <w:rPr>
                <w:rFonts w:ascii="Arial" w:cs="Arial" w:eastAsia="Arial" w:hAnsi="Arial"/>
                <w:sz w:val="16"/>
                <w:szCs w:val="16"/>
                <w:color w:val="auto"/>
              </w:rPr>
              <w:t>Ending balance, June 30,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117,158</w:t>
            </w:r>
          </w:p>
        </w:tc>
      </w:tr>
      <w:tr>
        <w:trPr>
          <w:trHeight w:val="23"/>
        </w:trPr>
        <w:tc>
          <w:tcPr>
            <w:tcW w:w="9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2020, total contract assets were $50.7 million and total contract liabilities were $138.9 million. On June 30, 2020, total contract assets were $49.6 million and total contract liabilities were $166.8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Total transaction price allocated to remaining performance obligations related to contracts is approximately $1.2 billion for the next twelve months and approximately $1.1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Sale of Business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Latin America Divestiture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will pay a royalty on certain products manufactured by Accell using licensed Company intellectual property. In addition, Accell will serve as an exclusive distributor for our Device Solutions, Networked Solutions, and Outcomes products and services offerings in Latin America.</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 sales price and the net assets of the five subsidiaries sold, we recognized an impairment loss of $56.9 million in the second quarter of 2020. The impairment was primarily due to the recognition of $52.1 million in foreign currency translation losses accumulated since the acquisition of these subsidiaries in 2006 and 2007, and allocated goodwill of $3.0 million. Accell assumed all recognized liabilities, as well as all future liabilities, of the subsidiaries. We have provided no indemnification for any future losses that may be incurred. The terms of the agreement allow for adjustments to the working capital amounts used in the calculation of the sales price and net assets written off for a period of 60 days following the close of the transaction.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total sales price, $2.5 million was received at closing, and the majority of the remaining portion is due by December 31, 2020. Included in the net assets sold was $6.1 million in cash. This resulted in net outflow of cash at closing of $3.6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loss on sale of business was calculated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Loss on sale of business</w:t>
            </w:r>
          </w:p>
        </w:tc>
      </w:tr>
      <w:tr>
        <w:trPr>
          <w:trHeight w:val="33"/>
        </w:trPr>
        <w:tc>
          <w:tcPr>
            <w:tcW w:w="9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35,008</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Net assets sold (including working capital)</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(36,002)</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 loss</w:t>
            </w: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(52,088)</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Goodwill allocated</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Legal fees</w:t>
            </w: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r>
      <w:tr>
        <w:trPr>
          <w:trHeight w:val="247"/>
        </w:trPr>
        <w:tc>
          <w:tcPr>
            <w:tcW w:w="9060" w:type="dxa"/>
            <w:vAlign w:val="bottom"/>
          </w:tcPr>
          <w:p>
            <w:pPr>
              <w:ind w:left="20"/>
              <w:spacing w:after="0"/>
              <w:rPr>
                <w:sz w:val="20"/>
                <w:szCs w:val="20"/>
                <w:color w:val="auto"/>
              </w:rPr>
            </w:pPr>
            <w:r>
              <w:rPr>
                <w:rFonts w:ascii="Arial" w:cs="Arial" w:eastAsia="Arial" w:hAnsi="Arial"/>
                <w:sz w:val="16"/>
                <w:szCs w:val="16"/>
                <w:color w:val="auto"/>
              </w:rPr>
              <w:t>Total loss on sale of business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(56,915)</w:t>
            </w:r>
          </w:p>
        </w:tc>
      </w:tr>
      <w:tr>
        <w:trPr>
          <w:trHeight w:val="23"/>
        </w:trPr>
        <w:tc>
          <w:tcPr>
            <w:tcW w:w="9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2019 filed with the Securities and Exchange Commission (SEC) in our Annual Report on Form 10-K on February 27, 2020 (2019 Annual Report).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Item 1A: “Risk Factors” included in our 2019 Annual Report</w:t>
      </w:r>
      <w:r>
        <w:rPr>
          <w:rFonts w:ascii="Arial" w:cs="Arial" w:eastAsia="Arial" w:hAnsi="Arial"/>
          <w:sz w:val="16"/>
          <w:szCs w:val="16"/>
          <w:color w:val="000000"/>
        </w:rPr>
        <w:t>,</w:t>
      </w:r>
      <w:r>
        <w:rPr>
          <w:rFonts w:ascii="Arial" w:cs="Arial" w:eastAsia="Arial" w:hAnsi="Arial"/>
          <w:sz w:val="16"/>
          <w:szCs w:val="16"/>
          <w:i w:val="1"/>
          <w:iCs w:val="1"/>
          <w:color w:val="222222"/>
        </w:rPr>
        <w:t xml:space="preserve"> Part II - Item 1A of this document, and other reports on file with the SEC. We do not undertake any obligation to publicly update or revise any forward-looking statement, whether written or oral.</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222222"/>
        </w:rPr>
        <w:t>The impact caused by the ongoing COVID-19 pandemic includes uncertainty as to the duration, spread, severity, and any recurrence of the COVID-19 pandemic,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updated risk in Part II, Item 1A, “Risk Factors” of this document.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which is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Device Solutions </w:t>
      </w:r>
      <w:r>
        <w:rPr>
          <w:rFonts w:ascii="Arial" w:cs="Arial" w:eastAsia="Arial" w:hAnsi="Arial"/>
          <w:sz w:val="17"/>
          <w:szCs w:val="17"/>
          <w:color w:val="auto"/>
        </w:rPr>
        <w:t>– This segment primarily includes hardware products used for measurement, control, or sensing that do not have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Outcomes </w:t>
      </w:r>
      <w:r>
        <w:rPr>
          <w:rFonts w:ascii="Arial" w:cs="Arial" w:eastAsia="Arial" w:hAnsi="Arial"/>
          <w:sz w:val="17"/>
          <w:szCs w:val="17"/>
          <w:color w:val="auto"/>
        </w:rPr>
        <w:t>– 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41-43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 months ended June 30, 2020 compared with the three months ended June 30, 2019</w:t>
      </w:r>
    </w:p>
    <w:p>
      <w:pPr>
        <w:spacing w:after="0" w:line="63" w:lineRule="exact"/>
        <w:rPr>
          <w:sz w:val="20"/>
          <w:szCs w:val="20"/>
          <w:color w:val="auto"/>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Revenues were $509.6 million compared with $635.0 million in 2019, a decrease of $125.4 million, or 20%</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27.2%</w:t>
      </w:r>
      <w:r>
        <w:rPr>
          <w:rFonts w:ascii="Arial" w:cs="Arial" w:eastAsia="Arial" w:hAnsi="Arial"/>
          <w:sz w:val="18"/>
          <w:szCs w:val="18"/>
          <w:color w:val="222222"/>
        </w:rPr>
        <w:t>, compared with 30.1% in the same period last year</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i w:val="1"/>
          <w:iCs w:val="1"/>
          <w:color w:val="222222"/>
        </w:rPr>
      </w:pPr>
      <w:r>
        <w:rPr>
          <w:rFonts w:ascii="Arial" w:cs="Arial" w:eastAsia="Arial" w:hAnsi="Arial"/>
          <w:sz w:val="18"/>
          <w:szCs w:val="18"/>
          <w:color w:val="222222"/>
        </w:rPr>
        <w:t xml:space="preserve">Operating expenses increased $36.2 million, or 25%, compared with 2019, and included a </w:t>
      </w:r>
      <w:r>
        <w:rPr>
          <w:rFonts w:ascii="Arial" w:cs="Arial" w:eastAsia="Arial" w:hAnsi="Arial"/>
          <w:sz w:val="18"/>
          <w:szCs w:val="18"/>
          <w:color w:val="000000"/>
        </w:rPr>
        <w:t>$56.9 million loss on sale of business</w:t>
      </w:r>
    </w:p>
    <w:p>
      <w:pPr>
        <w:spacing w:after="0" w:line="63" w:lineRule="exact"/>
        <w:rPr>
          <w:rFonts w:ascii="Arial" w:cs="Arial" w:eastAsia="Arial" w:hAnsi="Arial"/>
          <w:sz w:val="18"/>
          <w:szCs w:val="18"/>
          <w:i w:val="1"/>
          <w:iCs w:val="1"/>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Net loss attributable to Itron, Inc. was $62.8 million compared with net income of $19.4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GAAP diluted EPS decreased by </w:t>
      </w:r>
      <w:r>
        <w:rPr>
          <w:rFonts w:ascii="Arial" w:cs="Arial" w:eastAsia="Arial" w:hAnsi="Arial"/>
          <w:sz w:val="18"/>
          <w:szCs w:val="18"/>
          <w:color w:val="000000"/>
        </w:rPr>
        <w:t>$2.05</w:t>
      </w:r>
      <w:r>
        <w:rPr>
          <w:rFonts w:ascii="Arial" w:cs="Arial" w:eastAsia="Arial" w:hAnsi="Arial"/>
          <w:sz w:val="18"/>
          <w:szCs w:val="18"/>
          <w:color w:val="222222"/>
        </w:rPr>
        <w:t xml:space="preserve"> to a diluted loss per share of $1.56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$1.3 million compared with $34.6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was $0.03, a decrease of $0.84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Adjusted EBITDA was $31.2 million compared with $73.0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6"/>
        </w:numPr>
        <w:rPr>
          <w:rFonts w:ascii="Arial" w:cs="Arial" w:eastAsia="Arial" w:hAnsi="Arial"/>
          <w:sz w:val="18"/>
          <w:szCs w:val="18"/>
          <w:i w:val="1"/>
          <w:iCs w:val="1"/>
          <w:color w:val="222222"/>
        </w:rPr>
      </w:pPr>
      <w:r>
        <w:rPr>
          <w:rFonts w:ascii="Arial" w:cs="Arial" w:eastAsia="Arial" w:hAnsi="Arial"/>
          <w:sz w:val="18"/>
          <w:szCs w:val="18"/>
          <w:color w:val="222222"/>
        </w:rPr>
        <w:t xml:space="preserve">Total backlog was $2.9 billion and twelve-month backlog was $1.3 billion at </w:t>
      </w:r>
      <w:r>
        <w:rPr>
          <w:rFonts w:ascii="Arial" w:cs="Arial" w:eastAsia="Arial" w:hAnsi="Arial"/>
          <w:sz w:val="18"/>
          <w:szCs w:val="18"/>
          <w:color w:val="000000"/>
        </w:rPr>
        <w:t>June 30, 2020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six months ended </w:t>
      </w:r>
      <w:r>
        <w:rPr>
          <w:rFonts w:ascii="Arial" w:cs="Arial" w:eastAsia="Arial" w:hAnsi="Arial"/>
          <w:sz w:val="18"/>
          <w:szCs w:val="18"/>
          <w:i w:val="1"/>
          <w:iCs w:val="1"/>
          <w:color w:val="000000"/>
        </w:rPr>
        <w:t>June 30, 2020 compared with the</w:t>
      </w:r>
      <w:r>
        <w:rPr>
          <w:rFonts w:ascii="Arial" w:cs="Arial" w:eastAsia="Arial" w:hAnsi="Arial"/>
          <w:sz w:val="18"/>
          <w:szCs w:val="18"/>
          <w:i w:val="1"/>
          <w:iCs w:val="1"/>
          <w:color w:val="222222"/>
        </w:rPr>
        <w:t xml:space="preserve"> six months ended </w:t>
      </w:r>
      <w:r>
        <w:rPr>
          <w:rFonts w:ascii="Arial" w:cs="Arial" w:eastAsia="Arial" w:hAnsi="Arial"/>
          <w:sz w:val="18"/>
          <w:szCs w:val="18"/>
          <w:i w:val="1"/>
          <w:iCs w:val="1"/>
          <w:color w:val="000000"/>
        </w:rPr>
        <w:t>June 30, 2019</w:t>
      </w:r>
    </w:p>
    <w:p>
      <w:pPr>
        <w:spacing w:after="0" w:line="63" w:lineRule="exact"/>
        <w:rPr>
          <w:sz w:val="20"/>
          <w:szCs w:val="20"/>
          <w:color w:val="auto"/>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Revenues were $1.11 billion compared with $1.25 billion in 2019, a decrease of $141.6 million, or 11%</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Gross margin was 28.0% compared with 30.3%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i w:val="1"/>
          <w:iCs w:val="1"/>
          <w:color w:val="222222"/>
        </w:rPr>
      </w:pPr>
      <w:r>
        <w:rPr>
          <w:rFonts w:ascii="Arial" w:cs="Arial" w:eastAsia="Arial" w:hAnsi="Arial"/>
          <w:sz w:val="18"/>
          <w:szCs w:val="18"/>
          <w:color w:val="222222"/>
        </w:rPr>
        <w:t xml:space="preserve">Operating expenses increased $15.0 million, or 5%, compared with 2019, and included a </w:t>
      </w:r>
      <w:r>
        <w:rPr>
          <w:rFonts w:ascii="Arial" w:cs="Arial" w:eastAsia="Arial" w:hAnsi="Arial"/>
          <w:sz w:val="18"/>
          <w:szCs w:val="18"/>
          <w:color w:val="000000"/>
        </w:rPr>
        <w:t>$56.9 million loss on sale of business</w:t>
      </w:r>
    </w:p>
    <w:p>
      <w:pPr>
        <w:spacing w:after="0" w:line="63" w:lineRule="exact"/>
        <w:rPr>
          <w:rFonts w:ascii="Arial" w:cs="Arial" w:eastAsia="Arial" w:hAnsi="Arial"/>
          <w:sz w:val="18"/>
          <w:szCs w:val="18"/>
          <w:i w:val="1"/>
          <w:iCs w:val="1"/>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Net loss attributable to Itron, Inc. was $54.1 million, compared with net income of $17.5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GAAP diluted EPS decreased by $1.79 to a diluted loss per share of $1.35 as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$24.3 million compared with $62.5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diluted EPS was $0.60, a decrease of $0.97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Adjusted EBITDA was $83.2 million compared with $138.7 million in 2019</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 for 2020 due to COVID-19</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had global economic impacts including disrupting global supply chains and creating market volatility. The extent of the recent pandemic and its ongoing impact on our operations is volatile but is being monitored closely by management. Certain of our European factories were closed during portions of the first half of 2020 due to government actions and local conditions, and all had reopened as of the end of the second quarter. These closures as well as any further closures that may be imposed on us could impact our results for the remainder of 2020. We expect that certain of our customers’ projects and deployments may shift to later in 2020 and 2021. At this time, we expect that these Q2 2020 financial results of operations will be the most impacted by the pandemic. Incremental costs to us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For more information on risks associated with the COVID-19 pandemic, please see our updated risk in Part II, Item 1A, "Risk Factors".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 19 pandemic remains a rapidly evolving situation.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and foreign governments, including employer payroll tax credits for wages paid to employees who are unable to work during the COVID-19 outbreak. Other benefits, including options to defer payroll tax payments and additional deductions, has resulted in reduced future cash outlays in the near term.</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 of Business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whereby Accell will pay a royalty on certain products manufactured by Accell using licensed Company intellectual property. In addition, Accell will serve as an exclusive distributor for our Device Solutions, Networked Solutions, and Outcomes products and services offerings in Latin America. We recognized a loss on sale of business of $56.9 million in the second quarter of 2020, primarily due to foreign currency translation losses and allocated goodwill. Refer to Item 1: "Financial Statements (Unaudited), Note 17: Sale of Business" for more information.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drew $400 million U.S. dollars under the revolving line of credit within the 2018 credit facility on March 25, 2020. In light of the current uncertain environment, we deemed it prudent to increase our cash position and preserve future financial flexibility. The Total Net Leverage Ratio, as defined in the amended 2018 credit facility agreement, was unchanged by this drawing.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9"/>
          </w:tcPr>
          <w:p>
            <w:pPr>
              <w:ind w:left="4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3460" w:type="dxa"/>
            <w:vAlign w:val="bottom"/>
            <w:gridSpan w:val="8"/>
          </w:tcPr>
          <w:p>
            <w:pPr>
              <w:ind w:left="66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920" w:type="dxa"/>
            <w:vAlign w:val="bottom"/>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4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220" w:type="dxa"/>
            <w:vAlign w:val="bottom"/>
          </w:tcPr>
          <w:p>
            <w:pPr>
              <w:spacing w:after="0"/>
              <w:rPr>
                <w:sz w:val="18"/>
                <w:szCs w:val="18"/>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3920" w:type="dxa"/>
            <w:vAlign w:val="bottom"/>
            <w:gridSpan w:val="5"/>
          </w:tcPr>
          <w:p>
            <w:pPr>
              <w:spacing w:after="0" w:line="183" w:lineRule="exact"/>
              <w:rPr>
                <w:sz w:val="20"/>
                <w:szCs w:val="20"/>
                <w:color w:val="auto"/>
              </w:rPr>
            </w:pPr>
            <w:r>
              <w:rPr>
                <w:rFonts w:ascii="Arial" w:cs="Arial" w:eastAsia="Arial" w:hAnsi="Arial"/>
                <w:sz w:val="16"/>
                <w:szCs w:val="16"/>
                <w:b w:val="1"/>
                <w:bCs w:val="1"/>
                <w:color w:val="auto"/>
              </w:rPr>
              <w:t>GAAP</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438,985</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566,047</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967,122</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1,110,897</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(13)%</w:t>
            </w:r>
          </w:p>
        </w:tc>
      </w:tr>
      <w:tr>
        <w:trPr>
          <w:trHeight w:val="223"/>
        </w:trPr>
        <w:tc>
          <w:tcPr>
            <w:tcW w:w="20" w:type="dxa"/>
            <w:vAlign w:val="bottom"/>
          </w:tcPr>
          <w:p>
            <w:pPr>
              <w:spacing w:after="0"/>
              <w:rPr>
                <w:sz w:val="19"/>
                <w:szCs w:val="19"/>
                <w:color w:val="auto"/>
              </w:rPr>
            </w:pPr>
          </w:p>
        </w:tc>
        <w:tc>
          <w:tcPr>
            <w:tcW w:w="3920" w:type="dxa"/>
            <w:vAlign w:val="bottom"/>
            <w:gridSpan w:val="5"/>
          </w:tcPr>
          <w:p>
            <w:pPr>
              <w:ind w:left="200"/>
              <w:spacing w:after="0"/>
              <w:rPr>
                <w:sz w:val="20"/>
                <w:szCs w:val="20"/>
                <w:color w:val="auto"/>
              </w:rPr>
            </w:pPr>
            <w:r>
              <w:rPr>
                <w:rFonts w:ascii="Arial" w:cs="Arial" w:eastAsia="Arial" w:hAnsi="Arial"/>
                <w:sz w:val="16"/>
                <w:szCs w:val="16"/>
                <w:color w:val="auto"/>
              </w:rPr>
              <w:t>Service revenues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68,990</w:t>
            </w:r>
          </w:p>
        </w:tc>
        <w:tc>
          <w:tcPr>
            <w:tcW w:w="1260" w:type="dxa"/>
            <w:vAlign w:val="bottom"/>
            <w:gridSpan w:val="3"/>
          </w:tcPr>
          <w:p>
            <w:pPr>
              <w:jc w:val="center"/>
              <w:ind w:left="199"/>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140,887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138,716</w:t>
            </w:r>
          </w:p>
        </w:tc>
        <w:tc>
          <w:tcPr>
            <w:tcW w:w="1280" w:type="dxa"/>
            <w:vAlign w:val="bottom"/>
            <w:gridSpan w:val="3"/>
          </w:tcPr>
          <w:p>
            <w:pPr>
              <w:jc w:val="center"/>
              <w:ind w:left="179"/>
              <w:spacing w:after="0"/>
              <w:rPr>
                <w:sz w:val="20"/>
                <w:szCs w:val="20"/>
                <w:color w:val="auto"/>
              </w:rPr>
            </w:pPr>
            <w:r>
              <w:rPr>
                <w:rFonts w:ascii="Arial" w:cs="Arial" w:eastAsia="Arial" w:hAnsi="Arial"/>
                <w:sz w:val="16"/>
                <w:szCs w:val="16"/>
                <w:color w:val="auto"/>
                <w:w w:val="94"/>
              </w:rPr>
              <w:t>2%</w:t>
            </w:r>
          </w:p>
        </w:tc>
      </w:tr>
      <w:tr>
        <w:trPr>
          <w:trHeight w:val="33"/>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509,594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635,037</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1,108,009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1,249,613</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(11)%</w:t>
            </w:r>
          </w:p>
        </w:tc>
      </w:tr>
      <w:tr>
        <w:trPr>
          <w:trHeight w:val="256"/>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138,517</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191,214</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310,083</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378,477</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(18)%</w:t>
            </w:r>
          </w:p>
        </w:tc>
      </w:tr>
      <w:tr>
        <w:trPr>
          <w:trHeight w:val="224"/>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183,904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147,656</w:t>
            </w:r>
          </w:p>
        </w:tc>
        <w:tc>
          <w:tcPr>
            <w:tcW w:w="126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329,100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314,096</w:t>
            </w:r>
          </w:p>
        </w:tc>
        <w:tc>
          <w:tcPr>
            <w:tcW w:w="1280" w:type="dxa"/>
            <w:vAlign w:val="bottom"/>
            <w:gridSpan w:val="3"/>
          </w:tcPr>
          <w:p>
            <w:pPr>
              <w:jc w:val="center"/>
              <w:ind w:left="179"/>
              <w:spacing w:after="0"/>
              <w:rPr>
                <w:sz w:val="20"/>
                <w:szCs w:val="20"/>
                <w:color w:val="auto"/>
              </w:rPr>
            </w:pPr>
            <w:r>
              <w:rPr>
                <w:rFonts w:ascii="Arial" w:cs="Arial" w:eastAsia="Arial" w:hAnsi="Arial"/>
                <w:sz w:val="16"/>
                <w:szCs w:val="16"/>
                <w:color w:val="auto"/>
                <w:w w:val="94"/>
              </w:rPr>
              <w:t>5%</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(45,387)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43,558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64,381</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(15,022)</w:t>
            </w:r>
          </w:p>
        </w:tc>
        <w:tc>
          <w:tcPr>
            <w:tcW w:w="12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(29,873)</w:t>
            </w:r>
          </w:p>
        </w:tc>
        <w:tc>
          <w:tcPr>
            <w:tcW w:w="128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(26)%</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(14,540)</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(15)%</w:t>
            </w: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92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118,187</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128,041</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4"/>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251,234</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258,598</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4"/>
              </w:rPr>
              <w:t>(3)%</w:t>
            </w: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63,173</w:t>
            </w:r>
          </w:p>
        </w:tc>
        <w:tc>
          <w:tcPr>
            <w:tcW w:w="12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119,879</w:t>
            </w:r>
          </w:p>
        </w:tc>
        <w:tc>
          <w:tcPr>
            <w:tcW w:w="128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(51)%</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34,600</w:t>
            </w:r>
          </w:p>
        </w:tc>
        <w:tc>
          <w:tcPr>
            <w:tcW w:w="12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24,295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62,490</w:t>
            </w:r>
          </w:p>
        </w:tc>
        <w:tc>
          <w:tcPr>
            <w:tcW w:w="128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(61)%</w:t>
            </w: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72,966</w:t>
            </w:r>
          </w:p>
        </w:tc>
        <w:tc>
          <w:tcPr>
            <w:tcW w:w="12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138,724</w:t>
            </w:r>
          </w:p>
        </w:tc>
        <w:tc>
          <w:tcPr>
            <w:tcW w:w="128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(40)%</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3920" w:type="dxa"/>
            <w:vAlign w:val="bottom"/>
            <w:gridSpan w:val="5"/>
          </w:tcPr>
          <w:p>
            <w:pPr>
              <w:spacing w:after="0"/>
              <w:rPr>
                <w:sz w:val="20"/>
                <w:szCs w:val="20"/>
                <w:color w:val="auto"/>
              </w:rPr>
            </w:pPr>
            <w:r>
              <w:rPr>
                <w:rFonts w:ascii="Arial" w:cs="Arial" w:eastAsia="Arial" w:hAnsi="Arial"/>
                <w:sz w:val="16"/>
                <w:szCs w:val="16"/>
                <w:b w:val="1"/>
                <w:bCs w:val="1"/>
                <w:color w:val="auto"/>
              </w:rPr>
              <w:t>GAAP Margins and Earnings Per Share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2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20" w:type="dxa"/>
            <w:vAlign w:val="bottom"/>
            <w:gridSpan w:val="5"/>
          </w:tcPr>
          <w:p>
            <w:pPr>
              <w:ind w:left="440"/>
              <w:spacing w:after="0"/>
              <w:rPr>
                <w:sz w:val="20"/>
                <w:szCs w:val="20"/>
                <w:color w:val="auto"/>
              </w:rPr>
            </w:pPr>
            <w:r>
              <w:rPr>
                <w:rFonts w:ascii="Arial" w:cs="Arial" w:eastAsia="Arial" w:hAnsi="Arial"/>
                <w:sz w:val="16"/>
                <w:szCs w:val="16"/>
                <w:color w:val="auto"/>
              </w:rPr>
              <w:t>Total gross margin</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Net income (loss) per common share - Basic</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6"/>
                <w:szCs w:val="16"/>
                <w:color w:val="auto"/>
              </w:rPr>
              <w:t>Net income (loss) per common share - 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(1.56)</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92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340" w:right="20" w:hanging="332"/>
        <w:spacing w:after="0" w:line="223"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41-43 for information about these non-GAAP measures and reconciliations to the most comparable GAAP measures.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Endpoints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driven significantly by sales of endpoints. We classify our endpoints into two categories:</w:t>
      </w:r>
    </w:p>
    <w:p>
      <w:pPr>
        <w:spacing w:after="0" w:line="9" w:lineRule="exact"/>
        <w:rPr>
          <w:sz w:val="20"/>
          <w:szCs w:val="20"/>
          <w:color w:val="auto"/>
        </w:rPr>
      </w:pPr>
    </w:p>
    <w:p>
      <w:pPr>
        <w:jc w:val="both"/>
        <w:ind w:left="660" w:hanging="328"/>
        <w:spacing w:after="0" w:line="25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Standard Endpoints </w:t>
      </w:r>
      <w:r>
        <w:rPr>
          <w:rFonts w:ascii="Arial" w:cs="Arial" w:eastAsia="Arial" w:hAnsi="Arial"/>
          <w:sz w:val="18"/>
          <w:szCs w:val="18"/>
          <w:color w:val="auto"/>
        </w:rPr>
        <w:t>– an Itron product delivered primarily via our Device Solutions segment. The majority of our standard endpoint devices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the Smart Spec meters, and are classified as a standard endpoint.</w:t>
      </w:r>
    </w:p>
    <w:p>
      <w:pPr>
        <w:spacing w:after="0" w:line="21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Networked Endpoints </w:t>
      </w:r>
      <w:r>
        <w:rPr>
          <w:rFonts w:ascii="Arial" w:cs="Arial" w:eastAsia="Arial" w:hAnsi="Arial"/>
          <w:sz w:val="18"/>
          <w:szCs w:val="18"/>
          <w:color w:val="auto"/>
        </w:rPr>
        <w:t>– an Itron product with the capability of one-way communication or two-way communication of data including remote</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configuration and upgrade (consisting primarily of our OpenWay® or Gen X technology). This primarily includes Itron devices used in electricity, water, and gas distribution industries.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shipped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460" w:type="dxa"/>
            <w:vAlign w:val="bottom"/>
            <w:gridSpan w:val="4"/>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33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Units in thousands</w:t>
            </w: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33"/>
        </w:trPr>
        <w:tc>
          <w:tcPr>
            <w:tcW w:w="4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4400" w:type="dxa"/>
            <w:vAlign w:val="bottom"/>
          </w:tcPr>
          <w:p>
            <w:pPr>
              <w:ind w:left="20"/>
              <w:spacing w:after="0"/>
              <w:rPr>
                <w:sz w:val="20"/>
                <w:szCs w:val="20"/>
                <w:color w:val="auto"/>
              </w:rPr>
            </w:pPr>
            <w:r>
              <w:rPr>
                <w:rFonts w:ascii="Arial" w:cs="Arial" w:eastAsia="Arial" w:hAnsi="Arial"/>
                <w:sz w:val="16"/>
                <w:szCs w:val="16"/>
                <w:color w:val="auto"/>
              </w:rPr>
              <w:t>Itron Endpoints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4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Standard endpoints</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5,570</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8,520</w:t>
            </w: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11,040</w:t>
            </w:r>
          </w:p>
        </w:tc>
      </w:tr>
      <w:tr>
        <w:trPr>
          <w:trHeight w:val="224"/>
        </w:trPr>
        <w:tc>
          <w:tcPr>
            <w:tcW w:w="4400" w:type="dxa"/>
            <w:vAlign w:val="bottom"/>
          </w:tcPr>
          <w:p>
            <w:pPr>
              <w:ind w:left="340"/>
              <w:spacing w:after="0"/>
              <w:rPr>
                <w:sz w:val="20"/>
                <w:szCs w:val="20"/>
                <w:color w:val="auto"/>
              </w:rPr>
            </w:pPr>
            <w:r>
              <w:rPr>
                <w:rFonts w:ascii="Arial" w:cs="Arial" w:eastAsia="Arial" w:hAnsi="Arial"/>
                <w:sz w:val="16"/>
                <w:szCs w:val="16"/>
                <w:color w:val="auto"/>
              </w:rPr>
              <w:t>Networked endpoints</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4,190</w:t>
            </w:r>
          </w:p>
        </w:tc>
        <w:tc>
          <w:tcPr>
            <w:tcW w:w="120" w:type="dxa"/>
            <w:vAlign w:val="bottom"/>
          </w:tcPr>
          <w:p>
            <w:pPr>
              <w:spacing w:after="0"/>
              <w:rPr>
                <w:sz w:val="19"/>
                <w:szCs w:val="19"/>
                <w:color w:val="auto"/>
              </w:rPr>
            </w:pP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8,090</w:t>
            </w:r>
          </w:p>
        </w:tc>
        <w:tc>
          <w:tcPr>
            <w:tcW w:w="12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8,240</w:t>
            </w:r>
          </w:p>
        </w:tc>
      </w:tr>
      <w:tr>
        <w:trPr>
          <w:trHeight w:val="33"/>
        </w:trPr>
        <w:tc>
          <w:tcPr>
            <w:tcW w:w="4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2"/>
        </w:trPr>
        <w:tc>
          <w:tcPr>
            <w:tcW w:w="4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endpoints</w:t>
            </w:r>
          </w:p>
        </w:tc>
        <w:tc>
          <w:tcPr>
            <w:tcW w:w="1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7,320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9,830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16,610</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19,280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509,594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635,037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(114,677)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(125,443)</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138,517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191,214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(50,074)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(52,697)</w:t>
            </w:r>
          </w:p>
        </w:tc>
        <w:tc>
          <w:tcPr>
            <w:tcW w:w="0" w:type="dxa"/>
            <w:vAlign w:val="bottom"/>
          </w:tcPr>
          <w:p>
            <w:pPr>
              <w:spacing w:after="0"/>
              <w:rPr>
                <w:sz w:val="1"/>
                <w:szCs w:val="1"/>
                <w:color w:val="auto"/>
              </w:rPr>
            </w:pPr>
          </w:p>
        </w:tc>
      </w:tr>
      <w:tr>
        <w:trPr>
          <w:trHeight w:val="762"/>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1,108,009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1,249,613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(141,604)</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310,083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378,477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(63,905)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(68,394)</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2020 vs. Three months ended June 30,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Total revenues decreased $125.4 million, or 20%, in the </w:t>
      </w:r>
      <w:r>
        <w:rPr>
          <w:rFonts w:ascii="Arial" w:cs="Arial" w:eastAsia="Arial" w:hAnsi="Arial"/>
          <w:sz w:val="18"/>
          <w:szCs w:val="18"/>
          <w:color w:val="000000"/>
        </w:rPr>
        <w:t>2020 quarter</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 xml:space="preserve">2019. We were negatively impacted by COVID-19, which played a significant role in lower year-over-year results. Product revenues decreased by $127.1 million, and service revenues increased slightly. </w:t>
      </w:r>
      <w:r>
        <w:rPr>
          <w:rFonts w:ascii="Arial" w:cs="Arial" w:eastAsia="Arial" w:hAnsi="Arial"/>
          <w:sz w:val="18"/>
          <w:szCs w:val="18"/>
          <w:color w:val="222222"/>
        </w:rPr>
        <w:t>Device Solutions decreased by $88.6 million; Networked Solution decreased by $31.4 million; and Outcomes decreased by $5.4 million when compared with the same period last year. C</w:t>
      </w:r>
      <w:r>
        <w:rPr>
          <w:rFonts w:ascii="Arial" w:cs="Arial" w:eastAsia="Arial" w:hAnsi="Arial"/>
          <w:sz w:val="18"/>
          <w:szCs w:val="18"/>
          <w:color w:val="000000"/>
        </w:rPr>
        <w:t>hanges in exchange rates unfavorably impacted total revenues in the 2020 period by $10.8 million, of which $9.1 million</w:t>
      </w:r>
      <w:r>
        <w:rPr>
          <w:rFonts w:ascii="Arial" w:cs="Arial" w:eastAsia="Arial" w:hAnsi="Arial"/>
          <w:sz w:val="18"/>
          <w:szCs w:val="18"/>
          <w:color w:val="222222"/>
        </w:rPr>
        <w:t xml:space="preserve"> </w:t>
      </w:r>
      <w:r>
        <w:rPr>
          <w:rFonts w:ascii="Arial" w:cs="Arial" w:eastAsia="Arial" w:hAnsi="Arial"/>
          <w:sz w:val="18"/>
          <w:szCs w:val="18"/>
          <w:color w:val="000000"/>
        </w:rPr>
        <w:t>unfavorably impacted Device Solutions.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2020 vs. Six months ended June 30, 2019</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 xml:space="preserve">Total revenues decreased $141.6 million, or 11%, for the first half of </w:t>
      </w:r>
      <w:r>
        <w:rPr>
          <w:rFonts w:ascii="Arial" w:cs="Arial" w:eastAsia="Arial" w:hAnsi="Arial"/>
          <w:sz w:val="18"/>
          <w:szCs w:val="18"/>
          <w:color w:val="000000"/>
        </w:rPr>
        <w:t>2020</w:t>
      </w:r>
      <w:r>
        <w:rPr>
          <w:rFonts w:ascii="Arial" w:cs="Arial" w:eastAsia="Arial" w:hAnsi="Arial"/>
          <w:sz w:val="18"/>
          <w:szCs w:val="18"/>
          <w:color w:val="222222"/>
        </w:rPr>
        <w:t xml:space="preserve">, compared with the same period in </w:t>
      </w:r>
      <w:r>
        <w:rPr>
          <w:rFonts w:ascii="Arial" w:cs="Arial" w:eastAsia="Arial" w:hAnsi="Arial"/>
          <w:sz w:val="18"/>
          <w:szCs w:val="18"/>
          <w:color w:val="000000"/>
        </w:rPr>
        <w:t>2019. We were negatively impacted by</w:t>
      </w:r>
      <w:r>
        <w:rPr>
          <w:rFonts w:ascii="Arial" w:cs="Arial" w:eastAsia="Arial" w:hAnsi="Arial"/>
          <w:sz w:val="18"/>
          <w:szCs w:val="18"/>
          <w:color w:val="222222"/>
        </w:rPr>
        <w:t xml:space="preserve"> </w:t>
      </w:r>
      <w:r>
        <w:rPr>
          <w:rFonts w:ascii="Arial" w:cs="Arial" w:eastAsia="Arial" w:hAnsi="Arial"/>
          <w:sz w:val="18"/>
          <w:szCs w:val="18"/>
          <w:color w:val="000000"/>
        </w:rPr>
        <w:t xml:space="preserve">COVID-19, which played a significant role in lower year-over-year results. Product revenues decreased by $143.8 million, and service revenues increased slightly. </w:t>
      </w:r>
      <w:r>
        <w:rPr>
          <w:rFonts w:ascii="Arial" w:cs="Arial" w:eastAsia="Arial" w:hAnsi="Arial"/>
          <w:sz w:val="18"/>
          <w:szCs w:val="18"/>
          <w:color w:val="222222"/>
        </w:rPr>
        <w:t>Device Solutions decreased by $108.0 million; Networked Solutions decreased by $27.0 million; and Outcomes decreased by $6.6 million when</w:t>
      </w:r>
      <w:r>
        <w:rPr>
          <w:rFonts w:ascii="Arial" w:cs="Arial" w:eastAsia="Arial" w:hAnsi="Arial"/>
          <w:sz w:val="18"/>
          <w:szCs w:val="18"/>
          <w:color w:val="000000"/>
        </w:rPr>
        <w:t xml:space="preserve"> </w:t>
      </w:r>
      <w:r>
        <w:rPr>
          <w:rFonts w:ascii="Arial" w:cs="Arial" w:eastAsia="Arial" w:hAnsi="Arial"/>
          <w:sz w:val="18"/>
          <w:szCs w:val="18"/>
          <w:color w:val="222222"/>
        </w:rPr>
        <w:t>compared with the same period last year. C</w:t>
      </w:r>
      <w:r>
        <w:rPr>
          <w:rFonts w:ascii="Arial" w:cs="Arial" w:eastAsia="Arial" w:hAnsi="Arial"/>
          <w:sz w:val="18"/>
          <w:szCs w:val="18"/>
          <w:color w:val="000000"/>
        </w:rPr>
        <w:t>hanges in exchange rates unfavorably impacted total revenues by $19.2 million, of which $16.7 million</w:t>
      </w:r>
      <w:r>
        <w:rPr>
          <w:rFonts w:ascii="Arial" w:cs="Arial" w:eastAsia="Arial" w:hAnsi="Arial"/>
          <w:sz w:val="18"/>
          <w:szCs w:val="18"/>
          <w:color w:val="222222"/>
        </w:rPr>
        <w:t xml:space="preserve"> </w:t>
      </w:r>
      <w:r>
        <w:rPr>
          <w:rFonts w:ascii="Arial" w:cs="Arial" w:eastAsia="Arial" w:hAnsi="Arial"/>
          <w:sz w:val="18"/>
          <w:szCs w:val="18"/>
          <w:color w:val="000000"/>
        </w:rPr>
        <w:t>unfavorably impacted Device Solutions.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June 30, 2020 vs. Three months ended June 30,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in the </w:t>
      </w:r>
      <w:r>
        <w:rPr>
          <w:rFonts w:ascii="Arial" w:cs="Arial" w:eastAsia="Arial" w:hAnsi="Arial"/>
          <w:sz w:val="18"/>
          <w:szCs w:val="18"/>
          <w:color w:val="000000"/>
        </w:rPr>
        <w:t>2020</w:t>
      </w:r>
      <w:r>
        <w:rPr>
          <w:rFonts w:ascii="Arial" w:cs="Arial" w:eastAsia="Arial" w:hAnsi="Arial"/>
          <w:sz w:val="18"/>
          <w:szCs w:val="18"/>
          <w:color w:val="222222"/>
        </w:rPr>
        <w:t xml:space="preserve"> period was 27.2%, compared with 30.1% in </w:t>
      </w:r>
      <w:r>
        <w:rPr>
          <w:rFonts w:ascii="Arial" w:cs="Arial" w:eastAsia="Arial" w:hAnsi="Arial"/>
          <w:sz w:val="18"/>
          <w:szCs w:val="18"/>
          <w:color w:val="000000"/>
        </w:rPr>
        <w:t>2019</w:t>
      </w:r>
      <w:r>
        <w:rPr>
          <w:rFonts w:ascii="Arial" w:cs="Arial" w:eastAsia="Arial" w:hAnsi="Arial"/>
          <w:sz w:val="18"/>
          <w:szCs w:val="18"/>
          <w:color w:val="222222"/>
        </w:rPr>
        <w:t xml:space="preserve">. </w:t>
      </w:r>
      <w:r>
        <w:rPr>
          <w:rFonts w:ascii="Arial" w:cs="Arial" w:eastAsia="Arial" w:hAnsi="Arial"/>
          <w:sz w:val="18"/>
          <w:szCs w:val="18"/>
          <w:color w:val="000000"/>
        </w:rPr>
        <w:t>We were negatively impacted by unfavorable product mix and manufacturing</w:t>
      </w:r>
      <w:r>
        <w:rPr>
          <w:rFonts w:ascii="Arial" w:cs="Arial" w:eastAsia="Arial" w:hAnsi="Arial"/>
          <w:sz w:val="18"/>
          <w:szCs w:val="18"/>
          <w:color w:val="222222"/>
        </w:rPr>
        <w:t xml:space="preserve"> </w:t>
      </w:r>
      <w:r>
        <w:rPr>
          <w:rFonts w:ascii="Arial" w:cs="Arial" w:eastAsia="Arial" w:hAnsi="Arial"/>
          <w:sz w:val="18"/>
          <w:szCs w:val="18"/>
          <w:color w:val="000000"/>
        </w:rPr>
        <w:t xml:space="preserve">inefficiencies. </w:t>
      </w:r>
      <w:r>
        <w:rPr>
          <w:rFonts w:ascii="Arial" w:cs="Arial" w:eastAsia="Arial" w:hAnsi="Arial"/>
          <w:sz w:val="18"/>
          <w:szCs w:val="18"/>
          <w:color w:val="222222"/>
        </w:rPr>
        <w:t>Product sales gross margin decreased to 25.0% for the quarter in</w:t>
      </w:r>
      <w:r>
        <w:rPr>
          <w:rFonts w:ascii="Arial" w:cs="Arial" w:eastAsia="Arial" w:hAnsi="Arial"/>
          <w:sz w:val="18"/>
          <w:szCs w:val="18"/>
          <w:color w:val="000000"/>
        </w:rPr>
        <w:t xml:space="preserve"> 2020</w:t>
      </w:r>
      <w:r>
        <w:rPr>
          <w:rFonts w:ascii="Arial" w:cs="Arial" w:eastAsia="Arial" w:hAnsi="Arial"/>
          <w:sz w:val="18"/>
          <w:szCs w:val="18"/>
          <w:color w:val="222222"/>
        </w:rPr>
        <w:t>, compared with 29.2% in</w:t>
      </w:r>
      <w:r>
        <w:rPr>
          <w:rFonts w:ascii="Arial" w:cs="Arial" w:eastAsia="Arial" w:hAnsi="Arial"/>
          <w:sz w:val="18"/>
          <w:szCs w:val="18"/>
          <w:color w:val="000000"/>
        </w:rPr>
        <w:t xml:space="preserve"> 2019</w:t>
      </w:r>
      <w:r>
        <w:rPr>
          <w:rFonts w:ascii="Arial" w:cs="Arial" w:eastAsia="Arial" w:hAnsi="Arial"/>
          <w:sz w:val="18"/>
          <w:szCs w:val="18"/>
          <w:color w:val="222222"/>
        </w:rPr>
        <w:t>. Gross margin on service revenues</w:t>
      </w:r>
      <w:r>
        <w:rPr>
          <w:rFonts w:ascii="Arial" w:cs="Arial" w:eastAsia="Arial" w:hAnsi="Arial"/>
          <w:sz w:val="18"/>
          <w:szCs w:val="18"/>
          <w:color w:val="000000"/>
        </w:rPr>
        <w:t xml:space="preserve"> </w:t>
      </w:r>
      <w:r>
        <w:rPr>
          <w:rFonts w:ascii="Arial" w:cs="Arial" w:eastAsia="Arial" w:hAnsi="Arial"/>
          <w:sz w:val="18"/>
          <w:szCs w:val="18"/>
          <w:color w:val="222222"/>
        </w:rPr>
        <w:t xml:space="preserve">increased to 40.8% in </w:t>
      </w:r>
      <w:r>
        <w:rPr>
          <w:rFonts w:ascii="Arial" w:cs="Arial" w:eastAsia="Arial" w:hAnsi="Arial"/>
          <w:sz w:val="18"/>
          <w:szCs w:val="18"/>
          <w:color w:val="000000"/>
        </w:rPr>
        <w:t>2020</w:t>
      </w:r>
      <w:r>
        <w:rPr>
          <w:rFonts w:ascii="Arial" w:cs="Arial" w:eastAsia="Arial" w:hAnsi="Arial"/>
          <w:sz w:val="18"/>
          <w:szCs w:val="18"/>
          <w:color w:val="222222"/>
        </w:rPr>
        <w:t xml:space="preserve">, compared with 38.0% in </w:t>
      </w:r>
      <w:r>
        <w:rPr>
          <w:rFonts w:ascii="Arial" w:cs="Arial" w:eastAsia="Arial" w:hAnsi="Arial"/>
          <w:sz w:val="18"/>
          <w:szCs w:val="18"/>
          <w:color w:val="000000"/>
        </w:rPr>
        <w:t>2019</w:t>
      </w:r>
      <w:r>
        <w:rPr>
          <w:rFonts w:ascii="Arial" w:cs="Arial" w:eastAsia="Arial" w:hAnsi="Arial"/>
          <w:sz w:val="18"/>
          <w:szCs w:val="18"/>
          <w:color w:val="222222"/>
        </w:rPr>
        <w: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Six months ended June 30, 2020 vs. Six months ended June 30,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Gross margin for the current year was 28.0%, compared with 30.3% in </w:t>
      </w:r>
      <w:r>
        <w:rPr>
          <w:rFonts w:ascii="Arial" w:cs="Arial" w:eastAsia="Arial" w:hAnsi="Arial"/>
          <w:sz w:val="18"/>
          <w:szCs w:val="18"/>
          <w:color w:val="000000"/>
        </w:rPr>
        <w:t>2019</w:t>
      </w:r>
      <w:r>
        <w:rPr>
          <w:rFonts w:ascii="Arial" w:cs="Arial" w:eastAsia="Arial" w:hAnsi="Arial"/>
          <w:sz w:val="18"/>
          <w:szCs w:val="18"/>
          <w:color w:val="222222"/>
        </w:rPr>
        <w:t xml:space="preserve">. Unfavorable product mix and manufacturing inefficiencies negatively </w:t>
      </w:r>
      <w:r>
        <w:rPr>
          <w:rFonts w:ascii="Arial" w:cs="Arial" w:eastAsia="Arial" w:hAnsi="Arial"/>
          <w:sz w:val="18"/>
          <w:szCs w:val="18"/>
          <w:color w:val="000000"/>
        </w:rPr>
        <w:t xml:space="preserve">impacted our results. </w:t>
      </w:r>
      <w:r>
        <w:rPr>
          <w:rFonts w:ascii="Arial" w:cs="Arial" w:eastAsia="Arial" w:hAnsi="Arial"/>
          <w:sz w:val="18"/>
          <w:szCs w:val="18"/>
          <w:color w:val="222222"/>
        </w:rPr>
        <w:t>Product sales gross margin decreased to 26.2% in the</w:t>
      </w:r>
      <w:r>
        <w:rPr>
          <w:rFonts w:ascii="Arial" w:cs="Arial" w:eastAsia="Arial" w:hAnsi="Arial"/>
          <w:sz w:val="18"/>
          <w:szCs w:val="18"/>
          <w:color w:val="000000"/>
        </w:rPr>
        <w:t xml:space="preserve"> 2020 period</w:t>
      </w:r>
      <w:r>
        <w:rPr>
          <w:rFonts w:ascii="Arial" w:cs="Arial" w:eastAsia="Arial" w:hAnsi="Arial"/>
          <w:sz w:val="18"/>
          <w:szCs w:val="18"/>
          <w:color w:val="222222"/>
        </w:rPr>
        <w:t>, compared with 29.1% in</w:t>
      </w:r>
      <w:r>
        <w:rPr>
          <w:rFonts w:ascii="Arial" w:cs="Arial" w:eastAsia="Arial" w:hAnsi="Arial"/>
          <w:sz w:val="18"/>
          <w:szCs w:val="18"/>
          <w:color w:val="000000"/>
        </w:rPr>
        <w:t xml:space="preserve"> 2019 </w:t>
      </w:r>
      <w:r>
        <w:rPr>
          <w:rFonts w:ascii="Arial" w:cs="Arial" w:eastAsia="Arial" w:hAnsi="Arial"/>
          <w:sz w:val="18"/>
          <w:szCs w:val="18"/>
          <w:color w:val="222222"/>
        </w:rPr>
        <w:t>and gross margin on service</w:t>
      </w:r>
      <w:r>
        <w:rPr>
          <w:rFonts w:ascii="Arial" w:cs="Arial" w:eastAsia="Arial" w:hAnsi="Arial"/>
          <w:sz w:val="18"/>
          <w:szCs w:val="18"/>
          <w:color w:val="000000"/>
        </w:rPr>
        <w:t xml:space="preserve"> </w:t>
      </w:r>
      <w:r>
        <w:rPr>
          <w:rFonts w:ascii="Arial" w:cs="Arial" w:eastAsia="Arial" w:hAnsi="Arial"/>
          <w:sz w:val="18"/>
          <w:szCs w:val="18"/>
          <w:color w:val="222222"/>
        </w:rPr>
        <w:t xml:space="preserve">revenues increased to 40.4%, compared with 39.4% in </w:t>
      </w:r>
      <w:r>
        <w:rPr>
          <w:rFonts w:ascii="Arial" w:cs="Arial" w:eastAsia="Arial" w:hAnsi="Arial"/>
          <w:sz w:val="18"/>
          <w:szCs w:val="18"/>
          <w:color w:val="000000"/>
        </w:rPr>
        <w:t>2019</w:t>
      </w:r>
      <w:r>
        <w:rPr>
          <w:rFonts w:ascii="Arial" w:cs="Arial" w:eastAsia="Arial" w:hAnsi="Arial"/>
          <w:sz w:val="18"/>
          <w:szCs w:val="18"/>
          <w:color w:val="222222"/>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vMerge w:val="restart"/>
          </w:tcPr>
          <w:p>
            <w:pPr>
              <w:jc w:val="center"/>
              <w:ind w:right="460"/>
              <w:spacing w:after="0"/>
              <w:rPr>
                <w:sz w:val="20"/>
                <w:szCs w:val="20"/>
                <w:color w:val="auto"/>
              </w:rPr>
            </w:pPr>
            <w:r>
              <w:rPr>
                <w:rFonts w:ascii="Arial" w:cs="Arial" w:eastAsia="Arial" w:hAnsi="Arial"/>
                <w:sz w:val="16"/>
                <w:szCs w:val="16"/>
                <w:b w:val="1"/>
                <w:bCs w:val="1"/>
                <w:color w:val="auto"/>
                <w:w w:val="92"/>
              </w:rPr>
              <w:t>Three Months Ended June 30,</w:t>
            </w: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Sales, general and administrative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69,538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88,259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(18,721)</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(4,977)</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3,486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on sale of business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56,915</w:t>
            </w:r>
          </w:p>
        </w:tc>
        <w:tc>
          <w:tcPr>
            <w:tcW w:w="0" w:type="dxa"/>
            <w:vAlign w:val="bottom"/>
          </w:tcPr>
          <w:p>
            <w:pPr>
              <w:spacing w:after="0"/>
              <w:rPr>
                <w:sz w:val="1"/>
                <w:szCs w:val="1"/>
                <w:color w:val="auto"/>
              </w:rPr>
            </w:pPr>
          </w:p>
        </w:tc>
      </w:tr>
      <w:tr>
        <w:trPr>
          <w:trHeight w:val="217"/>
        </w:trPr>
        <w:tc>
          <w:tcPr>
            <w:tcW w:w="298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183,904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147,656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37,617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36,248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5"/>
            <w:vMerge w:val="restart"/>
          </w:tcPr>
          <w:p>
            <w:pPr>
              <w:jc w:val="center"/>
              <w:ind w:right="460"/>
              <w:spacing w:after="0"/>
              <w:rPr>
                <w:sz w:val="20"/>
                <w:szCs w:val="20"/>
                <w:color w:val="auto"/>
              </w:rPr>
            </w:pPr>
            <w:r>
              <w:rPr>
                <w:rFonts w:ascii="Arial" w:cs="Arial" w:eastAsia="Arial" w:hAnsi="Arial"/>
                <w:sz w:val="16"/>
                <w:szCs w:val="16"/>
                <w:b w:val="1"/>
                <w:bCs w:val="1"/>
                <w:color w:val="auto"/>
                <w:w w:val="91"/>
              </w:rPr>
              <w:t>Six Months Ended June 30,</w:t>
            </w: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Sales, general and administrative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150,036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180,974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(30,938)</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102,775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99,939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32,090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on sale of business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56,915</w:t>
            </w:r>
          </w:p>
        </w:tc>
        <w:tc>
          <w:tcPr>
            <w:tcW w:w="0" w:type="dxa"/>
            <w:vAlign w:val="bottom"/>
          </w:tcPr>
          <w:p>
            <w:pPr>
              <w:spacing w:after="0"/>
              <w:rPr>
                <w:sz w:val="1"/>
                <w:szCs w:val="1"/>
                <w:color w:val="auto"/>
              </w:rPr>
            </w:pPr>
          </w:p>
        </w:tc>
      </w:tr>
      <w:tr>
        <w:trPr>
          <w:trHeight w:val="217"/>
        </w:trPr>
        <w:tc>
          <w:tcPr>
            <w:tcW w:w="298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329,100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314,096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17,956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15,004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$36.2 million for the second quarter of 2020 as compared with the same period in 2019. This was primarily the result of the $56.9 million loss on sale of business due to the recent Latin America divestiture. The increase was partially offset by decreases of $18.7 million in sales, general and administrative expenses due to lower medical and travel expenses, and $5.0 million in amortization of intangible assets compared with the 2019 period. Acquisition and integration costs, which are classified within sales, general and administrative expenses, decreased by $8.9 million compared with the same period in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$15.0 million for the six months ended June 30, 2020 as compared with the same period in 2019. This was primarily the result of the $56.9 million loss on sale of business due to the recent Latin America divestiture. The increase was partially offset by decreases of $30.9 million in sales, general and administrative expenses due to lower medical and travel expenses, and $9.8 million in amortization of intangible assets. Acquisition and integration costs, which are classified within sales, general and administrative expenses, decreased by $19.1 million compared with the same period in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Three Months Ended June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7"/>
        </w:trPr>
        <w:tc>
          <w:tcPr>
            <w:tcW w:w="3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534</w:t>
            </w:r>
          </w:p>
        </w:tc>
        <w:tc>
          <w:tcPr>
            <w:tcW w:w="9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110%</w:t>
            </w: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(12,294)</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(24,629)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(15)%</w:t>
            </w:r>
          </w:p>
        </w:tc>
      </w:tr>
      <w:tr>
        <w:trPr>
          <w:trHeight w:val="33"/>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9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(2,402)</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w:t>
            </w:r>
          </w:p>
        </w:tc>
      </w:tr>
      <w:tr>
        <w:trPr>
          <w:trHeight w:val="224"/>
        </w:trPr>
        <w:tc>
          <w:tcPr>
            <w:tcW w:w="33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96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(3,704)</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(78)%</w:t>
            </w:r>
          </w:p>
        </w:tc>
      </w:tr>
      <w:tr>
        <w:trPr>
          <w:trHeight w:val="33"/>
        </w:trPr>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72"/>
        </w:trPr>
        <w:tc>
          <w:tcPr>
            <w:tcW w:w="3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(15,022)</w:t>
            </w:r>
          </w:p>
        </w:tc>
        <w:tc>
          <w:tcPr>
            <w:tcW w:w="9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(29,873)</w:t>
            </w: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(26)%</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and six months ended June 30, 2020 was a net expense of $12.3 million and $22.0 million, compared with net expense of $15.0 million and $29.9 million in the same periods in 2019.</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lower total expense for the three months ended June 30, 2020, as compared with the same period in 2019, was driven primarily by $2.3 million in lower interest expense for the credit facility.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decrease in other income (expense) for the six months ended June 30, 2020, as compared with the same period in 2019, was primarily driven by $4.8 million in lower interest expense for the credit facility and lower foreign currency exchange losses resulting from transactions denominated in a currency other than the reporting entity's functional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three and six months ended June 30, 2020, our income tax expense was $4.8 million and $12.4 million compared with income tax expense of $8.4 million and $14.5 million for the same periods in 2019. Our tax rate for the three and six months ended June 30, 2020 of (8)% and (30)%, respectively, differed from the federal statutory rate of 21% primarily due to a significant loss recognized in the second quarter for the divestiture of the majority of our Latin American business activities. This loss was recognized for tax as a discrete item and resulted in no tax benefit. Other rate drivers include losses experienced in jurisdictions with valuation allowances on deferred tax assets, the forecasted mix of earnings in domestic and international jurisdictions, a benefit related to excess stock-based compensation, and uncertain tax positions. Our tax rate for the three and six months ended June 30, 2019 of 30% and 42%,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1: "Financial Statements (Unaudited),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 The following tables and discussion highlight significant changes in trends or components of each operating segment: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129,165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331,444</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324,480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355,916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665,325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692,343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55,949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111,240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509,594</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635,037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1,108,009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1,249,613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jc w:val="right"/>
              <w:ind w:right="260"/>
              <w:spacing w:after="0"/>
              <w:rPr>
                <w:sz w:val="20"/>
                <w:szCs w:val="20"/>
                <w:color w:val="auto"/>
              </w:rPr>
            </w:pPr>
            <w:r>
              <w:rPr>
                <w:rFonts w:ascii="Arial" w:cs="Arial" w:eastAsia="Arial" w:hAnsi="Arial"/>
                <w:sz w:val="16"/>
                <w:szCs w:val="16"/>
                <w:b w:val="1"/>
                <w:bCs w:val="1"/>
                <w:color w:val="auto"/>
                <w:w w:val="94"/>
              </w:rPr>
              <w:t>Three Months Ended June 30,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w w:val="94"/>
              </w:rPr>
              <w:t>Six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2020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82"/>
              </w:rPr>
              <w:t>Gross</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82"/>
              </w:rPr>
              <w:t>Gross</w:t>
            </w: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82"/>
              </w:rPr>
              <w:t>Gross</w:t>
            </w:r>
          </w:p>
        </w:tc>
        <w:tc>
          <w:tcPr>
            <w:tcW w:w="1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i w:val="1"/>
                <w:iCs w:val="1"/>
                <w:color w:val="auto"/>
                <w:w w:val="86"/>
              </w:rPr>
              <w:t>Gross</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6"/>
              </w:rPr>
              <w:t>Gross</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Profit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0" w:type="dxa"/>
            <w:vAlign w:val="bottom"/>
          </w:tcPr>
          <w:p>
            <w:pPr>
              <w:spacing w:after="0"/>
              <w:rPr>
                <w:sz w:val="17"/>
                <w:szCs w:val="17"/>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95"/>
              </w:rPr>
              <w:t>Profit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4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i w:val="1"/>
                <w:iCs w:val="1"/>
                <w:color w:val="auto"/>
                <w:w w:val="95"/>
              </w:rPr>
              <w:t>Profit</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6"/>
              </w:rPr>
              <w:t>Segment Gross Profit and Margin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81,506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18.5%</w:t>
            </w:r>
          </w:p>
        </w:tc>
        <w:tc>
          <w:tcPr>
            <w:tcW w:w="0" w:type="dxa"/>
            <w:vAlign w:val="bottom"/>
          </w:tcPr>
          <w:p>
            <w:pPr>
              <w:spacing w:after="0"/>
              <w:rPr>
                <w:sz w:val="1"/>
                <w:szCs w:val="1"/>
                <w:color w:val="auto"/>
              </w:rPr>
            </w:pPr>
          </w:p>
        </w:tc>
      </w:tr>
      <w:tr>
        <w:trPr>
          <w:trHeight w:val="224"/>
        </w:trPr>
        <w:tc>
          <w:tcPr>
            <w:tcW w:w="25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108,323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33.4%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126,243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230,073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color w:val="auto"/>
                <w:w w:val="92"/>
              </w:rPr>
              <w:t>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253,311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36.6%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43,660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37.1%</w:t>
            </w:r>
          </w:p>
        </w:tc>
        <w:tc>
          <w:tcPr>
            <w:tcW w:w="0" w:type="dxa"/>
            <w:vAlign w:val="bottom"/>
          </w:tcPr>
          <w:p>
            <w:pPr>
              <w:spacing w:after="0"/>
              <w:rPr>
                <w:sz w:val="1"/>
                <w:szCs w:val="1"/>
                <w:color w:val="auto"/>
              </w:rPr>
            </w:pPr>
          </w:p>
        </w:tc>
      </w:tr>
      <w:tr>
        <w:trPr>
          <w:trHeight w:val="244"/>
        </w:trPr>
        <w:tc>
          <w:tcPr>
            <w:tcW w:w="250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138,517</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27.2%</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191,214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30.1%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310,083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color w:val="auto"/>
                <w:w w:val="92"/>
              </w:rPr>
              <w:t>28.0%</w:t>
            </w:r>
          </w:p>
        </w:tc>
        <w:tc>
          <w:tcPr>
            <w:tcW w:w="10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378,477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30.3%</w:t>
            </w:r>
          </w:p>
        </w:tc>
        <w:tc>
          <w:tcPr>
            <w:tcW w:w="0" w:type="dxa"/>
            <w:vAlign w:val="bottom"/>
          </w:tcPr>
          <w:p>
            <w:pPr>
              <w:spacing w:after="0"/>
              <w:rPr>
                <w:sz w:val="1"/>
                <w:szCs w:val="1"/>
                <w:color w:val="auto"/>
              </w:rPr>
            </w:pPr>
          </w:p>
        </w:tc>
      </w:tr>
      <w:tr>
        <w:trPr>
          <w:trHeight w:val="43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13,068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27,237</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30,941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28,208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64,011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59,954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6"/>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Arial" w:cs="Arial" w:eastAsia="Arial" w:hAnsi="Arial"/>
                <w:sz w:val="16"/>
                <w:szCs w:val="16"/>
                <w:color w:val="auto"/>
              </w:rPr>
              <w:t>Corporate unallocated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130,875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97,199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219,581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207,565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color w:val="auto"/>
                <w:w w:val="86"/>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183,904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147,656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329,100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314,096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86"/>
              </w:rPr>
              <w:t>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8"/>
          </w:tcPr>
          <w:p>
            <w:pPr>
              <w:jc w:val="right"/>
              <w:ind w:right="260"/>
              <w:spacing w:after="0"/>
              <w:rPr>
                <w:sz w:val="20"/>
                <w:szCs w:val="20"/>
                <w:color w:val="auto"/>
              </w:rPr>
            </w:pPr>
            <w:r>
              <w:rPr>
                <w:rFonts w:ascii="Arial" w:cs="Arial" w:eastAsia="Arial" w:hAnsi="Arial"/>
                <w:sz w:val="16"/>
                <w:szCs w:val="16"/>
                <w:b w:val="1"/>
                <w:bCs w:val="1"/>
                <w:color w:val="auto"/>
                <w:w w:val="94"/>
              </w:rPr>
              <w:t>Three Months Ended June 30,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380"/>
              <w:spacing w:after="0"/>
              <w:rPr>
                <w:sz w:val="20"/>
                <w:szCs w:val="20"/>
                <w:color w:val="auto"/>
              </w:rPr>
            </w:pPr>
            <w:r>
              <w:rPr>
                <w:rFonts w:ascii="Arial" w:cs="Arial" w:eastAsia="Arial" w:hAnsi="Arial"/>
                <w:sz w:val="16"/>
                <w:szCs w:val="16"/>
                <w:b w:val="1"/>
                <w:bCs w:val="1"/>
                <w:color w:val="auto"/>
                <w:w w:val="94"/>
              </w:rPr>
              <w:t>Six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2020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2"/>
              </w:rPr>
              <w:t>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87"/>
              </w:rPr>
              <w:t>Operating</w:t>
            </w:r>
          </w:p>
        </w:tc>
        <w:tc>
          <w:tcPr>
            <w:tcW w:w="12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i w:val="1"/>
                <w:iCs w:val="1"/>
                <w:color w:val="auto"/>
                <w:w w:val="89"/>
              </w:rPr>
              <w:t>Operating</w:t>
            </w: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7"/>
                <w:szCs w:val="17"/>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i w:val="1"/>
                <w:iCs w:val="1"/>
                <w:color w:val="auto"/>
                <w:w w:val="89"/>
              </w:rPr>
              <w:t>Operating</w:t>
            </w:r>
          </w:p>
        </w:tc>
        <w:tc>
          <w:tcPr>
            <w:tcW w:w="140" w:type="dxa"/>
            <w:vAlign w:val="bottom"/>
          </w:tcPr>
          <w:p>
            <w:pPr>
              <w:spacing w:after="0"/>
              <w:rPr>
                <w:sz w:val="17"/>
                <w:szCs w:val="17"/>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3"/>
              </w:rPr>
              <w:t>(Loss)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i w:val="1"/>
                <w:iCs w:val="1"/>
                <w:color w:val="auto"/>
                <w:w w:val="95"/>
              </w:rPr>
              <w:t>Margin</w:t>
            </w:r>
          </w:p>
        </w:tc>
        <w:tc>
          <w:tcPr>
            <w:tcW w:w="122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Income (Loss)</w:t>
            </w: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5"/>
              </w:rPr>
              <w:t>Margin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88"/>
              </w:rPr>
              <w:t>Income (Loss)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Income (Loss)</w:t>
            </w: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4"/>
              </w:rPr>
              <w:t>Segment Operating Income (Loss)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and Operating Margin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7"/>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28,355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77,382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2"/>
              </w:rPr>
              <w:t>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98,035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166,062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color w:val="auto"/>
                <w:w w:val="92"/>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193,357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27.9%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2"/>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24,777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21.0%</w:t>
            </w:r>
          </w:p>
        </w:tc>
        <w:tc>
          <w:tcPr>
            <w:tcW w:w="0" w:type="dxa"/>
            <w:vAlign w:val="bottom"/>
          </w:tcPr>
          <w:p>
            <w:pPr>
              <w:spacing w:after="0"/>
              <w:rPr>
                <w:sz w:val="1"/>
                <w:szCs w:val="1"/>
                <w:color w:val="auto"/>
              </w:rPr>
            </w:pPr>
          </w:p>
        </w:tc>
      </w:tr>
      <w:tr>
        <w:trPr>
          <w:trHeight w:val="224"/>
        </w:trPr>
        <w:tc>
          <w:tcPr>
            <w:tcW w:w="2500" w:type="dxa"/>
            <w:vAlign w:val="bottom"/>
          </w:tcPr>
          <w:p>
            <w:pPr>
              <w:ind w:left="120"/>
              <w:spacing w:after="0"/>
              <w:rPr>
                <w:sz w:val="20"/>
                <w:szCs w:val="20"/>
                <w:color w:val="auto"/>
              </w:rPr>
            </w:pPr>
            <w:r>
              <w:rPr>
                <w:rFonts w:ascii="Arial" w:cs="Arial" w:eastAsia="Arial" w:hAnsi="Arial"/>
                <w:sz w:val="16"/>
                <w:szCs w:val="16"/>
                <w:color w:val="auto"/>
              </w:rPr>
              <w:t>Corporate unallocated</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(130,875)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59"/>
              <w:spacing w:after="0"/>
              <w:rPr>
                <w:sz w:val="20"/>
                <w:szCs w:val="20"/>
                <w:color w:val="auto"/>
              </w:rPr>
            </w:pPr>
            <w:r>
              <w:rPr>
                <w:rFonts w:ascii="Arial" w:cs="Arial" w:eastAsia="Arial" w:hAnsi="Arial"/>
                <w:sz w:val="16"/>
                <w:szCs w:val="16"/>
                <w:color w:val="auto"/>
                <w:w w:val="96"/>
              </w:rPr>
              <w:t>(25.7)%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(97,199)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color w:val="auto"/>
                <w:w w:val="92"/>
              </w:rPr>
              <w:t>(15.3)%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(219,581)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color w:val="auto"/>
                <w:w w:val="92"/>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(207,565)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color w:val="auto"/>
                <w:w w:val="92"/>
              </w:rPr>
              <w:t>(16.6)%</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300"/>
              <w:spacing w:after="0" w:line="146" w:lineRule="exact"/>
              <w:rPr>
                <w:sz w:val="20"/>
                <w:szCs w:val="20"/>
                <w:color w:val="auto"/>
              </w:rPr>
            </w:pPr>
            <w:r>
              <w:rPr>
                <w:rFonts w:ascii="Arial" w:cs="Arial" w:eastAsia="Arial" w:hAnsi="Arial"/>
                <w:sz w:val="16"/>
                <w:szCs w:val="16"/>
                <w:color w:val="auto"/>
                <w:w w:val="91"/>
              </w:rPr>
              <w:t>Total operating income (loss)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(45,387)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59"/>
              <w:spacing w:after="0"/>
              <w:rPr>
                <w:sz w:val="20"/>
                <w:szCs w:val="20"/>
                <w:color w:val="auto"/>
              </w:rPr>
            </w:pPr>
            <w:r>
              <w:rPr>
                <w:rFonts w:ascii="Arial" w:cs="Arial" w:eastAsia="Arial" w:hAnsi="Arial"/>
                <w:sz w:val="16"/>
                <w:szCs w:val="16"/>
                <w:color w:val="auto"/>
                <w:w w:val="97"/>
              </w:rPr>
              <w:t>(8.9)%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43,558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6.9%</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ind w:right="159"/>
              <w:spacing w:after="0"/>
              <w:rPr>
                <w:sz w:val="20"/>
                <w:szCs w:val="20"/>
                <w:color w:val="auto"/>
              </w:rPr>
            </w:pPr>
            <w:r>
              <w:rPr>
                <w:rFonts w:ascii="Arial" w:cs="Arial" w:eastAsia="Arial" w:hAnsi="Arial"/>
                <w:sz w:val="16"/>
                <w:szCs w:val="16"/>
                <w:color w:val="auto"/>
                <w:w w:val="93"/>
              </w:rPr>
              <w:t>(1.7)%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64,381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87"/>
              </w:rPr>
              <w:t>5.2%</w:t>
            </w:r>
          </w:p>
        </w:tc>
        <w:tc>
          <w:tcPr>
            <w:tcW w:w="0" w:type="dxa"/>
            <w:vAlign w:val="bottom"/>
          </w:tcPr>
          <w:p>
            <w:pPr>
              <w:spacing w:after="0"/>
              <w:rPr>
                <w:sz w:val="1"/>
                <w:szCs w:val="1"/>
                <w:color w:val="auto"/>
              </w:rPr>
            </w:pPr>
          </w:p>
        </w:tc>
      </w:tr>
      <w:tr>
        <w:trPr>
          <w:trHeight w:val="205"/>
        </w:trPr>
        <w:tc>
          <w:tcPr>
            <w:tcW w:w="2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217,723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(88,558)</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11,948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(27,681)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(29,642)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729"/>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331,444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439,478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(108,034)</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81,506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(33,725)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(37,191)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2020 vs. Three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decreased $88.6 million, or 41%. Changes in foreign currency exchange rates unfavorably impacted revenues by $9.1 million, and we had lower shipments due to COVID-19 related factory closures in Europe, Middle East, and Africa (EMEA).</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decreased $108.0 million, or 25%. Changes in foreign currency exchange rates unfavorably impacted revenues by $16.7 million, and we had lower shipments due to COVID-19.</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2020 vs. Three months ended June 30, 2019</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For the three months ended June 30, 2020, gross margin was 9.3%, compared with 19.1% for the same period in 2019. The 980 basis point reduction over the prior year was primarily due to manufacturing inefficiencies.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2020 vs. Six months ended June 30, 2019</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2020, gross margin was 13.4%, compared with 18.5% for the same period in 2019. The 510 basis point reduction over the prior year was primarily due to $10.1 million of unfavorable product mix and manufacturing inefficiencies, partially offset by lower warranty expense of $0.8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2020 vs. Three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$0.2 million, or 1%, compared with 2019. The decrease was primarily related to lower sales and marketing expense of $0.4 million, partially offset by an increase of $0.2 million in research and development expense.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$0.5 million, or 2%, for the first half of 2020, compared with the same period in 2019. The decrease was primarily a result of $0.3 million lower sales and marketing expense and $0.2 million lower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324,480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355,916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(31,436)</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108,323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126,243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(17,540)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(17,920)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769"/>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665,325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692,343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(27,018)</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230,073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253,311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(22,701)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(23,238)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2020 vs. Three months ended June 30, 2019</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Revenues decreased $31.4 million, or 9%, in 2020 compared with 2019. The change was primarily due to delayed deployments driven by COVID-19, with lower product revenue of $33.1 million partially offset by higher maintenance service revenue of $1.6 million.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2020 vs. Six months ended June 30, 2019</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decreased $27.0 million, or 4%, for the first half of 2020 compared with the same period in 2019. The change was primarily due to delayed deployments driven by COVID-19, with lower product revenue of $32.0 million partially offset by higher maintenance service revenue of $5.0 million.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2020 vs. Three months ended June 30, 2019</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Gross margin was 33.4% for the period ending June 30, 2020, compared with 35.5% in 2019. The 210 basis point decrease was primarily related to higher supply chain costs.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34.6% for the 2020 period, compared with 36.6% in 2019. The 200 basis point decrease was primarily related to higher supply chain costs.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2020 vs. Three months ended June 30, 2019</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increased $2.7 million, or 10%, for the quarter in 2020, compared with the same period in 2019. The increase was primarily related to higher research and development expenses of $3.1 million, partially offset by a decrease of $0.4 million in sales and marketing expenses.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2020 vs. Six months ended June 30, 2019</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Operating expenses increased $4.1 million, or 7%, for the first half of 2020, compared with the same period in 2019. The increase was primarily related to higher research and development expenses of $4.9 million, partially offset by a decrease of $0.8 million 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vMerge w:val="restart"/>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55,949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61,398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(5,449)</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18,246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23,381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(5,135)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769"/>
        </w:trPr>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vMerge w:val="restart"/>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111,240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117,792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(6,552)</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35,695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43,660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(7,479)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(7,965)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2020 vs. Three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2020 period, revenues decreased $5.4 million, or 9%, compared with the 2019 period. This decline was driven by a decrease in software license sales.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decreased $6.6 million, or 6%, for the first half of 2020, compared with 2019. This decline was driven by a decrease in hardware and software license sales and professional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2020 vs. Three months ended June 30, 2019</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Gross margin decreased to 32.6% for the second quarter of 2020, compared with 38.1% for the same period last year. The 550 basis point decrease was driven by a less favorable product mix.</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decreased to 32.1% for the period ending in 2020, compared with 37.1% for last year. The 500 basis point decrease was driven by product mix and infrastructure investments.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2020 vs. Three months ended June 30, 2019</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Operating expenses for the 2020 period were substantially flat, compared with the same period last year, with a $0.1 million increase in research and development expense offset by lower product marketing expense.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2020 vs. Six months ended June 30,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for the first half of 2020 decreased $0.6 million, or 3%, compared with the same period last year. This was primarily related to lower product marketing expenses of $0.5 million and lower research and development expenses of $0.1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2020 vs. Three months ended June 30, 2019</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increased $33.7 million, or 35%, for the three months ended June 30, 2020 compared with the same period in 2019. This was primarily the result of a $56.9 million loss on sale of business due to the Latin America divestiture. Partially offsetting the increase were $17.8 million in reduced sales, general and administrative expenses due to lower medical and travel expenses, and a $5 million reduction in amortization of intangible assets. Acquisition and integration costs, which are classified within sales, general and administrative expenses, decreased by $8.9 million compared with the same period in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2020 vs. Six months ended June 30, 2019</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first half of 2020, corporate unallocated expenses increased $12.0 million, or 6%, compared with the 2019 period. This was primarily the result of a $56.9 million loss on sale of business due to the Latin America divestiture. The increase was offset by $29.3 million in reduced sales, general and administrative expenses due to lower medical and travel expenses, and $9.8 million in lower amortization of intangible assets. Acquisition and integration costs, which are classified within sales, general and administrative expenses, decreased by $19.1 million compared with the same period in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jc w:val="center"/>
              <w:ind w:right="37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76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2900" w:type="dxa"/>
            <w:vAlign w:val="bottom"/>
          </w:tcPr>
          <w:p>
            <w:pPr>
              <w:spacing w:after="0"/>
              <w:rPr>
                <w:sz w:val="17"/>
                <w:szCs w:val="17"/>
                <w:color w:val="auto"/>
              </w:rPr>
            </w:pPr>
          </w:p>
        </w:tc>
        <w:tc>
          <w:tcPr>
            <w:tcW w:w="3180" w:type="dxa"/>
            <w:vAlign w:val="bottom"/>
          </w:tcPr>
          <w:p>
            <w:pPr>
              <w:jc w:val="center"/>
              <w:ind w:left="2059"/>
              <w:spacing w:after="0"/>
              <w:rPr>
                <w:sz w:val="20"/>
                <w:szCs w:val="20"/>
                <w:color w:val="auto"/>
              </w:rPr>
            </w:pPr>
            <w:r>
              <w:rPr>
                <w:rFonts w:ascii="Arial" w:cs="Arial" w:eastAsia="Arial" w:hAnsi="Arial"/>
                <w:sz w:val="16"/>
                <w:szCs w:val="16"/>
                <w:b w:val="1"/>
                <w:bCs w:val="1"/>
                <w:color w:val="auto"/>
                <w:w w:val="95"/>
              </w:rPr>
              <w:t>Quarterly</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jc w:val="center"/>
              <w:ind w:right="37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760" w:type="dxa"/>
            <w:vAlign w:val="bottom"/>
          </w:tcPr>
          <w:p>
            <w:pPr>
              <w:jc w:val="center"/>
              <w:ind w:right="35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Quarter Ended</w:t>
            </w:r>
          </w:p>
        </w:tc>
        <w:tc>
          <w:tcPr>
            <w:tcW w:w="3180" w:type="dxa"/>
            <w:vAlign w:val="bottom"/>
          </w:tcPr>
          <w:p>
            <w:pPr>
              <w:jc w:val="center"/>
              <w:ind w:left="205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76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29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2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2020</w:t>
            </w:r>
          </w:p>
        </w:tc>
        <w:tc>
          <w:tcPr>
            <w:tcW w:w="3180" w:type="dxa"/>
            <w:vAlign w:val="bottom"/>
            <w:tcBorders>
              <w:bottom w:val="single" w:sz="8" w:color="CCEEFF"/>
            </w:tcBorders>
            <w:shd w:val="clear" w:color="auto" w:fill="CCEEFF"/>
          </w:tcPr>
          <w:p>
            <w:pPr>
              <w:jc w:val="right"/>
              <w:ind w:right="14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w:t>
            </w:r>
          </w:p>
        </w:tc>
        <w:tc>
          <w:tcPr>
            <w:tcW w:w="5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2,895</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1,291</w:t>
            </w:r>
          </w:p>
        </w:tc>
      </w:tr>
      <w:tr>
        <w:trPr>
          <w:trHeight w:val="224"/>
        </w:trPr>
        <w:tc>
          <w:tcPr>
            <w:tcW w:w="2900" w:type="dxa"/>
            <w:vAlign w:val="bottom"/>
          </w:tcPr>
          <w:p>
            <w:pPr>
              <w:ind w:left="20"/>
              <w:spacing w:after="0"/>
              <w:rPr>
                <w:sz w:val="20"/>
                <w:szCs w:val="20"/>
                <w:color w:val="auto"/>
              </w:rPr>
            </w:pPr>
            <w:r>
              <w:rPr>
                <w:rFonts w:ascii="Arial" w:cs="Arial" w:eastAsia="Arial" w:hAnsi="Arial"/>
                <w:sz w:val="16"/>
                <w:szCs w:val="16"/>
                <w:color w:val="auto"/>
              </w:rPr>
              <w:t>March 31, 2020</w:t>
            </w:r>
          </w:p>
        </w:tc>
        <w:tc>
          <w:tcPr>
            <w:tcW w:w="318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58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3,020</w:t>
            </w:r>
          </w:p>
        </w:tc>
        <w:tc>
          <w:tcPr>
            <w:tcW w:w="54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1,319</w:t>
            </w:r>
          </w:p>
        </w:tc>
      </w:tr>
      <w:tr>
        <w:trPr>
          <w:trHeight w:val="33"/>
        </w:trPr>
        <w:tc>
          <w:tcPr>
            <w:tcW w:w="2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3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767</w:t>
            </w:r>
          </w:p>
        </w:tc>
        <w:tc>
          <w:tcPr>
            <w:tcW w:w="5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3,207</w:t>
            </w:r>
          </w:p>
        </w:tc>
        <w:tc>
          <w:tcPr>
            <w:tcW w:w="5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w:t>
            </w: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color w:val="auto"/>
              </w:rPr>
              <w:t>September 30, 2019</w:t>
            </w:r>
          </w:p>
        </w:tc>
        <w:tc>
          <w:tcPr>
            <w:tcW w:w="318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609</w:t>
            </w:r>
          </w:p>
        </w:tc>
        <w:tc>
          <w:tcPr>
            <w:tcW w:w="58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3,063</w:t>
            </w:r>
          </w:p>
        </w:tc>
        <w:tc>
          <w:tcPr>
            <w:tcW w:w="54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1,361</w:t>
            </w:r>
          </w:p>
        </w:tc>
      </w:tr>
      <w:tr>
        <w:trPr>
          <w:trHeight w:val="33"/>
        </w:trPr>
        <w:tc>
          <w:tcPr>
            <w:tcW w:w="2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4"/>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2019</w:t>
            </w:r>
          </w:p>
        </w:tc>
        <w:tc>
          <w:tcPr>
            <w:tcW w:w="31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702</w:t>
            </w:r>
          </w:p>
        </w:tc>
        <w:tc>
          <w:tcPr>
            <w:tcW w:w="5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3,090</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1,403</w:t>
            </w:r>
          </w:p>
        </w:tc>
      </w:tr>
      <w:tr>
        <w:trPr>
          <w:trHeight w:val="33"/>
        </w:trPr>
        <w:tc>
          <w:tcPr>
            <w:tcW w:w="290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25,786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78,063</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(29,159)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(16,738)</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401,963</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(46,527)</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727</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Increase in cash, cash equivalents, and restricted cash</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394,919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cash equivalents, and restricted cash was $544.8 million at June 30, 2020, compared with $149.9 million at December 31, 2019. The $394.9 million increase in cash, cash equivalents, and restricted cash in the 2020 period was primarily the result of a $400 million draw from our credit facility in March 2020, along with cash flows from operating activities, partially offset by acquisitions of property, plant, and equipment.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Cash provided by operating activities during the six months in 2020 was $25.8 million compared with $78.1 million during the same period in 2019. The decrease was primarily due to lower net income and increased cash used for working capital, including increased variable compensation payouts.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used in investing activities during 2020 was $12.4 million higher than in 2019. This increase in use of cash was primarily related to the net cash outflow for the sale of our Latin America operations, and a $2.5 million greater investment in property, plant, and equipment.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Net cash provided by financing activities during the six months in 2020 was $402.0 million, compared with net cash used of $46.5 million for the same period in 2019. In March 2020, we drew on our revolver in the amount of $400 million to increase our cash position and preserve future financial flexibility. In 2019, we repurchased $25 million in shares of our common stock and had net repayments of debt of $22.2 million.</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June 30, 2020 was a decrease of $3.7 million, compared with an increase of $0.7 million for the same period in 2019. Our foreign currency exposure relates to non-U.S. dollar denominated balances in our international subsidiary operations.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25,786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center"/>
              <w:ind w:left="459"/>
              <w:spacing w:after="0"/>
              <w:rPr>
                <w:sz w:val="20"/>
                <w:szCs w:val="20"/>
                <w:color w:val="auto"/>
              </w:rPr>
            </w:pPr>
            <w:r>
              <w:rPr>
                <w:rFonts w:ascii="Arial" w:cs="Arial" w:eastAsia="Arial" w:hAnsi="Arial"/>
                <w:sz w:val="16"/>
                <w:szCs w:val="16"/>
                <w:color w:val="auto"/>
                <w:w w:val="93"/>
              </w:rPr>
              <w:t>78,063</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(29,049)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center"/>
              <w:ind w:left="439"/>
              <w:spacing w:after="0"/>
              <w:rPr>
                <w:sz w:val="20"/>
                <w:szCs w:val="20"/>
                <w:color w:val="auto"/>
              </w:rPr>
            </w:pPr>
            <w:r>
              <w:rPr>
                <w:rFonts w:ascii="Arial" w:cs="Arial" w:eastAsia="Arial" w:hAnsi="Arial"/>
                <w:sz w:val="16"/>
                <w:szCs w:val="16"/>
                <w:color w:val="auto"/>
                <w:w w:val="93"/>
              </w:rPr>
              <w:t>(26,511)</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w w:val="93"/>
              </w:rPr>
              <w:t>51,552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June 30, 2020 and December 31, 2019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drew $400 million in U.S. dollars under the revolving line of credit within the 2018 credit facility in March 2020. In light of the current uncertain environment, we deemed it prudent to increase our cash position and preserve future financial flexibility. The Total Net Leverage Ratio, as defined in the amended 2018 credit facility agreement, is unchanged by this drawing.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2017 and January 2018, we issued a combined $400 million in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$10 million interest payment due on July 15, 2020 was paid as of June 30, 2020. The Senior Notes are fully and unconditionally guaranteed, jointly and severally, on a senior unsecured basis by each of our subsidiaries that guarantee the 2018 credit facility.</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borrowings, refer to Item 1: "Financial Statements (Unaudited), Note 6: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For the six months ended June 30, 2020, we paid out $9.8 million and we have approximately $5 million to $10 million of estimated cash payments remaining on the integration plan, the majority of which is expected to be paid out in the next 12 months. We have recognized $0.3 million of acquisition and integration related expenses during the second quarter of 2020.</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six months ended June 30, 2020, we paid out a net $7.4 million related to the restructuring projects. As of June 30, 2020, $44.7 million was accrued for restructuring projects, of which $15.6 million is expected to be paid over the next 12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state taxes and approximately $7 million in local and foreign taxes during 2020. We expect to receive approximately $7 million in U.S. federal tax refunds. For a discussion of our tax provision and unrecognized tax benefits, see Item 1: "Financial Statements (Unaudited), Note 10: Income Taxes".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2020, there was $38.4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minority shareholders. At June 30, 2020, $3.0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8"/>
          <w:szCs w:val="18"/>
          <w:color w:val="222222"/>
        </w:rPr>
        <w:t>our dependence on certain key vendors and components,</w:t>
      </w:r>
      <w:r>
        <w:rPr>
          <w:rFonts w:ascii="Arial" w:cs="Arial" w:eastAsia="Arial" w:hAnsi="Arial"/>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2019 Annual Report, as well as "Quantitative and Qualitative Disclosures About Market Risk" within Item 3 of Part I included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consolidated financial statements and accompanying notes are prepared in accordance with U.S. GAAP. Preparing consolidated financial statements requires management to make estimates and assumptions that affect the reported amounts of assets, liabilities, revenues, and expenses. These estimates and assumptions are based on historical experience and on various other assumptions management believes to be reasonable. Actual results could differ from the amounts reported and disclosed herein. Our critical accounting policies that require the use of estimates and assumptions were discussed in detail in the 2019 Annual Report and have not changed materially.</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Non-GAAP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non-GAAP operating income </w:t>
      </w:r>
      <w:r>
        <w:rPr>
          <w:rFonts w:ascii="Arial" w:cs="Arial" w:eastAsia="Arial" w:hAnsi="Arial"/>
          <w:sz w:val="18"/>
          <w:szCs w:val="18"/>
          <w:color w:val="auto"/>
        </w:rPr>
        <w:t>– We define non-GAAP operating expenses as operating expenses excluding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amortization of intangible assets, restructuring, loss on sale of business, corporate transition cost, acquisition and integration, and goodwill impairment. We define non-GAAP operating income as operating income excluding the expenses related to the amortization of intangible assets, restructuring, loss on sale of business, corporate transition cost, acquisition and integration, and goodwill impairment. Acquisition and integration related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attributable to Itron, Inc. excluding the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amortization of intangible assets, amortization of debt placement fees, restructuring, loss on sale of business, corporate transition cost, acquisition and integration, goodwill impairment,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We define adjusted EBITDA as net income (a) minus interest income, (b) plus interest expense, depreciation and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restructuring, loss on sale of business, corporate transition cost,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2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320" w:type="dxa"/>
            <w:vAlign w:val="bottom"/>
          </w:tcPr>
          <w:p>
            <w:pPr>
              <w:spacing w:after="0"/>
              <w:rPr>
                <w:sz w:val="18"/>
                <w:szCs w:val="18"/>
                <w:color w:val="auto"/>
              </w:rPr>
            </w:pPr>
          </w:p>
        </w:tc>
        <w:tc>
          <w:tcPr>
            <w:tcW w:w="29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33"/>
        </w:trPr>
        <w:tc>
          <w:tcPr>
            <w:tcW w:w="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183,904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147,656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314,096</w:t>
            </w:r>
          </w:p>
        </w:tc>
      </w:tr>
      <w:tr>
        <w:trPr>
          <w:trHeight w:val="224"/>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(32,090)</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w:t>
            </w:r>
          </w:p>
        </w:tc>
      </w:tr>
      <w:tr>
        <w:trPr>
          <w:trHeight w:val="224"/>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(20,759)</w:t>
            </w:r>
          </w:p>
        </w:tc>
      </w:tr>
      <w:tr>
        <w:trPr>
          <w:trHeight w:val="33"/>
        </w:trPr>
        <w:tc>
          <w:tcPr>
            <w:tcW w:w="1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operating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118,187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128,041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251,234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258,598</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6"/>
                <w:szCs w:val="16"/>
                <w:color w:val="auto"/>
              </w:rPr>
              <w:t>GAAP operating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(45,387)</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43,558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(19,017)</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64,381</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32,090</w:t>
            </w:r>
          </w:p>
        </w:tc>
      </w:tr>
      <w:tr>
        <w:trPr>
          <w:trHeight w:val="224"/>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1,093</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1,556</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10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20,759</w:t>
            </w:r>
          </w:p>
        </w:tc>
      </w:tr>
      <w:tr>
        <w:trPr>
          <w:trHeight w:val="247"/>
        </w:trPr>
        <w:tc>
          <w:tcPr>
            <w:tcW w:w="100" w:type="dxa"/>
            <w:vAlign w:val="bottom"/>
          </w:tcPr>
          <w:p>
            <w:pPr>
              <w:spacing w:after="0"/>
              <w:rPr>
                <w:sz w:val="21"/>
                <w:szCs w:val="21"/>
                <w:color w:val="auto"/>
              </w:rPr>
            </w:pPr>
          </w:p>
        </w:tc>
        <w:tc>
          <w:tcPr>
            <w:tcW w:w="476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20,330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63,173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58,849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119,879</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4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3"/>
        </w:trPr>
        <w:tc>
          <w:tcPr>
            <w:tcW w:w="10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17,539</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32,090</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2,315</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1,093</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1,556</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20,759</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3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(12,862)</w:t>
            </w:r>
          </w:p>
        </w:tc>
      </w:tr>
      <w:tr>
        <w:trPr>
          <w:trHeight w:val="33"/>
        </w:trPr>
        <w:tc>
          <w:tcPr>
            <w:tcW w:w="1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24,295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62,490</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78"/>
        </w:trPr>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Non-GAAP diluted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79"/>
        </w:trPr>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4"/>
              </w:rPr>
              <w:t>Non-GAAP weighted average common shares outstanding - Diluted</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40,488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39,875</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(62,802)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19,446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(54,118)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17,539</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11,684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22,961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27,031</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14,540</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24,199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28,641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57,068</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1,093</w:t>
            </w: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56,915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1,556</w:t>
            </w:r>
          </w:p>
        </w:tc>
      </w:tr>
      <w:tr>
        <w:trPr>
          <w:trHeight w:val="224"/>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3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20,759</w:t>
            </w:r>
          </w:p>
        </w:tc>
      </w:tr>
      <w:tr>
        <w:trPr>
          <w:trHeight w:val="33"/>
        </w:trPr>
        <w:tc>
          <w:tcPr>
            <w:tcW w:w="1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2"/>
        </w:trPr>
        <w:tc>
          <w:tcPr>
            <w:tcW w:w="10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31,201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72,966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83,174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138,724</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6,892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53,139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25,786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78,063</w:t>
            </w:r>
          </w:p>
        </w:tc>
      </w:tr>
      <w:tr>
        <w:trPr>
          <w:trHeight w:val="3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10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(26,511)</w:t>
            </w:r>
          </w:p>
        </w:tc>
      </w:tr>
      <w:tr>
        <w:trPr>
          <w:trHeight w:val="247"/>
        </w:trPr>
        <w:tc>
          <w:tcPr>
            <w:tcW w:w="100" w:type="dxa"/>
            <w:vAlign w:val="bottom"/>
          </w:tcPr>
          <w:p>
            <w:pPr>
              <w:spacing w:after="0"/>
              <w:rPr>
                <w:sz w:val="21"/>
                <w:szCs w:val="21"/>
                <w:color w:val="auto"/>
              </w:rPr>
            </w:pPr>
          </w:p>
        </w:tc>
        <w:tc>
          <w:tcPr>
            <w:tcW w:w="4760" w:type="dxa"/>
            <w:vAlign w:val="bottom"/>
          </w:tcPr>
          <w:p>
            <w:pPr>
              <w:ind w:left="200"/>
              <w:spacing w:after="0"/>
              <w:rPr>
                <w:sz w:val="20"/>
                <w:szCs w:val="20"/>
                <w:color w:val="auto"/>
              </w:rPr>
            </w:pPr>
            <w:r>
              <w:rPr>
                <w:rFonts w:ascii="Arial" w:cs="Arial" w:eastAsia="Arial" w:hAnsi="Arial"/>
                <w:sz w:val="16"/>
                <w:szCs w:val="16"/>
                <w:color w:val="auto"/>
              </w:rPr>
              <w:t>Free Cash Flow</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(9,555)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38,043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(3,263)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51,552</w:t>
            </w:r>
          </w:p>
        </w:tc>
      </w:tr>
      <w:tr>
        <w:trPr>
          <w:trHeight w:val="23"/>
        </w:trPr>
        <w:tc>
          <w:tcPr>
            <w:tcW w:w="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interest rate risk through our variable rate debt instruments. In March 2020, we entered into an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our term loan. At June 30, 2020, our LIBOR-based debt balance was $950.2 million.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2020. Weighted average variable rates in the table are based on implied forward rates in the Reuters U.S. dollar yield curve as of June 30, 2020 and our estimated leverage ratio, which determines our additional interest rate margin at June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20"/>
              <w:spacing w:after="0"/>
              <w:rPr>
                <w:sz w:val="20"/>
                <w:szCs w:val="20"/>
                <w:color w:val="auto"/>
              </w:rPr>
            </w:pPr>
            <w:r>
              <w:rPr>
                <w:rFonts w:ascii="Arial" w:cs="Arial" w:eastAsia="Arial" w:hAnsi="Arial"/>
                <w:sz w:val="16"/>
                <w:szCs w:val="16"/>
                <w:i w:val="1"/>
                <w:iCs w:val="1"/>
                <w:color w:val="auto"/>
              </w:rPr>
              <w:t>Variable Rate Debt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429,608</w:t>
            </w: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532,090</w:t>
            </w:r>
          </w:p>
        </w:tc>
        <w:tc>
          <w:tcPr>
            <w:tcW w:w="0" w:type="dxa"/>
            <w:vAlign w:val="bottom"/>
          </w:tcPr>
          <w:p>
            <w:pPr>
              <w:spacing w:after="0"/>
              <w:rPr>
                <w:sz w:val="1"/>
                <w:szCs w:val="1"/>
                <w:color w:val="auto"/>
              </w:rPr>
            </w:pPr>
          </w:p>
        </w:tc>
      </w:tr>
      <w:tr>
        <w:trPr>
          <w:trHeight w:val="254"/>
        </w:trPr>
        <w:tc>
          <w:tcPr>
            <w:tcW w:w="2760" w:type="dxa"/>
            <w:vAlign w:val="bottom"/>
          </w:tcPr>
          <w:p>
            <w:pPr>
              <w:ind w:left="100"/>
              <w:spacing w:after="0"/>
              <w:rPr>
                <w:sz w:val="20"/>
                <w:szCs w:val="20"/>
                <w:color w:val="auto"/>
              </w:rPr>
            </w:pPr>
            <w:r>
              <w:rPr>
                <w:rFonts w:ascii="Arial" w:cs="Arial" w:eastAsia="Arial" w:hAnsi="Arial"/>
                <w:sz w:val="16"/>
                <w:szCs w:val="16"/>
                <w:color w:val="auto"/>
              </w:rPr>
              <w:t>Weighted average interest rate</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00"/>
              <w:spacing w:after="0" w:line="166" w:lineRule="exact"/>
              <w:rPr>
                <w:sz w:val="20"/>
                <w:szCs w:val="20"/>
                <w:color w:val="auto"/>
              </w:rPr>
            </w:pPr>
            <w:r>
              <w:rPr>
                <w:rFonts w:ascii="Arial" w:cs="Arial" w:eastAsia="Arial" w:hAnsi="Arial"/>
                <w:sz w:val="16"/>
                <w:szCs w:val="16"/>
                <w:color w:val="auto"/>
              </w:rPr>
              <w:t>Principal: Multicurrency revolving line</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400,000</w:t>
            </w:r>
          </w:p>
        </w:tc>
        <w:tc>
          <w:tcPr>
            <w:tcW w:w="5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385,272</w:t>
            </w:r>
          </w:p>
        </w:tc>
        <w:tc>
          <w:tcPr>
            <w:tcW w:w="0" w:type="dxa"/>
            <w:vAlign w:val="bottom"/>
          </w:tcPr>
          <w:p>
            <w:pPr>
              <w:spacing w:after="0"/>
              <w:rPr>
                <w:sz w:val="1"/>
                <w:szCs w:val="1"/>
                <w:color w:val="auto"/>
              </w:rPr>
            </w:pPr>
          </w:p>
        </w:tc>
      </w:tr>
      <w:tr>
        <w:trPr>
          <w:trHeight w:val="209"/>
        </w:trPr>
        <w:tc>
          <w:tcPr>
            <w:tcW w:w="2760" w:type="dxa"/>
            <w:vAlign w:val="bottom"/>
          </w:tcPr>
          <w:p>
            <w:pPr>
              <w:ind w:left="360"/>
              <w:spacing w:after="0"/>
              <w:rPr>
                <w:sz w:val="20"/>
                <w:szCs w:val="20"/>
                <w:color w:val="auto"/>
              </w:rPr>
            </w:pPr>
            <w:r>
              <w:rPr>
                <w:rFonts w:ascii="Arial" w:cs="Arial" w:eastAsia="Arial" w:hAnsi="Arial"/>
                <w:sz w:val="16"/>
                <w:szCs w:val="16"/>
                <w:color w:val="auto"/>
              </w:rPr>
              <w:t>of credit</w:t>
            </w:r>
          </w:p>
        </w:tc>
        <w:tc>
          <w:tcPr>
            <w:tcW w:w="3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interest rate</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340"/>
              <w:spacing w:after="0"/>
              <w:rPr>
                <w:sz w:val="20"/>
                <w:szCs w:val="20"/>
                <w:color w:val="auto"/>
              </w:rPr>
            </w:pPr>
            <w:r>
              <w:rPr>
                <w:rFonts w:ascii="Arial" w:cs="Arial" w:eastAsia="Arial" w:hAnsi="Arial"/>
                <w:sz w:val="16"/>
                <w:szCs w:val="16"/>
                <w:color w:val="auto"/>
                <w:w w:val="92"/>
              </w:rPr>
              <w:t>Weighted average interest rate (pay)</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40"/>
              <w:spacing w:after="0"/>
              <w:rPr>
                <w:sz w:val="20"/>
                <w:szCs w:val="20"/>
                <w:color w:val="auto"/>
              </w:rPr>
            </w:pPr>
            <w:r>
              <w:rPr>
                <w:rFonts w:ascii="Arial" w:cs="Arial" w:eastAsia="Arial" w:hAnsi="Arial"/>
                <w:sz w:val="16"/>
                <w:szCs w:val="16"/>
                <w:color w:val="auto"/>
              </w:rPr>
              <w:t>Fixed</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(receive) Floating LIBOR</w:t>
            </w: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Cross currency swap</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60" w:type="dxa"/>
            <w:vAlign w:val="bottom"/>
          </w:tcPr>
          <w:p>
            <w:pPr>
              <w:ind w:left="340"/>
              <w:spacing w:after="0"/>
              <w:rPr>
                <w:sz w:val="20"/>
                <w:szCs w:val="20"/>
                <w:color w:val="auto"/>
              </w:rPr>
            </w:pPr>
            <w:r>
              <w:rPr>
                <w:rFonts w:ascii="Arial" w:cs="Arial" w:eastAsia="Arial" w:hAnsi="Arial"/>
                <w:sz w:val="16"/>
                <w:szCs w:val="16"/>
                <w:color w:val="auto"/>
                <w:w w:val="92"/>
              </w:rPr>
              <w:t>Weighted average interest rate (pay)</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40"/>
              <w:spacing w:after="0"/>
              <w:rPr>
                <w:sz w:val="20"/>
                <w:szCs w:val="20"/>
                <w:color w:val="auto"/>
              </w:rPr>
            </w:pPr>
            <w:r>
              <w:rPr>
                <w:rFonts w:ascii="Arial" w:cs="Arial" w:eastAsia="Arial" w:hAnsi="Arial"/>
                <w:sz w:val="16"/>
                <w:szCs w:val="16"/>
                <w:color w:val="auto"/>
              </w:rPr>
              <w:t>Fixed - EURIBOR</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(receive) Floating - LIBOR</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2020, we estimate that, if market interest rates average one percentage point higher in 2020 than in the table above, our financial results in 2020 would not be materially impacted.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31% and 35% of total revenues for the three and six months ended June 30, 2020 compared with 36% and 37% for the same respective periods in 2019.</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2020, a total of 50 contracts were offsetting our exposures from the euro, Canadian dollar, Chinese yuan, Mexican peso, Pound Sterling and various other currencies, with notional amounts ranging from $111,000 to $26.4 million. Based on a sensitivity analysis as of June 30, 2020, we estimate that, if foreign currency exchange rates average ten percentage points higher in 2020 for these financial instruments, our financial results in 2020 would not be materially impacted.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2020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list of Risk Factors, refer to Item 1A: "Risk Factors" of Part I of our Annual Report on Form 10-K for the fiscal year ended December 31, 2019, which was filed with the Securities and Exchange Commission on February 27, 2020.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have been and will continue to be affected by the ongoing COVID-19 pandemic, and such effects could have an adverse effect on our business operations, results of operations, cash flows, and financial condition.</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 operations. The COVID-19 pandemic has created significant volatility, uncertainty, and economic disruption, which may materially and adversely affect our business operations, cash flows, and financial condition.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of the virus on third parties on which we rely, such as our suppliers, contract manufacturers, distributors, and strategic partners, cannot be fully known or controlled by us. As a result, we may experience difficulties sourcing components and other critical inventory.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company is also taking measures, both voluntary and as a result of government directives and guidance, to mitigate the effects of the COVID-19 pandemic on us and others. These measures include, among others, restrictions on our employees' access to our physical work locations and the purchase of personal protective equipment. Additionally, we may implement the temporary closure or reduction in operations of certain of our manufacturing facilities, which is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full extent to which the COVID-19 pandemic impacts us depends on numerous evolving factors and future developments that we are not able to predict at this time, including: medical advancements to treat or stop the virus, governmental, business, and other actions (which could include limitations on our operations to provide products or services); the duration of the outbreak and the related limitations on our ability to conduct business; or the length of time and velocity at which we will return to more normalized operations. In addition, we cannot predict the impact that COVID-19 will have on our customers, vendors, strategic partners, and other business partners, and each of their financial conditions; however, any material effect on these parties could materially and adversely impact us. The impact of COVID-19 may also include possible impairment or other charges and may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Average Price Paid</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right"/>
              <w:ind w:right="19"/>
              <w:spacing w:after="0" w:line="216" w:lineRule="exact"/>
              <w:rPr>
                <w:sz w:val="20"/>
                <w:szCs w:val="20"/>
                <w:color w:val="auto"/>
              </w:rPr>
            </w:pPr>
            <w:r>
              <w:rPr>
                <w:rFonts w:ascii="Arial" w:cs="Arial" w:eastAsia="Arial" w:hAnsi="Arial"/>
                <w:sz w:val="16"/>
                <w:szCs w:val="16"/>
                <w:b w:val="1"/>
                <w:bCs w:val="1"/>
                <w:color w:val="auto"/>
                <w:w w:val="90"/>
              </w:rPr>
              <w:t xml:space="preserve">Shares Purchased </w:t>
            </w:r>
            <w:r>
              <w:rPr>
                <w:rFonts w:ascii="Arial" w:cs="Arial" w:eastAsia="Arial" w:hAnsi="Arial"/>
                <w:sz w:val="21"/>
                <w:szCs w:val="21"/>
                <w:b w:val="1"/>
                <w:bCs w:val="1"/>
                <w:color w:val="auto"/>
                <w:w w:val="90"/>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473"/>
        </w:trPr>
        <w:tc>
          <w:tcPr>
            <w:tcW w:w="4580" w:type="dxa"/>
            <w:vAlign w:val="bottom"/>
          </w:tcPr>
          <w:p>
            <w:pPr>
              <w:ind w:left="20"/>
              <w:spacing w:after="0"/>
              <w:rPr>
                <w:sz w:val="20"/>
                <w:szCs w:val="20"/>
                <w:color w:val="auto"/>
              </w:rPr>
            </w:pPr>
            <w:r>
              <w:rPr>
                <w:rFonts w:ascii="Arial" w:cs="Arial" w:eastAsia="Arial" w:hAnsi="Arial"/>
                <w:sz w:val="16"/>
                <w:szCs w:val="16"/>
                <w:color w:val="auto"/>
              </w:rPr>
              <w:t>April 1, 2020 through April 30,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May 1, 2020 through May 31,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9,045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62.63</w:t>
            </w:r>
          </w:p>
        </w:tc>
        <w:tc>
          <w:tcPr>
            <w:tcW w:w="0" w:type="dxa"/>
            <w:vAlign w:val="bottom"/>
          </w:tcPr>
          <w:p>
            <w:pPr>
              <w:spacing w:after="0"/>
              <w:rPr>
                <w:sz w:val="1"/>
                <w:szCs w:val="1"/>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6"/>
                <w:szCs w:val="16"/>
                <w:color w:val="auto"/>
              </w:rPr>
              <w:t>June 1, 2020 through June 30,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580" w:type="dxa"/>
            <w:vAlign w:val="bottom"/>
          </w:tcPr>
          <w:p>
            <w:pPr>
              <w:ind w:left="2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Plans or</w:t>
            </w:r>
          </w:p>
        </w:tc>
        <w:tc>
          <w:tcPr>
            <w:tcW w:w="10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r>
      <w:tr>
        <w:trPr>
          <w:trHeight w:val="33"/>
        </w:trPr>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ind w:left="1180"/>
              <w:spacing w:after="0"/>
              <w:rPr>
                <w:sz w:val="20"/>
                <w:szCs w:val="20"/>
                <w:color w:val="auto"/>
              </w:rPr>
            </w:pPr>
            <w:r>
              <w:rPr>
                <w:rFonts w:ascii="Arial" w:cs="Arial" w:eastAsia="Arial" w:hAnsi="Arial"/>
                <w:sz w:val="16"/>
                <w:szCs w:val="16"/>
                <w:color w:val="auto"/>
              </w:rPr>
              <w:t>—</w:t>
            </w:r>
          </w:p>
        </w:tc>
      </w:tr>
      <w:tr>
        <w:trPr>
          <w:trHeight w:val="33"/>
        </w:trPr>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100"/>
            <w:col w:w="3280"/>
          </w:cols>
          <w:pgMar w:left="320" w:top="125" w:right="339" w:bottom="1440" w:gutter="0" w:footer="0" w:header="0"/>
        </w:sectPr>
      </w:pPr>
    </w:p>
    <w:p>
      <w:pPr>
        <w:spacing w:after="0" w:line="141" w:lineRule="exact"/>
        <w:rPr>
          <w:sz w:val="20"/>
          <w:szCs w:val="20"/>
          <w:color w:val="auto"/>
        </w:rPr>
      </w:pPr>
    </w:p>
    <w:p>
      <w:pPr>
        <w:ind w:left="340" w:right="20" w:hanging="332"/>
        <w:spacing w:after="0" w:line="22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w:t>
      </w:r>
    </w:p>
    <w:p>
      <w:pPr>
        <w:spacing w:after="0" w:line="1"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commissions.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2020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9840" w:type="dxa"/>
            <w:vAlign w:val="bottom"/>
          </w:tcPr>
          <w:p>
            <w:pPr>
              <w:spacing w:after="0"/>
              <w:rPr>
                <w:sz w:val="20"/>
                <w:szCs w:val="20"/>
                <w:color w:val="auto"/>
              </w:rPr>
            </w:pPr>
          </w:p>
        </w:tc>
      </w:tr>
      <w:tr>
        <w:trPr>
          <w:trHeight w:val="76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40" w:type="dxa"/>
            <w:vAlign w:val="bottom"/>
          </w:tcPr>
          <w:p>
            <w:pPr>
              <w:spacing w:after="0"/>
              <w:rPr>
                <w:sz w:val="24"/>
                <w:szCs w:val="24"/>
                <w:color w:val="auto"/>
              </w:rPr>
            </w:pPr>
          </w:p>
        </w:tc>
      </w:tr>
      <w:tr>
        <w:trPr>
          <w:trHeight w:val="495"/>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840" w:type="dxa"/>
            <w:vAlign w:val="bottom"/>
          </w:tcPr>
          <w:p>
            <w:pPr>
              <w:spacing w:after="0"/>
              <w:rPr>
                <w:sz w:val="24"/>
                <w:szCs w:val="24"/>
                <w:color w:val="auto"/>
              </w:rPr>
            </w:pPr>
          </w:p>
        </w:tc>
      </w:tr>
      <w:tr>
        <w:trPr>
          <w:trHeight w:val="234"/>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493"/>
        </w:trPr>
        <w:tc>
          <w:tcPr>
            <w:tcW w:w="1220" w:type="dxa"/>
            <w:vAlign w:val="bottom"/>
          </w:tcPr>
          <w:p>
            <w:pPr>
              <w:ind w:left="5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Section 302 of the Sarbanes-Oxley Act of 2002.</w:t>
              </w:r>
            </w:hyperlink>
          </w:p>
        </w:tc>
      </w:tr>
      <w:tr>
        <w:trPr>
          <w:trHeight w:val="540"/>
        </w:trPr>
        <w:tc>
          <w:tcPr>
            <w:tcW w:w="1220" w:type="dxa"/>
            <w:vAlign w:val="bottom"/>
          </w:tcPr>
          <w:p>
            <w:pPr>
              <w:ind w:left="5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Pursuant to Section 302 of the Sarbanes-Oxley Act of 2002.</w:t>
              </w:r>
            </w:hyperlink>
          </w:p>
        </w:tc>
      </w:tr>
      <w:tr>
        <w:trPr>
          <w:trHeight w:val="540"/>
        </w:trPr>
        <w:tc>
          <w:tcPr>
            <w:tcW w:w="1220" w:type="dxa"/>
            <w:vAlign w:val="bottom"/>
          </w:tcPr>
          <w:p>
            <w:pPr>
              <w:ind w:left="5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Certification Pursuant to Section 906 of the Sarbanes-Oxley Act of 2002.</w:t>
              </w:r>
            </w:hyperlink>
          </w:p>
        </w:tc>
      </w:tr>
    </w:tbl>
    <w:p>
      <w:pPr>
        <w:spacing w:after="0" w:line="310" w:lineRule="exact"/>
        <w:rPr>
          <w:sz w:val="20"/>
          <w:szCs w:val="20"/>
          <w:color w:val="auto"/>
        </w:rPr>
      </w:pPr>
    </w:p>
    <w:p>
      <w:pPr>
        <w:jc w:val="both"/>
        <w:ind w:left="1400" w:right="20" w:hanging="920"/>
        <w:spacing w:after="0" w:line="279" w:lineRule="auto"/>
        <w:tabs>
          <w:tab w:leader="none" w:pos="1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June 30, 2020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9" w:lineRule="exact"/>
        <w:rPr>
          <w:sz w:val="20"/>
          <w:szCs w:val="20"/>
          <w:color w:val="auto"/>
        </w:rPr>
      </w:pPr>
    </w:p>
    <w:p>
      <w:pPr>
        <w:ind w:left="1400" w:hanging="920"/>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526"/>
        </w:trPr>
        <w:tc>
          <w:tcPr>
            <w:tcW w:w="3600" w:type="dxa"/>
            <w:vAlign w:val="bottom"/>
          </w:tcPr>
          <w:p>
            <w:pPr>
              <w:jc w:val="center"/>
              <w:spacing w:after="0"/>
              <w:rPr>
                <w:sz w:val="20"/>
                <w:szCs w:val="20"/>
                <w:color w:val="auto"/>
              </w:rPr>
            </w:pPr>
            <w:r>
              <w:rPr>
                <w:rFonts w:ascii="Arial" w:cs="Arial" w:eastAsia="Arial" w:hAnsi="Arial"/>
                <w:sz w:val="18"/>
                <w:szCs w:val="18"/>
                <w:color w:val="auto"/>
                <w:w w:val="90"/>
              </w:rPr>
              <w:t>August 3, 2020</w:t>
            </w:r>
          </w:p>
        </w:tc>
        <w:tc>
          <w:tcPr>
            <w:tcW w:w="1260" w:type="dxa"/>
            <w:vAlign w:val="bottom"/>
          </w:tcPr>
          <w:p>
            <w:pPr>
              <w:ind w:left="540"/>
              <w:spacing w:after="0"/>
              <w:rPr>
                <w:sz w:val="20"/>
                <w:szCs w:val="20"/>
                <w:color w:val="auto"/>
              </w:rPr>
            </w:pPr>
            <w:r>
              <w:rPr>
                <w:rFonts w:ascii="Arial" w:cs="Arial" w:eastAsia="Arial" w:hAnsi="Arial"/>
                <w:sz w:val="18"/>
                <w:szCs w:val="18"/>
                <w:color w:val="auto"/>
              </w:rPr>
              <w:t>By:</w:t>
            </w:r>
          </w:p>
        </w:tc>
        <w:tc>
          <w:tcPr>
            <w:tcW w:w="6360" w:type="dxa"/>
            <w:vAlign w:val="bottom"/>
          </w:tcPr>
          <w:p>
            <w:pPr>
              <w:jc w:val="center"/>
              <w:spacing w:after="0"/>
              <w:rPr>
                <w:sz w:val="20"/>
                <w:szCs w:val="20"/>
                <w:color w:val="auto"/>
              </w:rPr>
            </w:pPr>
            <w:r>
              <w:rPr>
                <w:rFonts w:ascii="Arial" w:cs="Arial" w:eastAsia="Arial" w:hAnsi="Arial"/>
                <w:sz w:val="18"/>
                <w:szCs w:val="18"/>
                <w:color w:val="auto"/>
                <w:w w:val="92"/>
              </w:rPr>
              <w:t>/s/ JOAN S. HOOPER</w:t>
            </w:r>
          </w:p>
        </w:tc>
      </w:tr>
      <w:tr>
        <w:trPr>
          <w:trHeight w:val="27"/>
        </w:trPr>
        <w:tc>
          <w:tcPr>
            <w:tcW w:w="36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0"/>
              </w:rPr>
              <w:t>Joan S. Hooper</w:t>
            </w:r>
          </w:p>
        </w:tc>
      </w:tr>
      <w:tr>
        <w:trPr>
          <w:trHeight w:val="270"/>
        </w:trPr>
        <w:tc>
          <w:tcPr>
            <w:tcW w:w="3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0"/>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54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Thomas L. Deitrich</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2020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700" w:hanging="24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7"/>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August 3, 2020</w:t>
            </w:r>
          </w:p>
        </w:tc>
      </w:tr>
      <w:tr>
        <w:trPr>
          <w:trHeight w:val="27"/>
        </w:trPr>
        <w:tc>
          <w:tcPr>
            <w:tcW w:w="5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18"/>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Thomas L. Deitrich</w:t>
            </w:r>
          </w:p>
        </w:tc>
        <w:tc>
          <w:tcPr>
            <w:tcW w:w="3340" w:type="dxa"/>
            <w:vAlign w:val="bottom"/>
          </w:tcPr>
          <w:p>
            <w:pPr>
              <w:spacing w:after="0"/>
              <w:rPr>
                <w:sz w:val="18"/>
                <w:szCs w:val="18"/>
                <w:color w:val="auto"/>
              </w:rPr>
            </w:pPr>
          </w:p>
        </w:tc>
      </w:tr>
      <w:tr>
        <w:trPr>
          <w:trHeight w:val="234"/>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August 3, 2020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Joan S. Hooper</w:t>
            </w: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26"/>
        </w:trPr>
        <w:tc>
          <w:tcPr>
            <w:tcW w:w="602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90"/>
              </w:rPr>
              <w:t>Senior Vice President and Chief Financial Officer</w:t>
            </w: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20" w:type="dxa"/>
            <w:vAlign w:val="bottom"/>
            <w:gridSpan w:val="2"/>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2020-08-04T05:11:22Z</dcterms:created>
  <dcterms:modified xsi:type="dcterms:W3CDTF">2020-08-04T05:11:22Z</dcterms:modified>
</cp:coreProperties>
</file>