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380" w:right="100"/>
        <w:spacing w:after="0" w:line="277" w:lineRule="auto"/>
        <w:rPr>
          <w:sz w:val="20"/>
          <w:szCs w:val="20"/>
          <w:color w:val="auto"/>
        </w:rPr>
      </w:pPr>
      <w:r>
        <w:rPr>
          <w:rFonts w:ascii="Arial" w:cs="Arial" w:eastAsia="Arial" w:hAnsi="Arial"/>
          <w:sz w:val="18"/>
          <w:szCs w:val="18"/>
          <w:color w:val="auto"/>
        </w:rPr>
        <w:t>On April 27, 2011, Itron, Inc. (the Company) issued a press release announcing their financial results for the three months ending March 31, 2011.</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940" w:hanging="527"/>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27, 2011.</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800" w:val="left"/>
          <w:tab w:leader="none" w:pos="572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27, 2011.</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First Quarter 2011 Results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LIBERTY LAKE, Wash.--(BUSINESS WIRE)--April 27, 2011--Itron, Inc. (NASDAQ:ITRI) today reported financial results for its first quarter ended March 31, 2011. Highlights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revenues of $564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GAAP diluted EPS of 66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non-GAAP diluted EPS of 99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non-GAAP operating income of $66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non-GAAP operating margin of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bookings of $681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Record total backlog of $1.75 billion and twelve-month backlog of $989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“We had a great start to the year driven by the continued global success of our advanced solutions for electric, gas and water utilities,” said Malcolm Unsworth, president and CEO. “We ended the quarter with a record backlog of $1.75 billion as a result of very strong bookings, and also improved our operating margin. And we are implementing a new global reorganization to position ourselves to aggressively grow our business and profitability going forward.”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Operations Highlights:</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Revenues increased $66 million, or 13.3%, for the quarter compared to the same period in 2010. North America revenues increased $35.4 million, or 14.7%, over the prior year period primarily due to higher shipments of OpenWay meters and modules. Approximately 1.1 million OpenWay units were shipped in the quarter. International revenues increased $30.6 million, or 12.0%, over the prior year period primarily due to increased gas and water advanced metering projects. International’s first quarter revenue included a $3 million favorable effect from foreign currency exchange rates.</w:t>
      </w:r>
    </w:p>
    <w:p>
      <w:pPr>
        <w:spacing w:after="0" w:line="17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Bookings for the quarter included $268 million for a contract with BC Hydro for an end-to-end Itron smart metering solution including OpenWay meters, radio frequency (RF) mesh network with network concentrators, data collection engine and meter data management software.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Gross margin for the quarter was 32.7% which was 1.1% higher than the prior year period due primarily to OpenWay systems in North America. Despite higher material costs, International maintained its gross margin due to a more favorable product mix. Gross margin was also impacted by both a warranty charge of $7.7 million related to product in Brazil and an $8.6 million gain resulting from the recovery of a separate warranty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160"/>
        <w:spacing w:after="0" w:line="287" w:lineRule="auto"/>
        <w:rPr>
          <w:sz w:val="20"/>
          <w:szCs w:val="20"/>
          <w:color w:val="auto"/>
        </w:rPr>
      </w:pPr>
      <w:r>
        <w:rPr>
          <w:rFonts w:ascii="Arial" w:cs="Arial" w:eastAsia="Arial" w:hAnsi="Arial"/>
          <w:sz w:val="19"/>
          <w:szCs w:val="19"/>
          <w:color w:val="auto"/>
        </w:rPr>
        <w:t>Non-GAAP operating income for the first quarter increased $16.3 million, or 33%, over the same 2010 period primarily due to increased revenue and gross margin. Operating expenses, excluding amortization of intangibles, were $118.4 million, or 21.0% of revenue, for the quarter compared to $107.6 million, or 21.6% of revenue, in the prior year. The increase was due primarily to increased marketing activity as well as continued investment in research and development for new and enhanced products.</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Net income for the first quarter was $27.1 million, or 66 cents per share, compared with net income of $25.3 million, or 62 cents per share in the same period in 2010. Tax expense for the first quarter increased over $18 million as compared with the same period in 2010. The first quarter of 2011 included minimal discrete tax benefits compared with 2010 which included approximately $11 million, or 26 cents, of discrete tax benefits. Despite the increase in tax expense, net income increased over the prior year period primarily due to higher operating income in our North America segment.</w:t>
      </w:r>
    </w:p>
    <w:p>
      <w:pPr>
        <w:spacing w:after="0" w:line="179" w:lineRule="exact"/>
        <w:rPr>
          <w:sz w:val="20"/>
          <w:szCs w:val="20"/>
          <w:color w:val="auto"/>
        </w:rPr>
      </w:pPr>
    </w:p>
    <w:p>
      <w:pPr>
        <w:ind w:right="660"/>
        <w:spacing w:after="0" w:line="328" w:lineRule="auto"/>
        <w:rPr>
          <w:sz w:val="20"/>
          <w:szCs w:val="20"/>
          <w:color w:val="auto"/>
        </w:rPr>
      </w:pPr>
      <w:r>
        <w:rPr>
          <w:rFonts w:ascii="Arial" w:cs="Arial" w:eastAsia="Arial" w:hAnsi="Arial"/>
          <w:sz w:val="19"/>
          <w:szCs w:val="19"/>
          <w:color w:val="auto"/>
        </w:rPr>
        <w:t>Free cash flow for the first quarter decreased $25 million compared with the same period in 2010 primarily due to increased incentive plan compensation payments. During the first quarter of 2011, we made over $50 million in debt repayments.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particularly those associated with acquisitions. We exclude certain infrequent costs, particularly those associated with acquisitions, in our non-GAAP financial measures as we believe the net result is a measure of our core business.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 xml:space="preserve">Itron will host a conference call to discuss the financial results contained in this release at 2:00 p.m. (PDT) on April 27, 2011. The call will be webcast in a listen only mode. Webcast information and conference call materials will be made available in the </w:t>
      </w:r>
      <w:r>
        <w:rPr>
          <w:rFonts w:ascii="Arial" w:cs="Arial" w:eastAsia="Arial" w:hAnsi="Arial"/>
          <w:sz w:val="21"/>
          <w:szCs w:val="21"/>
          <w:i w:val="1"/>
          <w:iCs w:val="1"/>
          <w:color w:val="auto"/>
        </w:rPr>
        <w:t xml:space="preserve">“Investors/Investor Events” </w:t>
      </w:r>
      <w:r>
        <w:rPr>
          <w:rFonts w:ascii="Arial" w:cs="Arial" w:eastAsia="Arial" w:hAnsi="Arial"/>
          <w:sz w:val="21"/>
          <w:szCs w:val="21"/>
          <w:color w:val="auto"/>
        </w:rPr>
        <w:t>section of Itron’s website (</w:t>
      </w:r>
      <w:r>
        <w:rPr>
          <w:rFonts w:ascii="Arial" w:cs="Arial" w:eastAsia="Arial" w:hAnsi="Arial"/>
          <w:sz w:val="21"/>
          <w:szCs w:val="21"/>
          <w:u w:val="single" w:color="auto"/>
          <w:color w:val="auto"/>
        </w:rPr>
        <w:t>www.itron.com</w:t>
      </w:r>
      <w:r>
        <w:rPr>
          <w:rFonts w:ascii="Arial" w:cs="Arial" w:eastAsia="Arial" w:hAnsi="Arial"/>
          <w:sz w:val="21"/>
          <w:szCs w:val="21"/>
          <w:color w:val="auto"/>
        </w:rPr>
        <w:t>) prior to the start of the call. The webcast replay will begin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21"/>
          <w:szCs w:val="21"/>
          <w:b w:val="1"/>
          <w:bCs w:val="1"/>
          <w:color w:val="auto"/>
        </w:rPr>
        <w:t>(888) 203-1112 (Domestic)</w:t>
      </w:r>
      <w:r>
        <w:rPr>
          <w:rFonts w:ascii="Arial" w:cs="Arial" w:eastAsia="Arial" w:hAnsi="Arial"/>
          <w:sz w:val="21"/>
          <w:szCs w:val="21"/>
          <w:color w:val="auto"/>
        </w:rPr>
        <w:t xml:space="preserve"> or </w:t>
      </w:r>
      <w:r>
        <w:rPr>
          <w:rFonts w:ascii="Arial" w:cs="Arial" w:eastAsia="Arial" w:hAnsi="Arial"/>
          <w:sz w:val="21"/>
          <w:szCs w:val="21"/>
          <w:b w:val="1"/>
          <w:bCs w:val="1"/>
          <w:color w:val="auto"/>
        </w:rPr>
        <w:t>(719) 457-0820 (International)</w:t>
      </w:r>
      <w:r>
        <w:rPr>
          <w:rFonts w:ascii="Arial" w:cs="Arial" w:eastAsia="Arial" w:hAnsi="Arial"/>
          <w:sz w:val="21"/>
          <w:szCs w:val="21"/>
          <w:color w:val="auto"/>
        </w:rPr>
        <w:t xml:space="preserve">, entering passcode </w:t>
      </w:r>
      <w:r>
        <w:rPr>
          <w:rFonts w:ascii="Arial" w:cs="Arial" w:eastAsia="Arial" w:hAnsi="Arial"/>
          <w:sz w:val="21"/>
          <w:szCs w:val="21"/>
          <w:b w:val="1"/>
          <w:bCs w:val="1"/>
          <w:color w:val="auto"/>
        </w:rPr>
        <w:t>#5550136.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 xml:space="preserve">At Itron, we’re dedicated to delivering end-to-end smart grid and smart distribution solutions to electric, gas and water utilities around the globe. Our company is the world’s leading provider of smart metering, data collection and utility software systems, with nearly 8,000 utilities worldwide relying on our technology to optimize the delivery and use of energy and water. Our offerings include electricity, gas, water and heat meters; network communication technology; collection systems and related software applications; and professional services. To realize your smarter energy and water future, start here: </w:t>
      </w:r>
      <w:r>
        <w:rPr>
          <w:rFonts w:ascii="Arial" w:cs="Arial" w:eastAsia="Arial" w:hAnsi="Arial"/>
          <w:sz w:val="19"/>
          <w:szCs w:val="19"/>
          <w:u w:val="single" w:color="auto"/>
          <w:color w:val="auto"/>
        </w:rPr>
        <w:t>www.itron.com</w:t>
      </w:r>
      <w:r>
        <w:rPr>
          <w:rFonts w:ascii="Arial" w:cs="Arial" w:eastAsia="Arial" w:hAnsi="Arial"/>
          <w:sz w:val="19"/>
          <w:szCs w:val="19"/>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contact: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Ranny Dwiggins,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Investor Relations</w:t>
      </w:r>
    </w:p>
    <w:p>
      <w:pPr>
        <w:spacing w:after="0" w:line="15" w:lineRule="exact"/>
        <w:rPr>
          <w:sz w:val="20"/>
          <w:szCs w:val="20"/>
          <w:color w:val="auto"/>
        </w:rPr>
      </w:pPr>
    </w:p>
    <w:p>
      <w:pPr>
        <w:ind w:right="9800" w:firstLine="8"/>
        <w:spacing w:after="0" w:line="323" w:lineRule="auto"/>
        <w:tabs>
          <w:tab w:leader="none" w:pos="34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891-3443 </w:t>
      </w:r>
      <w:r>
        <w:rPr>
          <w:rFonts w:ascii="Arial" w:cs="Arial" w:eastAsia="Arial" w:hAnsi="Arial"/>
          <w:sz w:val="13"/>
          <w:szCs w:val="13"/>
          <w:u w:val="single" w:color="auto"/>
          <w:color w:val="auto"/>
        </w:rPr>
        <w:t>ranny.dwiggins@itron.com</w:t>
      </w:r>
    </w:p>
    <w:p>
      <w:pPr>
        <w:spacing w:after="0" w:line="142"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4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1180" w:type="dxa"/>
            <w:vAlign w:val="bottom"/>
          </w:tcPr>
          <w:p>
            <w:pPr>
              <w:spacing w:after="0"/>
              <w:rPr>
                <w:sz w:val="15"/>
                <w:szCs w:val="15"/>
                <w:color w:val="auto"/>
              </w:rPr>
            </w:pPr>
          </w:p>
        </w:tc>
        <w:tc>
          <w:tcPr>
            <w:tcW w:w="2460" w:type="dxa"/>
            <w:vAlign w:val="bottom"/>
            <w:gridSpan w:val="3"/>
            <w:vMerge w:val="restart"/>
          </w:tcPr>
          <w:p>
            <w:pPr>
              <w:jc w:val="right"/>
              <w:ind w:right="388"/>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0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(restated)</w:t>
            </w: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Revenues</w:t>
            </w:r>
          </w:p>
        </w:tc>
        <w:tc>
          <w:tcPr>
            <w:tcW w:w="118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563,691</w:t>
            </w:r>
          </w:p>
        </w:tc>
        <w:tc>
          <w:tcPr>
            <w:tcW w:w="1600" w:type="dxa"/>
            <w:vAlign w:val="bottom"/>
            <w:gridSpan w:val="2"/>
          </w:tcPr>
          <w:p>
            <w:pPr>
              <w:jc w:val="right"/>
              <w:ind w:right="10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w w:val="94"/>
              </w:rPr>
              <w:t>497,623</w:t>
            </w:r>
          </w:p>
        </w:tc>
        <w:tc>
          <w:tcPr>
            <w:tcW w:w="0" w:type="dxa"/>
            <w:vAlign w:val="bottom"/>
          </w:tcPr>
          <w:p>
            <w:pPr>
              <w:spacing w:after="0"/>
              <w:rPr>
                <w:sz w:val="1"/>
                <w:szCs w:val="1"/>
                <w:color w:val="auto"/>
              </w:rPr>
            </w:pPr>
          </w:p>
        </w:tc>
      </w:tr>
      <w:tr>
        <w:trPr>
          <w:trHeight w:val="181"/>
        </w:trPr>
        <w:tc>
          <w:tcPr>
            <w:tcW w:w="7040" w:type="dxa"/>
            <w:vAlign w:val="bottom"/>
          </w:tcPr>
          <w:p>
            <w:pPr>
              <w:spacing w:after="0"/>
              <w:rPr>
                <w:sz w:val="20"/>
                <w:szCs w:val="20"/>
                <w:color w:val="auto"/>
              </w:rPr>
            </w:pPr>
            <w:r>
              <w:rPr>
                <w:rFonts w:ascii="Arial" w:cs="Arial" w:eastAsia="Arial" w:hAnsi="Arial"/>
                <w:sz w:val="14"/>
                <w:szCs w:val="14"/>
                <w:color w:val="auto"/>
              </w:rPr>
              <w:t>Cost of revenues</w:t>
            </w:r>
          </w:p>
        </w:tc>
        <w:tc>
          <w:tcPr>
            <w:tcW w:w="1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379,581</w:t>
            </w:r>
          </w:p>
        </w:tc>
        <w:tc>
          <w:tcPr>
            <w:tcW w:w="2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4"/>
              </w:rPr>
              <w:t>340,559</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Gross profit</w:t>
            </w:r>
          </w:p>
        </w:tc>
        <w:tc>
          <w:tcPr>
            <w:tcW w:w="1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184,110</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w w:val="94"/>
              </w:rPr>
              <w:t>157,064</w:t>
            </w:r>
          </w:p>
        </w:tc>
        <w:tc>
          <w:tcPr>
            <w:tcW w:w="0" w:type="dxa"/>
            <w:vAlign w:val="bottom"/>
          </w:tcPr>
          <w:p>
            <w:pPr>
              <w:spacing w:after="0"/>
              <w:rPr>
                <w:sz w:val="1"/>
                <w:szCs w:val="1"/>
                <w:color w:val="auto"/>
              </w:rPr>
            </w:pPr>
          </w:p>
        </w:tc>
      </w:tr>
      <w:tr>
        <w:trPr>
          <w:trHeight w:val="339"/>
        </w:trPr>
        <w:tc>
          <w:tcPr>
            <w:tcW w:w="7040" w:type="dxa"/>
            <w:vAlign w:val="bottom"/>
          </w:tcPr>
          <w:p>
            <w:pPr>
              <w:spacing w:after="0"/>
              <w:rPr>
                <w:sz w:val="20"/>
                <w:szCs w:val="20"/>
                <w:color w:val="auto"/>
              </w:rPr>
            </w:pPr>
            <w:r>
              <w:rPr>
                <w:rFonts w:ascii="Arial" w:cs="Arial" w:eastAsia="Arial" w:hAnsi="Arial"/>
                <w:sz w:val="14"/>
                <w:szCs w:val="14"/>
                <w:color w:val="auto"/>
              </w:rPr>
              <w:t>Operating expenses</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1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44,648</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41,537</w:t>
            </w:r>
          </w:p>
        </w:tc>
        <w:tc>
          <w:tcPr>
            <w:tcW w:w="0" w:type="dxa"/>
            <w:vAlign w:val="bottom"/>
          </w:tcPr>
          <w:p>
            <w:pPr>
              <w:spacing w:after="0"/>
              <w:rPr>
                <w:sz w:val="1"/>
                <w:szCs w:val="1"/>
                <w:color w:val="auto"/>
              </w:rPr>
            </w:pPr>
          </w:p>
        </w:tc>
      </w:tr>
      <w:tr>
        <w:trPr>
          <w:trHeight w:val="176"/>
        </w:trPr>
        <w:tc>
          <w:tcPr>
            <w:tcW w:w="704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1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40,445</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33,040</w:t>
            </w:r>
          </w:p>
        </w:tc>
        <w:tc>
          <w:tcPr>
            <w:tcW w:w="0" w:type="dxa"/>
            <w:vAlign w:val="bottom"/>
          </w:tcPr>
          <w:p>
            <w:pPr>
              <w:spacing w:after="0"/>
              <w:rPr>
                <w:sz w:val="1"/>
                <w:szCs w:val="1"/>
                <w:color w:val="auto"/>
              </w:rPr>
            </w:pPr>
          </w:p>
        </w:tc>
      </w:tr>
      <w:tr>
        <w:trPr>
          <w:trHeight w:val="176"/>
        </w:trPr>
        <w:tc>
          <w:tcPr>
            <w:tcW w:w="70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33,331</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33,057</w:t>
            </w:r>
          </w:p>
        </w:tc>
        <w:tc>
          <w:tcPr>
            <w:tcW w:w="0" w:type="dxa"/>
            <w:vAlign w:val="bottom"/>
          </w:tcPr>
          <w:p>
            <w:pPr>
              <w:spacing w:after="0"/>
              <w:rPr>
                <w:sz w:val="1"/>
                <w:szCs w:val="1"/>
                <w:color w:val="auto"/>
              </w:rPr>
            </w:pPr>
          </w:p>
        </w:tc>
      </w:tr>
      <w:tr>
        <w:trPr>
          <w:trHeight w:val="181"/>
        </w:trPr>
        <w:tc>
          <w:tcPr>
            <w:tcW w:w="704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1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15,597</w:t>
            </w:r>
          </w:p>
        </w:tc>
        <w:tc>
          <w:tcPr>
            <w:tcW w:w="2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17,811</w:t>
            </w:r>
          </w:p>
        </w:tc>
        <w:tc>
          <w:tcPr>
            <w:tcW w:w="0" w:type="dxa"/>
            <w:vAlign w:val="bottom"/>
          </w:tcPr>
          <w:p>
            <w:pPr>
              <w:spacing w:after="0"/>
              <w:rPr>
                <w:sz w:val="1"/>
                <w:szCs w:val="1"/>
                <w:color w:val="auto"/>
              </w:rPr>
            </w:pPr>
          </w:p>
        </w:tc>
      </w:tr>
      <w:tr>
        <w:trPr>
          <w:trHeight w:val="169"/>
        </w:trPr>
        <w:tc>
          <w:tcPr>
            <w:tcW w:w="704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134,021</w:t>
            </w:r>
          </w:p>
        </w:tc>
        <w:tc>
          <w:tcPr>
            <w:tcW w:w="2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4"/>
              </w:rPr>
              <w:t>125,445</w:t>
            </w:r>
          </w:p>
        </w:tc>
        <w:tc>
          <w:tcPr>
            <w:tcW w:w="0" w:type="dxa"/>
            <w:vAlign w:val="bottom"/>
          </w:tcPr>
          <w:p>
            <w:pPr>
              <w:spacing w:after="0"/>
              <w:rPr>
                <w:sz w:val="1"/>
                <w:szCs w:val="1"/>
                <w:color w:val="auto"/>
              </w:rPr>
            </w:pPr>
          </w:p>
        </w:tc>
      </w:tr>
      <w:tr>
        <w:trPr>
          <w:trHeight w:val="339"/>
        </w:trPr>
        <w:tc>
          <w:tcPr>
            <w:tcW w:w="7040" w:type="dxa"/>
            <w:vAlign w:val="bottom"/>
          </w:tcPr>
          <w:p>
            <w:pPr>
              <w:spacing w:after="0"/>
              <w:rPr>
                <w:sz w:val="20"/>
                <w:szCs w:val="20"/>
                <w:color w:val="auto"/>
              </w:rPr>
            </w:pPr>
            <w:r>
              <w:rPr>
                <w:rFonts w:ascii="Arial" w:cs="Arial" w:eastAsia="Arial" w:hAnsi="Arial"/>
                <w:sz w:val="14"/>
                <w:szCs w:val="14"/>
                <w:color w:val="auto"/>
              </w:rPr>
              <w:t>Operating income</w:t>
            </w:r>
          </w:p>
        </w:tc>
        <w:tc>
          <w:tcPr>
            <w:tcW w:w="118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50,089</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31,619</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20"/>
                <w:szCs w:val="20"/>
                <w:color w:val="auto"/>
              </w:rPr>
            </w:pPr>
            <w:r>
              <w:rPr>
                <w:rFonts w:ascii="Arial" w:cs="Arial" w:eastAsia="Arial" w:hAnsi="Arial"/>
                <w:sz w:val="14"/>
                <w:szCs w:val="14"/>
                <w:color w:val="auto"/>
              </w:rPr>
              <w:t>Other income (expense)</w:t>
            </w: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308</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76"/>
        </w:trPr>
        <w:tc>
          <w:tcPr>
            <w:tcW w:w="70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(12,114)</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w w:val="99"/>
              </w:rPr>
              <w:t>(14,923)</w:t>
            </w:r>
          </w:p>
        </w:tc>
        <w:tc>
          <w:tcPr>
            <w:tcW w:w="0" w:type="dxa"/>
            <w:vAlign w:val="bottom"/>
          </w:tcPr>
          <w:p>
            <w:pPr>
              <w:spacing w:after="0"/>
              <w:rPr>
                <w:sz w:val="1"/>
                <w:szCs w:val="1"/>
                <w:color w:val="auto"/>
              </w:rPr>
            </w:pPr>
          </w:p>
        </w:tc>
      </w:tr>
      <w:tr>
        <w:trPr>
          <w:trHeight w:val="181"/>
        </w:trPr>
        <w:tc>
          <w:tcPr>
            <w:tcW w:w="704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1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(1,596)</w:t>
            </w:r>
          </w:p>
        </w:tc>
        <w:tc>
          <w:tcPr>
            <w:tcW w:w="2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69"/>
        </w:trPr>
        <w:tc>
          <w:tcPr>
            <w:tcW w:w="7040" w:type="dxa"/>
            <w:vAlign w:val="bottom"/>
          </w:tcPr>
          <w:p>
            <w:pPr>
              <w:ind w:left="280"/>
              <w:spacing w:after="0"/>
              <w:rPr>
                <w:sz w:val="20"/>
                <w:szCs w:val="20"/>
                <w:color w:val="auto"/>
              </w:rPr>
            </w:pPr>
            <w:r>
              <w:rPr>
                <w:rFonts w:ascii="Arial" w:cs="Arial" w:eastAsia="Arial" w:hAnsi="Arial"/>
                <w:sz w:val="14"/>
                <w:szCs w:val="14"/>
                <w:color w:val="auto"/>
              </w:rPr>
              <w:t>Total other income (expense)</w:t>
            </w: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(13,402)</w:t>
            </w:r>
          </w:p>
        </w:tc>
        <w:tc>
          <w:tcPr>
            <w:tcW w:w="2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9"/>
              </w:rPr>
              <w:t>(15,348)</w:t>
            </w:r>
          </w:p>
        </w:tc>
        <w:tc>
          <w:tcPr>
            <w:tcW w:w="0" w:type="dxa"/>
            <w:vAlign w:val="bottom"/>
          </w:tcPr>
          <w:p>
            <w:pPr>
              <w:spacing w:after="0"/>
              <w:rPr>
                <w:sz w:val="1"/>
                <w:szCs w:val="1"/>
                <w:color w:val="auto"/>
              </w:rPr>
            </w:pPr>
          </w:p>
        </w:tc>
      </w:tr>
      <w:tr>
        <w:trPr>
          <w:trHeight w:val="339"/>
        </w:trPr>
        <w:tc>
          <w:tcPr>
            <w:tcW w:w="70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18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36,687</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16,271</w:t>
            </w:r>
          </w:p>
        </w:tc>
        <w:tc>
          <w:tcPr>
            <w:tcW w:w="0" w:type="dxa"/>
            <w:vAlign w:val="bottom"/>
          </w:tcPr>
          <w:p>
            <w:pPr>
              <w:spacing w:after="0"/>
              <w:rPr>
                <w:sz w:val="1"/>
                <w:szCs w:val="1"/>
                <w:color w:val="auto"/>
              </w:rPr>
            </w:pPr>
          </w:p>
        </w:tc>
      </w:tr>
      <w:tr>
        <w:trPr>
          <w:trHeight w:val="181"/>
        </w:trPr>
        <w:tc>
          <w:tcPr>
            <w:tcW w:w="704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(9,567)</w:t>
            </w:r>
          </w:p>
        </w:tc>
        <w:tc>
          <w:tcPr>
            <w:tcW w:w="2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8,979</w:t>
            </w:r>
          </w:p>
        </w:tc>
        <w:tc>
          <w:tcPr>
            <w:tcW w:w="0" w:type="dxa"/>
            <w:vAlign w:val="bottom"/>
          </w:tcPr>
          <w:p>
            <w:pPr>
              <w:spacing w:after="0"/>
              <w:rPr>
                <w:sz w:val="1"/>
                <w:szCs w:val="1"/>
                <w:color w:val="auto"/>
              </w:rPr>
            </w:pPr>
          </w:p>
        </w:tc>
      </w:tr>
      <w:tr>
        <w:trPr>
          <w:trHeight w:val="169"/>
        </w:trPr>
        <w:tc>
          <w:tcPr>
            <w:tcW w:w="7040" w:type="dxa"/>
            <w:vAlign w:val="bottom"/>
          </w:tcPr>
          <w:p>
            <w:pPr>
              <w:spacing w:after="0"/>
              <w:rPr>
                <w:sz w:val="20"/>
                <w:szCs w:val="20"/>
                <w:color w:val="auto"/>
              </w:rPr>
            </w:pPr>
            <w:r>
              <w:rPr>
                <w:rFonts w:ascii="Arial" w:cs="Arial" w:eastAsia="Arial" w:hAnsi="Arial"/>
                <w:sz w:val="14"/>
                <w:szCs w:val="14"/>
                <w:color w:val="auto"/>
              </w:rPr>
              <w:t>Net income</w:t>
            </w:r>
          </w:p>
        </w:tc>
        <w:tc>
          <w:tcPr>
            <w:tcW w:w="11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27,120</w:t>
            </w: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25,250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40" w:type="dxa"/>
            <w:vAlign w:val="bottom"/>
          </w:tcPr>
          <w:p>
            <w:pPr>
              <w:spacing w:after="0"/>
              <w:rPr>
                <w:sz w:val="20"/>
                <w:szCs w:val="20"/>
                <w:color w:val="auto"/>
              </w:rPr>
            </w:pPr>
            <w:r>
              <w:rPr>
                <w:rFonts w:ascii="Arial" w:cs="Arial" w:eastAsia="Arial" w:hAnsi="Arial"/>
                <w:sz w:val="14"/>
                <w:szCs w:val="14"/>
                <w:color w:val="auto"/>
              </w:rPr>
              <w:t>Earnings per common share-Basic</w:t>
            </w:r>
          </w:p>
        </w:tc>
        <w:tc>
          <w:tcPr>
            <w:tcW w:w="11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0.67</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4"/>
                <w:szCs w:val="14"/>
                <w:color w:val="auto"/>
              </w:rPr>
              <w:t>Earnings per common share-Diluted</w:t>
            </w: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vMerge w:val="continue"/>
          </w:tcPr>
          <w:p>
            <w:pPr>
              <w:spacing w:after="0"/>
              <w:rPr>
                <w:sz w:val="13"/>
                <w:szCs w:val="13"/>
                <w:color w:val="auto"/>
              </w:rPr>
            </w:pPr>
          </w:p>
        </w:tc>
        <w:tc>
          <w:tcPr>
            <w:tcW w:w="1180" w:type="dxa"/>
            <w:vAlign w:val="bottom"/>
            <w:tcBorders>
              <w:top w:val="single" w:sz="8" w:color="auto"/>
              <w:bottom w:val="single" w:sz="8" w:color="auto"/>
            </w:tcBorders>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0.66</w:t>
            </w:r>
          </w:p>
        </w:tc>
        <w:tc>
          <w:tcPr>
            <w:tcW w:w="20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ind w:right="1088"/>
              <w:spacing w:after="0" w:line="156"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040" w:type="dxa"/>
            <w:vAlign w:val="bottom"/>
          </w:tcPr>
          <w:p>
            <w:pPr>
              <w:spacing w:after="0"/>
              <w:rPr>
                <w:sz w:val="20"/>
                <w:szCs w:val="20"/>
                <w:color w:val="auto"/>
              </w:rPr>
            </w:pPr>
            <w:r>
              <w:rPr>
                <w:rFonts w:ascii="Arial" w:cs="Arial" w:eastAsia="Arial" w:hAnsi="Arial"/>
                <w:sz w:val="14"/>
                <w:szCs w:val="14"/>
                <w:color w:val="auto"/>
              </w:rPr>
              <w:t>Weighted average common shares outstanding-Basic</w:t>
            </w:r>
          </w:p>
        </w:tc>
        <w:tc>
          <w:tcPr>
            <w:tcW w:w="118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40,546</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40,191</w:t>
            </w:r>
          </w:p>
        </w:tc>
        <w:tc>
          <w:tcPr>
            <w:tcW w:w="0" w:type="dxa"/>
            <w:vAlign w:val="bottom"/>
          </w:tcPr>
          <w:p>
            <w:pPr>
              <w:spacing w:after="0"/>
              <w:rPr>
                <w:sz w:val="1"/>
                <w:szCs w:val="1"/>
                <w:color w:val="auto"/>
              </w:rPr>
            </w:pPr>
          </w:p>
        </w:tc>
      </w:tr>
      <w:tr>
        <w:trPr>
          <w:trHeight w:val="182"/>
        </w:trPr>
        <w:tc>
          <w:tcPr>
            <w:tcW w:w="7040" w:type="dxa"/>
            <w:vAlign w:val="bottom"/>
          </w:tcPr>
          <w:p>
            <w:pPr>
              <w:spacing w:after="0"/>
              <w:rPr>
                <w:sz w:val="20"/>
                <w:szCs w:val="20"/>
                <w:color w:val="auto"/>
              </w:rPr>
            </w:pPr>
            <w:r>
              <w:rPr>
                <w:rFonts w:ascii="Arial" w:cs="Arial" w:eastAsia="Arial" w:hAnsi="Arial"/>
                <w:sz w:val="14"/>
                <w:szCs w:val="14"/>
                <w:color w:val="auto"/>
              </w:rPr>
              <w:t>Weighted average common shares outstanding-Diluted</w:t>
            </w:r>
          </w:p>
        </w:tc>
        <w:tc>
          <w:tcPr>
            <w:tcW w:w="1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41,045</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40,862</w:t>
            </w:r>
          </w:p>
        </w:tc>
        <w:tc>
          <w:tcPr>
            <w:tcW w:w="0" w:type="dxa"/>
            <w:vAlign w:val="bottom"/>
          </w:tcPr>
          <w:p>
            <w:pPr>
              <w:spacing w:after="0"/>
              <w:rPr>
                <w:sz w:val="1"/>
                <w:szCs w:val="1"/>
                <w:color w:val="auto"/>
              </w:rPr>
            </w:pPr>
          </w:p>
        </w:tc>
      </w:tr>
      <w:tr>
        <w:trPr>
          <w:trHeight w:val="134"/>
        </w:trPr>
        <w:tc>
          <w:tcPr>
            <w:tcW w:w="70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0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98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720" w:type="dxa"/>
            <w:vAlign w:val="bottom"/>
          </w:tcPr>
          <w:p>
            <w:pPr>
              <w:spacing w:after="0"/>
              <w:rPr>
                <w:sz w:val="15"/>
                <w:szCs w:val="15"/>
                <w:color w:val="auto"/>
              </w:rPr>
            </w:pPr>
          </w:p>
        </w:tc>
        <w:tc>
          <w:tcPr>
            <w:tcW w:w="2980" w:type="dxa"/>
            <w:vAlign w:val="bottom"/>
            <w:tcBorders>
              <w:bottom w:val="single" w:sz="8" w:color="auto"/>
            </w:tcBorders>
            <w:gridSpan w:val="4"/>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0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top w:val="single" w:sz="8" w:color="auto"/>
            </w:tcBorders>
            <w:gridSpan w:val="2"/>
          </w:tcPr>
          <w:p>
            <w:pPr>
              <w:jc w:val="right"/>
              <w:ind w:right="548"/>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0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w w:val="94"/>
              </w:rPr>
              <w:t>276,982</w:t>
            </w:r>
          </w:p>
        </w:tc>
        <w:tc>
          <w:tcPr>
            <w:tcW w:w="126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w w:val="98"/>
              </w:rPr>
              <w:t>241,559</w:t>
            </w:r>
          </w:p>
        </w:tc>
        <w:tc>
          <w:tcPr>
            <w:tcW w:w="0" w:type="dxa"/>
            <w:vAlign w:val="bottom"/>
          </w:tcPr>
          <w:p>
            <w:pPr>
              <w:spacing w:after="0"/>
              <w:rPr>
                <w:sz w:val="1"/>
                <w:szCs w:val="1"/>
                <w:color w:val="auto"/>
              </w:rPr>
            </w:pPr>
          </w:p>
        </w:tc>
      </w:tr>
      <w:tr>
        <w:trPr>
          <w:trHeight w:val="181"/>
        </w:trPr>
        <w:tc>
          <w:tcPr>
            <w:tcW w:w="77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286,709</w:t>
            </w:r>
          </w:p>
        </w:tc>
        <w:tc>
          <w:tcPr>
            <w:tcW w:w="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256,064</w:t>
            </w:r>
          </w:p>
        </w:tc>
        <w:tc>
          <w:tcPr>
            <w:tcW w:w="0" w:type="dxa"/>
            <w:vAlign w:val="bottom"/>
          </w:tcPr>
          <w:p>
            <w:pPr>
              <w:spacing w:after="0"/>
              <w:rPr>
                <w:sz w:val="1"/>
                <w:szCs w:val="1"/>
                <w:color w:val="auto"/>
              </w:rPr>
            </w:pPr>
          </w:p>
        </w:tc>
      </w:tr>
      <w:tr>
        <w:trPr>
          <w:trHeight w:val="169"/>
        </w:trPr>
        <w:tc>
          <w:tcPr>
            <w:tcW w:w="772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0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563,691</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497,623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0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94,722</w:t>
            </w:r>
          </w:p>
        </w:tc>
        <w:tc>
          <w:tcPr>
            <w:tcW w:w="126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78,159</w:t>
            </w:r>
          </w:p>
        </w:tc>
        <w:tc>
          <w:tcPr>
            <w:tcW w:w="0" w:type="dxa"/>
            <w:vAlign w:val="bottom"/>
          </w:tcPr>
          <w:p>
            <w:pPr>
              <w:spacing w:after="0"/>
              <w:rPr>
                <w:sz w:val="1"/>
                <w:szCs w:val="1"/>
                <w:color w:val="auto"/>
              </w:rPr>
            </w:pPr>
          </w:p>
        </w:tc>
      </w:tr>
      <w:tr>
        <w:trPr>
          <w:trHeight w:val="181"/>
        </w:trPr>
        <w:tc>
          <w:tcPr>
            <w:tcW w:w="77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89,388</w:t>
            </w:r>
          </w:p>
        </w:tc>
        <w:tc>
          <w:tcPr>
            <w:tcW w:w="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78,905</w:t>
            </w:r>
          </w:p>
        </w:tc>
        <w:tc>
          <w:tcPr>
            <w:tcW w:w="0" w:type="dxa"/>
            <w:vAlign w:val="bottom"/>
          </w:tcPr>
          <w:p>
            <w:pPr>
              <w:spacing w:after="0"/>
              <w:rPr>
                <w:sz w:val="1"/>
                <w:szCs w:val="1"/>
                <w:color w:val="auto"/>
              </w:rPr>
            </w:pPr>
          </w:p>
        </w:tc>
      </w:tr>
      <w:tr>
        <w:trPr>
          <w:trHeight w:val="169"/>
        </w:trPr>
        <w:tc>
          <w:tcPr>
            <w:tcW w:w="772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0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184,110</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157,064</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0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43,793</w:t>
            </w:r>
          </w:p>
        </w:tc>
        <w:tc>
          <w:tcPr>
            <w:tcW w:w="126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32,036</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0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16,228</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10,437</w:t>
            </w:r>
          </w:p>
        </w:tc>
        <w:tc>
          <w:tcPr>
            <w:tcW w:w="0" w:type="dxa"/>
            <w:vAlign w:val="bottom"/>
          </w:tcPr>
          <w:p>
            <w:pPr>
              <w:spacing w:after="0"/>
              <w:rPr>
                <w:sz w:val="1"/>
                <w:szCs w:val="1"/>
                <w:color w:val="auto"/>
              </w:rPr>
            </w:pPr>
          </w:p>
        </w:tc>
      </w:tr>
      <w:tr>
        <w:trPr>
          <w:trHeight w:val="181"/>
        </w:trPr>
        <w:tc>
          <w:tcPr>
            <w:tcW w:w="7720" w:type="dxa"/>
            <w:vAlign w:val="bottom"/>
          </w:tcPr>
          <w:p>
            <w:pPr>
              <w:ind w:left="140"/>
              <w:spacing w:after="0"/>
              <w:rPr>
                <w:sz w:val="20"/>
                <w:szCs w:val="20"/>
                <w:color w:val="auto"/>
              </w:rPr>
            </w:pPr>
            <w:r>
              <w:rPr>
                <w:rFonts w:ascii="Arial" w:cs="Arial" w:eastAsia="Arial" w:hAnsi="Arial"/>
                <w:sz w:val="14"/>
                <w:szCs w:val="14"/>
                <w:color w:val="auto"/>
              </w:rPr>
              <w:t>Corporate unallocated</w:t>
            </w: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(9,932)</w:t>
            </w:r>
          </w:p>
        </w:tc>
        <w:tc>
          <w:tcPr>
            <w:tcW w:w="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(10,854)</w:t>
            </w:r>
          </w:p>
        </w:tc>
        <w:tc>
          <w:tcPr>
            <w:tcW w:w="0" w:type="dxa"/>
            <w:vAlign w:val="bottom"/>
          </w:tcPr>
          <w:p>
            <w:pPr>
              <w:spacing w:after="0"/>
              <w:rPr>
                <w:sz w:val="1"/>
                <w:szCs w:val="1"/>
                <w:color w:val="auto"/>
              </w:rPr>
            </w:pPr>
          </w:p>
        </w:tc>
      </w:tr>
      <w:tr>
        <w:trPr>
          <w:trHeight w:val="169"/>
        </w:trPr>
        <w:tc>
          <w:tcPr>
            <w:tcW w:w="772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0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50,089</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31,619</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METER AND MODULE SUMMARY</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20" w:type="dxa"/>
            <w:vAlign w:val="bottom"/>
          </w:tcPr>
          <w:p>
            <w:pPr>
              <w:spacing w:after="0"/>
              <w:rPr>
                <w:sz w:val="20"/>
                <w:szCs w:val="20"/>
                <w:color w:val="auto"/>
              </w:rPr>
            </w:pPr>
            <w:r>
              <w:rPr>
                <w:rFonts w:ascii="Arial" w:cs="Arial" w:eastAsia="Arial" w:hAnsi="Arial"/>
                <w:sz w:val="14"/>
                <w:szCs w:val="14"/>
                <w:color w:val="auto"/>
              </w:rPr>
              <w:t>(Units in thousands)</w:t>
            </w:r>
          </w:p>
        </w:tc>
        <w:tc>
          <w:tcPr>
            <w:tcW w:w="298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720" w:type="dxa"/>
            <w:vAlign w:val="bottom"/>
          </w:tcPr>
          <w:p>
            <w:pPr>
              <w:spacing w:after="0"/>
              <w:rPr>
                <w:sz w:val="15"/>
                <w:szCs w:val="15"/>
                <w:color w:val="auto"/>
              </w:rPr>
            </w:pPr>
          </w:p>
        </w:tc>
        <w:tc>
          <w:tcPr>
            <w:tcW w:w="2980" w:type="dxa"/>
            <w:vAlign w:val="bottom"/>
            <w:tcBorders>
              <w:bottom w:val="single" w:sz="8" w:color="auto"/>
            </w:tcBorders>
            <w:gridSpan w:val="4"/>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tcPr>
          <w:p>
            <w:pPr>
              <w:spacing w:after="0"/>
              <w:rPr>
                <w:sz w:val="20"/>
                <w:szCs w:val="20"/>
                <w:color w:val="auto"/>
              </w:rPr>
            </w:pPr>
            <w:r>
              <w:rPr>
                <w:rFonts w:ascii="Arial" w:cs="Arial" w:eastAsia="Arial" w:hAnsi="Arial"/>
                <w:sz w:val="14"/>
                <w:szCs w:val="14"/>
                <w:color w:val="auto"/>
              </w:rPr>
              <w:t>Total meters (standard, advanced, and smart)</w:t>
            </w:r>
          </w:p>
        </w:tc>
        <w:tc>
          <w:tcPr>
            <w:tcW w:w="10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Itron North America</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Electricity</w:t>
            </w:r>
          </w:p>
        </w:tc>
        <w:tc>
          <w:tcPr>
            <w:tcW w:w="10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1,520</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Gas</w:t>
            </w:r>
          </w:p>
        </w:tc>
        <w:tc>
          <w:tcPr>
            <w:tcW w:w="10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140</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Itron International</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Electricity</w:t>
            </w:r>
          </w:p>
        </w:tc>
        <w:tc>
          <w:tcPr>
            <w:tcW w:w="10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1,620</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Gas</w:t>
            </w:r>
          </w:p>
        </w:tc>
        <w:tc>
          <w:tcPr>
            <w:tcW w:w="10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940</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81"/>
        </w:trPr>
        <w:tc>
          <w:tcPr>
            <w:tcW w:w="7720" w:type="dxa"/>
            <w:vAlign w:val="bottom"/>
          </w:tcPr>
          <w:p>
            <w:pPr>
              <w:ind w:left="280"/>
              <w:spacing w:after="0"/>
              <w:rPr>
                <w:sz w:val="20"/>
                <w:szCs w:val="20"/>
                <w:color w:val="auto"/>
              </w:rPr>
            </w:pPr>
            <w:r>
              <w:rPr>
                <w:rFonts w:ascii="Arial" w:cs="Arial" w:eastAsia="Arial" w:hAnsi="Arial"/>
                <w:sz w:val="14"/>
                <w:szCs w:val="14"/>
                <w:color w:val="auto"/>
              </w:rPr>
              <w:t>Water</w:t>
            </w: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2,540</w:t>
            </w:r>
          </w:p>
        </w:tc>
        <w:tc>
          <w:tcPr>
            <w:tcW w:w="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169"/>
        </w:trPr>
        <w:tc>
          <w:tcPr>
            <w:tcW w:w="7720" w:type="dxa"/>
            <w:vAlign w:val="bottom"/>
          </w:tcPr>
          <w:p>
            <w:pPr>
              <w:ind w:left="140"/>
              <w:spacing w:after="0"/>
              <w:rPr>
                <w:sz w:val="20"/>
                <w:szCs w:val="20"/>
                <w:color w:val="auto"/>
              </w:rPr>
            </w:pPr>
            <w:r>
              <w:rPr>
                <w:rFonts w:ascii="Arial" w:cs="Arial" w:eastAsia="Arial" w:hAnsi="Arial"/>
                <w:sz w:val="14"/>
                <w:szCs w:val="14"/>
                <w:color w:val="auto"/>
              </w:rPr>
              <w:t>Total meters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6,760</w:t>
            </w:r>
          </w:p>
        </w:tc>
        <w:tc>
          <w:tcPr>
            <w:tcW w:w="1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Additional meter information (Total Company)</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Advanced meters</w:t>
            </w:r>
          </w:p>
        </w:tc>
        <w:tc>
          <w:tcPr>
            <w:tcW w:w="10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900</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76"/>
        </w:trPr>
        <w:tc>
          <w:tcPr>
            <w:tcW w:w="7720" w:type="dxa"/>
            <w:vAlign w:val="bottom"/>
          </w:tcPr>
          <w:p>
            <w:pPr>
              <w:ind w:left="140"/>
              <w:spacing w:after="0"/>
              <w:rPr>
                <w:sz w:val="20"/>
                <w:szCs w:val="20"/>
                <w:color w:val="auto"/>
              </w:rPr>
            </w:pPr>
            <w:r>
              <w:rPr>
                <w:rFonts w:ascii="Arial" w:cs="Arial" w:eastAsia="Arial" w:hAnsi="Arial"/>
                <w:sz w:val="14"/>
                <w:szCs w:val="14"/>
                <w:color w:val="auto"/>
              </w:rPr>
              <w:t>Smart meters</w:t>
            </w:r>
          </w:p>
        </w:tc>
        <w:tc>
          <w:tcPr>
            <w:tcW w:w="10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990</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81"/>
        </w:trPr>
        <w:tc>
          <w:tcPr>
            <w:tcW w:w="7720" w:type="dxa"/>
            <w:vAlign w:val="bottom"/>
          </w:tcPr>
          <w:p>
            <w:pPr>
              <w:spacing w:after="0"/>
              <w:rPr>
                <w:sz w:val="20"/>
                <w:szCs w:val="20"/>
                <w:color w:val="auto"/>
              </w:rPr>
            </w:pPr>
            <w:r>
              <w:rPr>
                <w:rFonts w:ascii="Arial" w:cs="Arial" w:eastAsia="Arial" w:hAnsi="Arial"/>
                <w:sz w:val="14"/>
                <w:szCs w:val="14"/>
                <w:color w:val="auto"/>
              </w:rPr>
              <w:t>Standalone advanced and smart communication modules</w:t>
            </w: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1,430</w:t>
            </w:r>
          </w:p>
        </w:tc>
        <w:tc>
          <w:tcPr>
            <w:tcW w:w="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69"/>
        </w:trPr>
        <w:tc>
          <w:tcPr>
            <w:tcW w:w="7720" w:type="dxa"/>
            <w:vAlign w:val="bottom"/>
          </w:tcPr>
          <w:p>
            <w:pPr>
              <w:ind w:left="280"/>
              <w:spacing w:after="0"/>
              <w:rPr>
                <w:sz w:val="20"/>
                <w:szCs w:val="20"/>
                <w:color w:val="auto"/>
              </w:rPr>
            </w:pPr>
            <w:r>
              <w:rPr>
                <w:rFonts w:ascii="Arial" w:cs="Arial" w:eastAsia="Arial" w:hAnsi="Arial"/>
                <w:sz w:val="14"/>
                <w:szCs w:val="14"/>
                <w:color w:val="auto"/>
              </w:rPr>
              <w:t>Advanced and smart meters and communication modules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3,320</w:t>
            </w:r>
          </w:p>
        </w:tc>
        <w:tc>
          <w:tcPr>
            <w:tcW w:w="1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720" w:type="dxa"/>
            <w:vAlign w:val="bottom"/>
          </w:tcPr>
          <w:p>
            <w:pPr>
              <w:spacing w:after="0"/>
              <w:rPr>
                <w:sz w:val="20"/>
                <w:szCs w:val="20"/>
                <w:color w:val="auto"/>
              </w:rPr>
            </w:pPr>
            <w:r>
              <w:rPr>
                <w:rFonts w:ascii="Arial" w:cs="Arial" w:eastAsia="Arial" w:hAnsi="Arial"/>
                <w:sz w:val="14"/>
                <w:szCs w:val="14"/>
                <w:color w:val="auto"/>
              </w:rPr>
              <w:t>Meters with other vendors' advanced or smart communication modules</w:t>
            </w: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7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1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March 31, 2011</w:t>
            </w:r>
          </w:p>
        </w:tc>
        <w:tc>
          <w:tcPr>
            <w:tcW w:w="2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74"/>
        </w:trPr>
        <w:tc>
          <w:tcPr>
            <w:tcW w:w="682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820" w:type="dxa"/>
            <w:vAlign w:val="bottom"/>
          </w:tcPr>
          <w:p>
            <w:pPr>
              <w:ind w:left="3060"/>
              <w:spacing w:after="0"/>
              <w:rPr>
                <w:sz w:val="20"/>
                <w:szCs w:val="20"/>
                <w:color w:val="auto"/>
              </w:rPr>
            </w:pPr>
            <w:r>
              <w:rPr>
                <w:rFonts w:ascii="Arial" w:cs="Arial" w:eastAsia="Arial" w:hAnsi="Arial"/>
                <w:sz w:val="14"/>
                <w:szCs w:val="14"/>
                <w:b w:val="1"/>
                <w:bCs w:val="1"/>
                <w:color w:val="auto"/>
              </w:rPr>
              <w:t>ASSETS</w:t>
            </w:r>
          </w:p>
        </w:tc>
        <w:tc>
          <w:tcPr>
            <w:tcW w:w="1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Current assets</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980" w:type="dxa"/>
            <w:vAlign w:val="bottom"/>
          </w:tcPr>
          <w:p>
            <w:pPr>
              <w:jc w:val="right"/>
              <w:spacing w:after="0"/>
              <w:rPr>
                <w:sz w:val="20"/>
                <w:szCs w:val="20"/>
                <w:color w:val="auto"/>
              </w:rPr>
            </w:pPr>
            <w:r>
              <w:rPr>
                <w:rFonts w:ascii="Arial" w:cs="Arial" w:eastAsia="Arial" w:hAnsi="Arial"/>
                <w:sz w:val="14"/>
                <w:szCs w:val="14"/>
                <w:color w:val="auto"/>
              </w:rPr>
              <w:t>$ 133,412</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$ 169,477</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980" w:type="dxa"/>
            <w:vAlign w:val="bottom"/>
          </w:tcPr>
          <w:p>
            <w:pPr>
              <w:jc w:val="right"/>
              <w:spacing w:after="0"/>
              <w:rPr>
                <w:sz w:val="20"/>
                <w:szCs w:val="20"/>
                <w:color w:val="auto"/>
              </w:rPr>
            </w:pPr>
            <w:r>
              <w:rPr>
                <w:rFonts w:ascii="Arial" w:cs="Arial" w:eastAsia="Arial" w:hAnsi="Arial"/>
                <w:sz w:val="14"/>
                <w:szCs w:val="14"/>
                <w:color w:val="auto"/>
              </w:rPr>
              <w:t>361,991</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371,662</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1980" w:type="dxa"/>
            <w:vAlign w:val="bottom"/>
          </w:tcPr>
          <w:p>
            <w:pPr>
              <w:jc w:val="right"/>
              <w:spacing w:after="0"/>
              <w:rPr>
                <w:sz w:val="20"/>
                <w:szCs w:val="20"/>
                <w:color w:val="auto"/>
              </w:rPr>
            </w:pPr>
            <w:r>
              <w:rPr>
                <w:rFonts w:ascii="Arial" w:cs="Arial" w:eastAsia="Arial" w:hAnsi="Arial"/>
                <w:sz w:val="14"/>
                <w:szCs w:val="14"/>
                <w:color w:val="auto"/>
              </w:rPr>
              <w:t>248,358</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208,157</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Deferred tax assets current, net</w:t>
            </w:r>
          </w:p>
        </w:tc>
        <w:tc>
          <w:tcPr>
            <w:tcW w:w="1980" w:type="dxa"/>
            <w:vAlign w:val="bottom"/>
          </w:tcPr>
          <w:p>
            <w:pPr>
              <w:jc w:val="right"/>
              <w:spacing w:after="0"/>
              <w:rPr>
                <w:sz w:val="20"/>
                <w:szCs w:val="20"/>
                <w:color w:val="auto"/>
              </w:rPr>
            </w:pPr>
            <w:r>
              <w:rPr>
                <w:rFonts w:ascii="Arial" w:cs="Arial" w:eastAsia="Arial" w:hAnsi="Arial"/>
                <w:sz w:val="14"/>
                <w:szCs w:val="14"/>
                <w:color w:val="auto"/>
              </w:rPr>
              <w:t>55,233</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55,351</w:t>
            </w:r>
          </w:p>
        </w:tc>
        <w:tc>
          <w:tcPr>
            <w:tcW w:w="0" w:type="dxa"/>
            <w:vAlign w:val="bottom"/>
          </w:tcPr>
          <w:p>
            <w:pPr>
              <w:spacing w:after="0"/>
              <w:rPr>
                <w:sz w:val="1"/>
                <w:szCs w:val="1"/>
                <w:color w:val="auto"/>
              </w:rPr>
            </w:pPr>
          </w:p>
        </w:tc>
      </w:tr>
      <w:tr>
        <w:trPr>
          <w:trHeight w:val="181"/>
        </w:trPr>
        <w:tc>
          <w:tcPr>
            <w:tcW w:w="68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1980" w:type="dxa"/>
            <w:vAlign w:val="bottom"/>
          </w:tcPr>
          <w:p>
            <w:pPr>
              <w:jc w:val="right"/>
              <w:spacing w:after="0"/>
              <w:rPr>
                <w:sz w:val="20"/>
                <w:szCs w:val="20"/>
                <w:color w:val="auto"/>
              </w:rPr>
            </w:pPr>
            <w:r>
              <w:rPr>
                <w:rFonts w:ascii="Arial" w:cs="Arial" w:eastAsia="Arial" w:hAnsi="Arial"/>
                <w:sz w:val="14"/>
                <w:szCs w:val="14"/>
                <w:color w:val="auto"/>
              </w:rPr>
              <w:t>92,721</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77,570</w:t>
            </w:r>
          </w:p>
        </w:tc>
        <w:tc>
          <w:tcPr>
            <w:tcW w:w="0" w:type="dxa"/>
            <w:vAlign w:val="bottom"/>
          </w:tcPr>
          <w:p>
            <w:pPr>
              <w:spacing w:after="0"/>
              <w:rPr>
                <w:sz w:val="1"/>
                <w:szCs w:val="1"/>
                <w:color w:val="auto"/>
              </w:rPr>
            </w:pPr>
          </w:p>
        </w:tc>
      </w:tr>
      <w:tr>
        <w:trPr>
          <w:trHeight w:val="176"/>
        </w:trPr>
        <w:tc>
          <w:tcPr>
            <w:tcW w:w="682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891,715</w:t>
            </w:r>
          </w:p>
        </w:tc>
        <w:tc>
          <w:tcPr>
            <w:tcW w:w="140" w:type="dxa"/>
            <w:vAlign w:val="bottom"/>
          </w:tcPr>
          <w:p>
            <w:pPr>
              <w:spacing w:after="0"/>
              <w:rPr>
                <w:sz w:val="15"/>
                <w:szCs w:val="15"/>
                <w:color w:val="auto"/>
              </w:rPr>
            </w:pP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882,217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68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980" w:type="dxa"/>
            <w:vAlign w:val="bottom"/>
          </w:tcPr>
          <w:p>
            <w:pPr>
              <w:jc w:val="right"/>
              <w:spacing w:after="0"/>
              <w:rPr>
                <w:sz w:val="20"/>
                <w:szCs w:val="20"/>
                <w:color w:val="auto"/>
              </w:rPr>
            </w:pPr>
            <w:r>
              <w:rPr>
                <w:rFonts w:ascii="Arial" w:cs="Arial" w:eastAsia="Arial" w:hAnsi="Arial"/>
                <w:sz w:val="14"/>
                <w:szCs w:val="14"/>
                <w:color w:val="auto"/>
              </w:rPr>
              <w:t>296,008</w:t>
            </w:r>
          </w:p>
        </w:tc>
        <w:tc>
          <w:tcPr>
            <w:tcW w:w="140" w:type="dxa"/>
            <w:vAlign w:val="bottom"/>
          </w:tcPr>
          <w:p>
            <w:pPr>
              <w:spacing w:after="0"/>
              <w:rPr>
                <w:sz w:val="24"/>
                <w:szCs w:val="24"/>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299,242</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Prepaid debt fees</w:t>
            </w:r>
          </w:p>
        </w:tc>
        <w:tc>
          <w:tcPr>
            <w:tcW w:w="1980" w:type="dxa"/>
            <w:vAlign w:val="bottom"/>
          </w:tcPr>
          <w:p>
            <w:pPr>
              <w:jc w:val="right"/>
              <w:spacing w:after="0"/>
              <w:rPr>
                <w:sz w:val="20"/>
                <w:szCs w:val="20"/>
                <w:color w:val="auto"/>
              </w:rPr>
            </w:pPr>
            <w:r>
              <w:rPr>
                <w:rFonts w:ascii="Arial" w:cs="Arial" w:eastAsia="Arial" w:hAnsi="Arial"/>
                <w:sz w:val="14"/>
                <w:szCs w:val="14"/>
                <w:color w:val="auto"/>
              </w:rPr>
              <w:t>3,617</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4,483</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1980" w:type="dxa"/>
            <w:vAlign w:val="bottom"/>
          </w:tcPr>
          <w:p>
            <w:pPr>
              <w:jc w:val="right"/>
              <w:spacing w:after="0"/>
              <w:rPr>
                <w:sz w:val="20"/>
                <w:szCs w:val="20"/>
                <w:color w:val="auto"/>
              </w:rPr>
            </w:pPr>
            <w:r>
              <w:rPr>
                <w:rFonts w:ascii="Arial" w:cs="Arial" w:eastAsia="Arial" w:hAnsi="Arial"/>
                <w:sz w:val="14"/>
                <w:szCs w:val="14"/>
                <w:color w:val="auto"/>
              </w:rPr>
              <w:t>16,632</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35,050</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1980" w:type="dxa"/>
            <w:vAlign w:val="bottom"/>
          </w:tcPr>
          <w:p>
            <w:pPr>
              <w:jc w:val="right"/>
              <w:spacing w:after="0"/>
              <w:rPr>
                <w:sz w:val="20"/>
                <w:szCs w:val="20"/>
                <w:color w:val="auto"/>
              </w:rPr>
            </w:pPr>
            <w:r>
              <w:rPr>
                <w:rFonts w:ascii="Arial" w:cs="Arial" w:eastAsia="Arial" w:hAnsi="Arial"/>
                <w:sz w:val="14"/>
                <w:szCs w:val="14"/>
                <w:color w:val="auto"/>
              </w:rPr>
              <w:t>42,516</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23,759</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Intangible assets, net</w:t>
            </w:r>
          </w:p>
        </w:tc>
        <w:tc>
          <w:tcPr>
            <w:tcW w:w="1980" w:type="dxa"/>
            <w:vAlign w:val="bottom"/>
          </w:tcPr>
          <w:p>
            <w:pPr>
              <w:jc w:val="right"/>
              <w:spacing w:after="0"/>
              <w:rPr>
                <w:sz w:val="20"/>
                <w:szCs w:val="20"/>
                <w:color w:val="auto"/>
              </w:rPr>
            </w:pPr>
            <w:r>
              <w:rPr>
                <w:rFonts w:ascii="Arial" w:cs="Arial" w:eastAsia="Arial" w:hAnsi="Arial"/>
                <w:sz w:val="14"/>
                <w:szCs w:val="14"/>
                <w:color w:val="auto"/>
              </w:rPr>
              <w:t>304,776</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291,670</w:t>
            </w:r>
          </w:p>
        </w:tc>
        <w:tc>
          <w:tcPr>
            <w:tcW w:w="0" w:type="dxa"/>
            <w:vAlign w:val="bottom"/>
          </w:tcPr>
          <w:p>
            <w:pPr>
              <w:spacing w:after="0"/>
              <w:rPr>
                <w:sz w:val="1"/>
                <w:szCs w:val="1"/>
                <w:color w:val="auto"/>
              </w:rPr>
            </w:pPr>
          </w:p>
        </w:tc>
      </w:tr>
      <w:tr>
        <w:trPr>
          <w:trHeight w:val="181"/>
        </w:trPr>
        <w:tc>
          <w:tcPr>
            <w:tcW w:w="6820" w:type="dxa"/>
            <w:vAlign w:val="bottom"/>
          </w:tcPr>
          <w:p>
            <w:pPr>
              <w:spacing w:after="0"/>
              <w:rPr>
                <w:sz w:val="20"/>
                <w:szCs w:val="20"/>
                <w:color w:val="auto"/>
              </w:rPr>
            </w:pPr>
            <w:r>
              <w:rPr>
                <w:rFonts w:ascii="Arial" w:cs="Arial" w:eastAsia="Arial" w:hAnsi="Arial"/>
                <w:sz w:val="14"/>
                <w:szCs w:val="14"/>
                <w:color w:val="auto"/>
              </w:rPr>
              <w:t>Goodwill</w:t>
            </w:r>
          </w:p>
        </w:tc>
        <w:tc>
          <w:tcPr>
            <w:tcW w:w="1980" w:type="dxa"/>
            <w:vAlign w:val="bottom"/>
          </w:tcPr>
          <w:p>
            <w:pPr>
              <w:jc w:val="right"/>
              <w:spacing w:after="0"/>
              <w:rPr>
                <w:sz w:val="20"/>
                <w:szCs w:val="20"/>
                <w:color w:val="auto"/>
              </w:rPr>
            </w:pPr>
            <w:r>
              <w:rPr>
                <w:rFonts w:ascii="Arial" w:cs="Arial" w:eastAsia="Arial" w:hAnsi="Arial"/>
                <w:sz w:val="14"/>
                <w:szCs w:val="14"/>
                <w:color w:val="auto"/>
              </w:rPr>
              <w:t>1,294,452</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1,209,376</w:t>
            </w:r>
          </w:p>
        </w:tc>
        <w:tc>
          <w:tcPr>
            <w:tcW w:w="0" w:type="dxa"/>
            <w:vAlign w:val="bottom"/>
          </w:tcPr>
          <w:p>
            <w:pPr>
              <w:spacing w:after="0"/>
              <w:rPr>
                <w:sz w:val="1"/>
                <w:szCs w:val="1"/>
                <w:color w:val="auto"/>
              </w:rPr>
            </w:pPr>
          </w:p>
        </w:tc>
      </w:tr>
      <w:tr>
        <w:trPr>
          <w:trHeight w:val="169"/>
        </w:trPr>
        <w:tc>
          <w:tcPr>
            <w:tcW w:w="682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$ 2,849,716</w:t>
            </w:r>
          </w:p>
        </w:tc>
        <w:tc>
          <w:tcPr>
            <w:tcW w:w="140" w:type="dxa"/>
            <w:vAlign w:val="bottom"/>
          </w:tcPr>
          <w:p>
            <w:pPr>
              <w:spacing w:after="0"/>
              <w:rPr>
                <w:sz w:val="14"/>
                <w:szCs w:val="14"/>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$ 2,745,797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LIABILITIES AND SHAREHOLDERS' EQUITY</w:t>
            </w: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82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Current liabilities</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980" w:type="dxa"/>
            <w:vAlign w:val="bottom"/>
          </w:tcPr>
          <w:p>
            <w:pPr>
              <w:jc w:val="right"/>
              <w:spacing w:after="0"/>
              <w:rPr>
                <w:sz w:val="20"/>
                <w:szCs w:val="20"/>
                <w:color w:val="auto"/>
              </w:rPr>
            </w:pPr>
            <w:r>
              <w:rPr>
                <w:rFonts w:ascii="Arial" w:cs="Arial" w:eastAsia="Arial" w:hAnsi="Arial"/>
                <w:sz w:val="14"/>
                <w:szCs w:val="14"/>
                <w:color w:val="auto"/>
              </w:rPr>
              <w:t>$ 252,592</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$ 241,949</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1980" w:type="dxa"/>
            <w:vAlign w:val="bottom"/>
          </w:tcPr>
          <w:p>
            <w:pPr>
              <w:jc w:val="right"/>
              <w:spacing w:after="0"/>
              <w:rPr>
                <w:sz w:val="20"/>
                <w:szCs w:val="20"/>
                <w:color w:val="auto"/>
              </w:rPr>
            </w:pPr>
            <w:r>
              <w:rPr>
                <w:rFonts w:ascii="Arial" w:cs="Arial" w:eastAsia="Arial" w:hAnsi="Arial"/>
                <w:sz w:val="14"/>
                <w:szCs w:val="14"/>
                <w:color w:val="auto"/>
              </w:rPr>
              <w:t>44,848</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49,243</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Wages and benefits payable</w:t>
            </w:r>
          </w:p>
        </w:tc>
        <w:tc>
          <w:tcPr>
            <w:tcW w:w="1980" w:type="dxa"/>
            <w:vAlign w:val="bottom"/>
          </w:tcPr>
          <w:p>
            <w:pPr>
              <w:jc w:val="right"/>
              <w:spacing w:after="0"/>
              <w:rPr>
                <w:sz w:val="20"/>
                <w:szCs w:val="20"/>
                <w:color w:val="auto"/>
              </w:rPr>
            </w:pPr>
            <w:r>
              <w:rPr>
                <w:rFonts w:ascii="Arial" w:cs="Arial" w:eastAsia="Arial" w:hAnsi="Arial"/>
                <w:sz w:val="14"/>
                <w:szCs w:val="14"/>
                <w:color w:val="auto"/>
              </w:rPr>
              <w:t>85,829</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110,479</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Taxes payable</w:t>
            </w:r>
          </w:p>
        </w:tc>
        <w:tc>
          <w:tcPr>
            <w:tcW w:w="1980" w:type="dxa"/>
            <w:vAlign w:val="bottom"/>
          </w:tcPr>
          <w:p>
            <w:pPr>
              <w:jc w:val="right"/>
              <w:spacing w:after="0"/>
              <w:rPr>
                <w:sz w:val="20"/>
                <w:szCs w:val="20"/>
                <w:color w:val="auto"/>
              </w:rPr>
            </w:pPr>
            <w:r>
              <w:rPr>
                <w:rFonts w:ascii="Arial" w:cs="Arial" w:eastAsia="Arial" w:hAnsi="Arial"/>
                <w:sz w:val="14"/>
                <w:szCs w:val="14"/>
                <w:color w:val="auto"/>
              </w:rPr>
              <w:t>29,222</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19,725</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Current portion of debt</w:t>
            </w:r>
          </w:p>
        </w:tc>
        <w:tc>
          <w:tcPr>
            <w:tcW w:w="1980" w:type="dxa"/>
            <w:vAlign w:val="bottom"/>
          </w:tcPr>
          <w:p>
            <w:pPr>
              <w:jc w:val="right"/>
              <w:spacing w:after="0"/>
              <w:rPr>
                <w:sz w:val="20"/>
                <w:szCs w:val="20"/>
                <w:color w:val="auto"/>
              </w:rPr>
            </w:pPr>
            <w:r>
              <w:rPr>
                <w:rFonts w:ascii="Arial" w:cs="Arial" w:eastAsia="Arial" w:hAnsi="Arial"/>
                <w:sz w:val="14"/>
                <w:szCs w:val="14"/>
                <w:color w:val="auto"/>
              </w:rPr>
              <w:t>231,682</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228,721</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Current portion of warranty</w:t>
            </w:r>
          </w:p>
        </w:tc>
        <w:tc>
          <w:tcPr>
            <w:tcW w:w="1980" w:type="dxa"/>
            <w:vAlign w:val="bottom"/>
          </w:tcPr>
          <w:p>
            <w:pPr>
              <w:jc w:val="right"/>
              <w:spacing w:after="0"/>
              <w:rPr>
                <w:sz w:val="20"/>
                <w:szCs w:val="20"/>
                <w:color w:val="auto"/>
              </w:rPr>
            </w:pPr>
            <w:r>
              <w:rPr>
                <w:rFonts w:ascii="Arial" w:cs="Arial" w:eastAsia="Arial" w:hAnsi="Arial"/>
                <w:sz w:val="14"/>
                <w:szCs w:val="14"/>
                <w:color w:val="auto"/>
              </w:rPr>
              <w:t>26,260</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24,912</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Unearned revenue</w:t>
            </w:r>
          </w:p>
        </w:tc>
        <w:tc>
          <w:tcPr>
            <w:tcW w:w="1980" w:type="dxa"/>
            <w:vAlign w:val="bottom"/>
          </w:tcPr>
          <w:p>
            <w:pPr>
              <w:jc w:val="right"/>
              <w:spacing w:after="0"/>
              <w:rPr>
                <w:sz w:val="20"/>
                <w:szCs w:val="20"/>
                <w:color w:val="auto"/>
              </w:rPr>
            </w:pPr>
            <w:r>
              <w:rPr>
                <w:rFonts w:ascii="Arial" w:cs="Arial" w:eastAsia="Arial" w:hAnsi="Arial"/>
                <w:sz w:val="14"/>
                <w:szCs w:val="14"/>
                <w:color w:val="auto"/>
              </w:rPr>
              <w:t>42,939</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28,258</w:t>
            </w:r>
          </w:p>
        </w:tc>
        <w:tc>
          <w:tcPr>
            <w:tcW w:w="0" w:type="dxa"/>
            <w:vAlign w:val="bottom"/>
          </w:tcPr>
          <w:p>
            <w:pPr>
              <w:spacing w:after="0"/>
              <w:rPr>
                <w:sz w:val="1"/>
                <w:szCs w:val="1"/>
                <w:color w:val="auto"/>
              </w:rPr>
            </w:pPr>
          </w:p>
        </w:tc>
      </w:tr>
      <w:tr>
        <w:trPr>
          <w:trHeight w:val="181"/>
        </w:trPr>
        <w:tc>
          <w:tcPr>
            <w:tcW w:w="6820" w:type="dxa"/>
            <w:vAlign w:val="bottom"/>
          </w:tcPr>
          <w:p>
            <w:pPr>
              <w:ind w:left="140"/>
              <w:spacing w:after="0"/>
              <w:rPr>
                <w:sz w:val="20"/>
                <w:szCs w:val="20"/>
                <w:color w:val="auto"/>
              </w:rPr>
            </w:pPr>
            <w:r>
              <w:rPr>
                <w:rFonts w:ascii="Arial" w:cs="Arial" w:eastAsia="Arial" w:hAnsi="Arial"/>
                <w:sz w:val="14"/>
                <w:szCs w:val="14"/>
                <w:color w:val="auto"/>
              </w:rPr>
              <w:t>Deferred tax liabilities current, net</w:t>
            </w:r>
          </w:p>
        </w:tc>
        <w:tc>
          <w:tcPr>
            <w:tcW w:w="1980" w:type="dxa"/>
            <w:vAlign w:val="bottom"/>
          </w:tcPr>
          <w:p>
            <w:pPr>
              <w:jc w:val="right"/>
              <w:spacing w:after="0"/>
              <w:rPr>
                <w:sz w:val="20"/>
                <w:szCs w:val="20"/>
                <w:color w:val="auto"/>
              </w:rPr>
            </w:pPr>
            <w:r>
              <w:rPr>
                <w:rFonts w:ascii="Arial" w:cs="Arial" w:eastAsia="Arial" w:hAnsi="Arial"/>
                <w:sz w:val="14"/>
                <w:szCs w:val="14"/>
                <w:color w:val="auto"/>
              </w:rPr>
              <w:t>447</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76"/>
        </w:trPr>
        <w:tc>
          <w:tcPr>
            <w:tcW w:w="682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713,819</w:t>
            </w:r>
          </w:p>
        </w:tc>
        <w:tc>
          <w:tcPr>
            <w:tcW w:w="140" w:type="dxa"/>
            <w:vAlign w:val="bottom"/>
          </w:tcPr>
          <w:p>
            <w:pPr>
              <w:spacing w:after="0"/>
              <w:rPr>
                <w:sz w:val="15"/>
                <w:szCs w:val="15"/>
                <w:color w:val="auto"/>
              </w:rPr>
            </w:pP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703,734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6820" w:type="dxa"/>
            <w:vAlign w:val="bottom"/>
          </w:tcPr>
          <w:p>
            <w:pPr>
              <w:spacing w:after="0"/>
              <w:rPr>
                <w:sz w:val="20"/>
                <w:szCs w:val="20"/>
                <w:color w:val="auto"/>
              </w:rPr>
            </w:pPr>
            <w:r>
              <w:rPr>
                <w:rFonts w:ascii="Arial" w:cs="Arial" w:eastAsia="Arial" w:hAnsi="Arial"/>
                <w:sz w:val="14"/>
                <w:szCs w:val="14"/>
                <w:color w:val="auto"/>
              </w:rPr>
              <w:t>Long-term debt</w:t>
            </w:r>
          </w:p>
        </w:tc>
        <w:tc>
          <w:tcPr>
            <w:tcW w:w="1980" w:type="dxa"/>
            <w:vAlign w:val="bottom"/>
          </w:tcPr>
          <w:p>
            <w:pPr>
              <w:jc w:val="right"/>
              <w:spacing w:after="0"/>
              <w:rPr>
                <w:sz w:val="20"/>
                <w:szCs w:val="20"/>
                <w:color w:val="auto"/>
              </w:rPr>
            </w:pPr>
            <w:r>
              <w:rPr>
                <w:rFonts w:ascii="Arial" w:cs="Arial" w:eastAsia="Arial" w:hAnsi="Arial"/>
                <w:sz w:val="14"/>
                <w:szCs w:val="14"/>
                <w:color w:val="auto"/>
              </w:rPr>
              <w:t>341,563</w:t>
            </w:r>
          </w:p>
        </w:tc>
        <w:tc>
          <w:tcPr>
            <w:tcW w:w="140" w:type="dxa"/>
            <w:vAlign w:val="bottom"/>
          </w:tcPr>
          <w:p>
            <w:pPr>
              <w:spacing w:after="0"/>
              <w:rPr>
                <w:sz w:val="24"/>
                <w:szCs w:val="24"/>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382,220</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Long-term warranty</w:t>
            </w:r>
          </w:p>
        </w:tc>
        <w:tc>
          <w:tcPr>
            <w:tcW w:w="1980" w:type="dxa"/>
            <w:vAlign w:val="bottom"/>
          </w:tcPr>
          <w:p>
            <w:pPr>
              <w:jc w:val="right"/>
              <w:spacing w:after="0"/>
              <w:rPr>
                <w:sz w:val="20"/>
                <w:szCs w:val="20"/>
                <w:color w:val="auto"/>
              </w:rPr>
            </w:pPr>
            <w:r>
              <w:rPr>
                <w:rFonts w:ascii="Arial" w:cs="Arial" w:eastAsia="Arial" w:hAnsi="Arial"/>
                <w:sz w:val="14"/>
                <w:szCs w:val="14"/>
                <w:color w:val="auto"/>
              </w:rPr>
              <w:t>32,903</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26,371</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1980" w:type="dxa"/>
            <w:vAlign w:val="bottom"/>
          </w:tcPr>
          <w:p>
            <w:pPr>
              <w:jc w:val="right"/>
              <w:spacing w:after="0"/>
              <w:rPr>
                <w:sz w:val="20"/>
                <w:szCs w:val="20"/>
                <w:color w:val="auto"/>
              </w:rPr>
            </w:pPr>
            <w:r>
              <w:rPr>
                <w:rFonts w:ascii="Arial" w:cs="Arial" w:eastAsia="Arial" w:hAnsi="Arial"/>
                <w:sz w:val="14"/>
                <w:szCs w:val="14"/>
                <w:color w:val="auto"/>
              </w:rPr>
              <w:t>66,865</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61,450</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1980" w:type="dxa"/>
            <w:vAlign w:val="bottom"/>
          </w:tcPr>
          <w:p>
            <w:pPr>
              <w:jc w:val="right"/>
              <w:spacing w:after="0"/>
              <w:rPr>
                <w:sz w:val="20"/>
                <w:szCs w:val="20"/>
                <w:color w:val="auto"/>
              </w:rPr>
            </w:pPr>
            <w:r>
              <w:rPr>
                <w:rFonts w:ascii="Arial" w:cs="Arial" w:eastAsia="Arial" w:hAnsi="Arial"/>
                <w:sz w:val="14"/>
                <w:szCs w:val="14"/>
                <w:color w:val="auto"/>
              </w:rPr>
              <w:t>54,575</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54,412</w:t>
            </w:r>
          </w:p>
        </w:tc>
        <w:tc>
          <w:tcPr>
            <w:tcW w:w="0" w:type="dxa"/>
            <w:vAlign w:val="bottom"/>
          </w:tcPr>
          <w:p>
            <w:pPr>
              <w:spacing w:after="0"/>
              <w:rPr>
                <w:sz w:val="1"/>
                <w:szCs w:val="1"/>
                <w:color w:val="auto"/>
              </w:rPr>
            </w:pPr>
          </w:p>
        </w:tc>
      </w:tr>
      <w:tr>
        <w:trPr>
          <w:trHeight w:val="181"/>
        </w:trPr>
        <w:tc>
          <w:tcPr>
            <w:tcW w:w="682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1980" w:type="dxa"/>
            <w:vAlign w:val="bottom"/>
          </w:tcPr>
          <w:p>
            <w:pPr>
              <w:jc w:val="right"/>
              <w:spacing w:after="0"/>
              <w:rPr>
                <w:sz w:val="20"/>
                <w:szCs w:val="20"/>
                <w:color w:val="auto"/>
              </w:rPr>
            </w:pPr>
            <w:r>
              <w:rPr>
                <w:rFonts w:ascii="Arial" w:cs="Arial" w:eastAsia="Arial" w:hAnsi="Arial"/>
                <w:sz w:val="14"/>
                <w:szCs w:val="14"/>
                <w:color w:val="auto"/>
              </w:rPr>
              <w:t>85,073</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89,315</w:t>
            </w:r>
          </w:p>
        </w:tc>
        <w:tc>
          <w:tcPr>
            <w:tcW w:w="0" w:type="dxa"/>
            <w:vAlign w:val="bottom"/>
          </w:tcPr>
          <w:p>
            <w:pPr>
              <w:spacing w:after="0"/>
              <w:rPr>
                <w:sz w:val="1"/>
                <w:szCs w:val="1"/>
                <w:color w:val="auto"/>
              </w:rPr>
            </w:pPr>
          </w:p>
        </w:tc>
      </w:tr>
      <w:tr>
        <w:trPr>
          <w:trHeight w:val="176"/>
        </w:trPr>
        <w:tc>
          <w:tcPr>
            <w:tcW w:w="682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1,294,798</w:t>
            </w:r>
          </w:p>
        </w:tc>
        <w:tc>
          <w:tcPr>
            <w:tcW w:w="140" w:type="dxa"/>
            <w:vAlign w:val="bottom"/>
          </w:tcPr>
          <w:p>
            <w:pPr>
              <w:spacing w:after="0"/>
              <w:rPr>
                <w:sz w:val="15"/>
                <w:szCs w:val="15"/>
                <w:color w:val="auto"/>
              </w:rPr>
            </w:pP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1,317,502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68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20" w:type="dxa"/>
            <w:vAlign w:val="bottom"/>
          </w:tcPr>
          <w:p>
            <w:pPr>
              <w:spacing w:after="0"/>
              <w:rPr>
                <w:sz w:val="20"/>
                <w:szCs w:val="20"/>
                <w:color w:val="auto"/>
              </w:rPr>
            </w:pPr>
            <w:r>
              <w:rPr>
                <w:rFonts w:ascii="Arial" w:cs="Arial" w:eastAsia="Arial" w:hAnsi="Arial"/>
                <w:sz w:val="14"/>
                <w:szCs w:val="14"/>
                <w:color w:val="auto"/>
              </w:rPr>
              <w:t>Shareholders' equity</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1980" w:type="dxa"/>
            <w:vAlign w:val="bottom"/>
          </w:tcPr>
          <w:p>
            <w:pPr>
              <w:jc w:val="right"/>
              <w:spacing w:after="0"/>
              <w:rPr>
                <w:sz w:val="20"/>
                <w:szCs w:val="20"/>
                <w:color w:val="auto"/>
              </w:rPr>
            </w:pPr>
            <w:r>
              <w:rPr>
                <w:rFonts w:ascii="Arial" w:cs="Arial" w:eastAsia="Arial" w:hAnsi="Arial"/>
                <w:sz w:val="14"/>
                <w:szCs w:val="14"/>
                <w:color w:val="auto"/>
              </w:rPr>
              <w:t>1,334,165</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1,328,249</w:t>
            </w:r>
          </w:p>
        </w:tc>
        <w:tc>
          <w:tcPr>
            <w:tcW w:w="0" w:type="dxa"/>
            <w:vAlign w:val="bottom"/>
          </w:tcPr>
          <w:p>
            <w:pPr>
              <w:spacing w:after="0"/>
              <w:rPr>
                <w:sz w:val="1"/>
                <w:szCs w:val="1"/>
                <w:color w:val="auto"/>
              </w:rPr>
            </w:pPr>
          </w:p>
        </w:tc>
      </w:tr>
      <w:tr>
        <w:trPr>
          <w:trHeight w:val="176"/>
        </w:trPr>
        <w:tc>
          <w:tcPr>
            <w:tcW w:w="6820" w:type="dxa"/>
            <w:vAlign w:val="bottom"/>
          </w:tcPr>
          <w:p>
            <w:pPr>
              <w:ind w:left="140"/>
              <w:spacing w:after="0"/>
              <w:rPr>
                <w:sz w:val="20"/>
                <w:szCs w:val="20"/>
                <w:color w:val="auto"/>
              </w:rPr>
            </w:pPr>
            <w:r>
              <w:rPr>
                <w:rFonts w:ascii="Arial" w:cs="Arial" w:eastAsia="Arial" w:hAnsi="Arial"/>
                <w:sz w:val="14"/>
                <w:szCs w:val="14"/>
                <w:color w:val="auto"/>
              </w:rPr>
              <w:t>Accumulated other comprehensive income (loss), net</w:t>
            </w:r>
          </w:p>
        </w:tc>
        <w:tc>
          <w:tcPr>
            <w:tcW w:w="1980" w:type="dxa"/>
            <w:vAlign w:val="bottom"/>
          </w:tcPr>
          <w:p>
            <w:pPr>
              <w:jc w:val="right"/>
              <w:spacing w:after="0"/>
              <w:rPr>
                <w:sz w:val="20"/>
                <w:szCs w:val="20"/>
                <w:color w:val="auto"/>
              </w:rPr>
            </w:pPr>
            <w:r>
              <w:rPr>
                <w:rFonts w:ascii="Arial" w:cs="Arial" w:eastAsia="Arial" w:hAnsi="Arial"/>
                <w:sz w:val="14"/>
                <w:szCs w:val="14"/>
                <w:color w:val="auto"/>
              </w:rPr>
              <w:t>58,613</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(34,974)</w:t>
            </w:r>
          </w:p>
        </w:tc>
        <w:tc>
          <w:tcPr>
            <w:tcW w:w="0" w:type="dxa"/>
            <w:vAlign w:val="bottom"/>
          </w:tcPr>
          <w:p>
            <w:pPr>
              <w:spacing w:after="0"/>
              <w:rPr>
                <w:sz w:val="1"/>
                <w:szCs w:val="1"/>
                <w:color w:val="auto"/>
              </w:rPr>
            </w:pPr>
          </w:p>
        </w:tc>
      </w:tr>
      <w:tr>
        <w:trPr>
          <w:trHeight w:val="181"/>
        </w:trPr>
        <w:tc>
          <w:tcPr>
            <w:tcW w:w="682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980" w:type="dxa"/>
            <w:vAlign w:val="bottom"/>
          </w:tcPr>
          <w:p>
            <w:pPr>
              <w:jc w:val="right"/>
              <w:spacing w:after="0"/>
              <w:rPr>
                <w:sz w:val="20"/>
                <w:szCs w:val="20"/>
                <w:color w:val="auto"/>
              </w:rPr>
            </w:pPr>
            <w:r>
              <w:rPr>
                <w:rFonts w:ascii="Arial" w:cs="Arial" w:eastAsia="Arial" w:hAnsi="Arial"/>
                <w:sz w:val="14"/>
                <w:szCs w:val="14"/>
                <w:color w:val="auto"/>
              </w:rPr>
              <w:t>162,140</w:t>
            </w:r>
          </w:p>
        </w:tc>
        <w:tc>
          <w:tcPr>
            <w:tcW w:w="140" w:type="dxa"/>
            <w:vAlign w:val="bottom"/>
          </w:tcPr>
          <w:p>
            <w:pPr>
              <w:spacing w:after="0"/>
              <w:rPr>
                <w:sz w:val="15"/>
                <w:szCs w:val="15"/>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4"/>
                <w:szCs w:val="14"/>
                <w:color w:val="auto"/>
              </w:rPr>
              <w:t>135,020</w:t>
            </w:r>
          </w:p>
        </w:tc>
        <w:tc>
          <w:tcPr>
            <w:tcW w:w="0" w:type="dxa"/>
            <w:vAlign w:val="bottom"/>
          </w:tcPr>
          <w:p>
            <w:pPr>
              <w:spacing w:after="0"/>
              <w:rPr>
                <w:sz w:val="1"/>
                <w:szCs w:val="1"/>
                <w:color w:val="auto"/>
              </w:rPr>
            </w:pPr>
          </w:p>
        </w:tc>
      </w:tr>
      <w:tr>
        <w:trPr>
          <w:trHeight w:val="169"/>
        </w:trPr>
        <w:tc>
          <w:tcPr>
            <w:tcW w:w="6820" w:type="dxa"/>
            <w:vAlign w:val="bottom"/>
          </w:tcPr>
          <w:p>
            <w:pPr>
              <w:ind w:left="280"/>
              <w:spacing w:after="0"/>
              <w:rPr>
                <w:sz w:val="20"/>
                <w:szCs w:val="20"/>
                <w:color w:val="auto"/>
              </w:rPr>
            </w:pPr>
            <w:r>
              <w:rPr>
                <w:rFonts w:ascii="Arial" w:cs="Arial" w:eastAsia="Arial" w:hAnsi="Arial"/>
                <w:sz w:val="14"/>
                <w:szCs w:val="14"/>
                <w:color w:val="auto"/>
              </w:rPr>
              <w:t>Total shareholders' equity</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1,554,918</w:t>
            </w:r>
          </w:p>
        </w:tc>
        <w:tc>
          <w:tcPr>
            <w:tcW w:w="140" w:type="dxa"/>
            <w:vAlign w:val="bottom"/>
          </w:tcPr>
          <w:p>
            <w:pPr>
              <w:spacing w:after="0"/>
              <w:rPr>
                <w:sz w:val="14"/>
                <w:szCs w:val="14"/>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1,428,295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ind w:left="280"/>
              <w:spacing w:after="0"/>
              <w:rPr>
                <w:sz w:val="20"/>
                <w:szCs w:val="20"/>
                <w:color w:val="auto"/>
              </w:rPr>
            </w:pPr>
            <w:r>
              <w:rPr>
                <w:rFonts w:ascii="Arial" w:cs="Arial" w:eastAsia="Arial" w:hAnsi="Arial"/>
                <w:sz w:val="14"/>
                <w:szCs w:val="14"/>
                <w:color w:val="auto"/>
              </w:rPr>
              <w:t>Total liabilities and shareholders' equity</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$ 2,849,716</w:t>
            </w:r>
          </w:p>
        </w:tc>
        <w:tc>
          <w:tcPr>
            <w:tcW w:w="140" w:type="dxa"/>
            <w:vAlign w:val="bottom"/>
          </w:tcPr>
          <w:p>
            <w:pPr>
              <w:spacing w:after="0"/>
              <w:rPr>
                <w:sz w:val="14"/>
                <w:szCs w:val="14"/>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$ 2,745,797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8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8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320" w:type="dxa"/>
            <w:vAlign w:val="bottom"/>
            <w:gridSpan w:val="5"/>
            <w:vMerge w:val="restart"/>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9"/>
        </w:trPr>
        <w:tc>
          <w:tcPr>
            <w:tcW w:w="8100" w:type="dxa"/>
            <w:vAlign w:val="bottom"/>
          </w:tcPr>
          <w:p>
            <w:pPr>
              <w:spacing w:after="0"/>
              <w:rPr>
                <w:sz w:val="15"/>
                <w:szCs w:val="15"/>
                <w:color w:val="auto"/>
              </w:rPr>
            </w:pPr>
          </w:p>
        </w:tc>
        <w:tc>
          <w:tcPr>
            <w:tcW w:w="33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0"/>
        </w:trPr>
        <w:tc>
          <w:tcPr>
            <w:tcW w:w="8100" w:type="dxa"/>
            <w:vAlign w:val="bottom"/>
            <w:vMerge w:val="restart"/>
          </w:tcPr>
          <w:p>
            <w:pPr>
              <w:spacing w:after="0"/>
              <w:rPr>
                <w:sz w:val="20"/>
                <w:szCs w:val="20"/>
                <w:color w:val="auto"/>
              </w:rPr>
            </w:pPr>
            <w:r>
              <w:rPr>
                <w:rFonts w:ascii="Arial" w:cs="Arial" w:eastAsia="Arial" w:hAnsi="Arial"/>
                <w:sz w:val="14"/>
                <w:szCs w:val="14"/>
                <w:color w:val="auto"/>
              </w:rPr>
              <w:t>Operating activities</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468"/>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60"/>
        </w:trPr>
        <w:tc>
          <w:tcPr>
            <w:tcW w:w="81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27,120</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25,250</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31,531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33,277</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4,975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4,576</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Amortization of prepaid debt fees</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1,305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Amortization of convertible debt discount</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2,643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Deferred taxes, net</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7,569</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(14,103)</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Other adjustments, net</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(1,994)</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24,545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(6,167)</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(34,074)</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(27,753)</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Accounts payables, other current liabilities, and taxes payable</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11,311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30,775</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Wages and benefits payable</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(29,383)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10,261</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Unearned revenue</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15,693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12,615</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Warranty</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6,445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81"/>
        </w:trPr>
        <w:tc>
          <w:tcPr>
            <w:tcW w:w="8100" w:type="dxa"/>
            <w:vAlign w:val="bottom"/>
          </w:tcPr>
          <w:p>
            <w:pPr>
              <w:ind w:left="140"/>
              <w:spacing w:after="0"/>
              <w:rPr>
                <w:sz w:val="20"/>
                <w:szCs w:val="20"/>
                <w:color w:val="auto"/>
              </w:rPr>
            </w:pPr>
            <w:r>
              <w:rPr>
                <w:rFonts w:ascii="Arial" w:cs="Arial" w:eastAsia="Arial" w:hAnsi="Arial"/>
                <w:sz w:val="14"/>
                <w:szCs w:val="14"/>
                <w:color w:val="auto"/>
              </w:rPr>
              <w:t>Other operating, net</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(31,673)</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(10,663)</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36,013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65,779</w:t>
            </w:r>
          </w:p>
        </w:tc>
        <w:tc>
          <w:tcPr>
            <w:tcW w:w="0" w:type="dxa"/>
            <w:vAlign w:val="bottom"/>
          </w:tcPr>
          <w:p>
            <w:pPr>
              <w:spacing w:after="0"/>
              <w:rPr>
                <w:sz w:val="1"/>
                <w:szCs w:val="1"/>
                <w:color w:val="auto"/>
              </w:rPr>
            </w:pPr>
          </w:p>
        </w:tc>
      </w:tr>
      <w:tr>
        <w:trPr>
          <w:trHeight w:val="339"/>
        </w:trPr>
        <w:tc>
          <w:tcPr>
            <w:tcW w:w="8100" w:type="dxa"/>
            <w:vAlign w:val="bottom"/>
          </w:tcPr>
          <w:p>
            <w:pPr>
              <w:spacing w:after="0"/>
              <w:rPr>
                <w:sz w:val="20"/>
                <w:szCs w:val="20"/>
                <w:color w:val="auto"/>
              </w:rPr>
            </w:pPr>
            <w:r>
              <w:rPr>
                <w:rFonts w:ascii="Arial" w:cs="Arial" w:eastAsia="Arial" w:hAnsi="Arial"/>
                <w:sz w:val="14"/>
                <w:szCs w:val="14"/>
                <w:color w:val="auto"/>
              </w:rPr>
              <w:t>Investing activities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Acquisitions of property, plant, and equipment</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(11,250)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(16,151)</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Business acquisition, net of cash equivalents acquired</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(14,829)</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100" w:type="dxa"/>
            <w:vAlign w:val="bottom"/>
          </w:tcPr>
          <w:p>
            <w:pPr>
              <w:ind w:left="140"/>
              <w:spacing w:after="0"/>
              <w:rPr>
                <w:sz w:val="20"/>
                <w:szCs w:val="20"/>
                <w:color w:val="auto"/>
              </w:rPr>
            </w:pPr>
            <w:r>
              <w:rPr>
                <w:rFonts w:ascii="Arial" w:cs="Arial" w:eastAsia="Arial" w:hAnsi="Arial"/>
                <w:sz w:val="14"/>
                <w:szCs w:val="14"/>
                <w:color w:val="auto"/>
              </w:rPr>
              <w:t>Other investing, net</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305</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(25,774)</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(13,049)</w:t>
            </w:r>
          </w:p>
        </w:tc>
        <w:tc>
          <w:tcPr>
            <w:tcW w:w="0" w:type="dxa"/>
            <w:vAlign w:val="bottom"/>
          </w:tcPr>
          <w:p>
            <w:pPr>
              <w:spacing w:after="0"/>
              <w:rPr>
                <w:sz w:val="1"/>
                <w:szCs w:val="1"/>
                <w:color w:val="auto"/>
              </w:rPr>
            </w:pPr>
          </w:p>
        </w:tc>
      </w:tr>
      <w:tr>
        <w:trPr>
          <w:trHeight w:val="339"/>
        </w:trPr>
        <w:tc>
          <w:tcPr>
            <w:tcW w:w="8100" w:type="dxa"/>
            <w:vAlign w:val="bottom"/>
          </w:tcPr>
          <w:p>
            <w:pPr>
              <w:spacing w:after="0"/>
              <w:rPr>
                <w:sz w:val="20"/>
                <w:szCs w:val="20"/>
                <w:color w:val="auto"/>
              </w:rPr>
            </w:pPr>
            <w:r>
              <w:rPr>
                <w:rFonts w:ascii="Arial" w:cs="Arial" w:eastAsia="Arial" w:hAnsi="Arial"/>
                <w:sz w:val="14"/>
                <w:szCs w:val="14"/>
                <w:color w:val="auto"/>
              </w:rPr>
              <w:t>Financing activities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Payments on debt</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(52,919)</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(52,837)</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1,142</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4,542</w:t>
            </w:r>
          </w:p>
        </w:tc>
        <w:tc>
          <w:tcPr>
            <w:tcW w:w="0" w:type="dxa"/>
            <w:vAlign w:val="bottom"/>
          </w:tcPr>
          <w:p>
            <w:pPr>
              <w:spacing w:after="0"/>
              <w:rPr>
                <w:sz w:val="1"/>
                <w:szCs w:val="1"/>
                <w:color w:val="auto"/>
              </w:rPr>
            </w:pP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Prepaid debt fees</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(388)</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100" w:type="dxa"/>
            <w:vAlign w:val="bottom"/>
          </w:tcPr>
          <w:p>
            <w:pPr>
              <w:ind w:left="140"/>
              <w:spacing w:after="0"/>
              <w:rPr>
                <w:sz w:val="20"/>
                <w:szCs w:val="20"/>
                <w:color w:val="auto"/>
              </w:rPr>
            </w:pPr>
            <w:r>
              <w:rPr>
                <w:rFonts w:ascii="Arial" w:cs="Arial" w:eastAsia="Arial" w:hAnsi="Arial"/>
                <w:sz w:val="14"/>
                <w:szCs w:val="14"/>
                <w:color w:val="auto"/>
              </w:rPr>
              <w:t>Other financing, net</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6"/>
        </w:trPr>
        <w:tc>
          <w:tcPr>
            <w:tcW w:w="8100" w:type="dxa"/>
            <w:vAlign w:val="bottom"/>
          </w:tcPr>
          <w:p>
            <w:pPr>
              <w:ind w:left="28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(52,366)</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(48,391)</w:t>
            </w:r>
          </w:p>
        </w:tc>
        <w:tc>
          <w:tcPr>
            <w:tcW w:w="0" w:type="dxa"/>
            <w:vAlign w:val="bottom"/>
          </w:tcPr>
          <w:p>
            <w:pPr>
              <w:spacing w:after="0"/>
              <w:rPr>
                <w:sz w:val="1"/>
                <w:szCs w:val="1"/>
                <w:color w:val="auto"/>
              </w:rPr>
            </w:pPr>
          </w:p>
        </w:tc>
      </w:tr>
      <w:tr>
        <w:trPr>
          <w:trHeight w:val="344"/>
        </w:trPr>
        <w:tc>
          <w:tcPr>
            <w:tcW w:w="810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6,062</w:t>
            </w: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(2,814)</w:t>
            </w:r>
          </w:p>
        </w:tc>
        <w:tc>
          <w:tcPr>
            <w:tcW w:w="0" w:type="dxa"/>
            <w:vAlign w:val="bottom"/>
          </w:tcPr>
          <w:p>
            <w:pPr>
              <w:spacing w:after="0"/>
              <w:rPr>
                <w:sz w:val="1"/>
                <w:szCs w:val="1"/>
                <w:color w:val="auto"/>
              </w:rPr>
            </w:pPr>
          </w:p>
        </w:tc>
      </w:tr>
      <w:tr>
        <w:trPr>
          <w:trHeight w:val="164"/>
        </w:trPr>
        <w:tc>
          <w:tcPr>
            <w:tcW w:w="810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9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5"/>
              </w:rPr>
              <w:t>(36,065)</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81"/>
        </w:trPr>
        <w:tc>
          <w:tcPr>
            <w:tcW w:w="81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169,477</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169"/>
        </w:trPr>
        <w:tc>
          <w:tcPr>
            <w:tcW w:w="810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133,412</w:t>
            </w:r>
          </w:p>
        </w:tc>
        <w:tc>
          <w:tcPr>
            <w:tcW w:w="160" w:type="dxa"/>
            <w:vAlign w:val="bottom"/>
          </w:tcPr>
          <w:p>
            <w:pPr>
              <w:spacing w:after="0"/>
              <w:rPr>
                <w:sz w:val="14"/>
                <w:szCs w:val="14"/>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123,418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or extinguishment of debt gains and losses.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i w:val="1"/>
          <w:iCs w:val="1"/>
          <w:color w:val="auto"/>
        </w:rPr>
        <w:t xml:space="preserve">Non-GAAP operating expense and non-GAAP operating income </w:t>
      </w:r>
      <w:r>
        <w:rPr>
          <w:rFonts w:ascii="Arial" w:cs="Arial" w:eastAsia="Arial" w:hAnsi="Arial"/>
          <w:sz w:val="19"/>
          <w:szCs w:val="19"/>
          <w:color w:val="auto"/>
        </w:rPr>
        <w:t>– We define non-GAAP operating expense as operating expense</w:t>
      </w:r>
      <w:r>
        <w:rPr>
          <w:rFonts w:ascii="Arial" w:cs="Arial" w:eastAsia="Arial" w:hAnsi="Arial"/>
          <w:sz w:val="19"/>
          <w:szCs w:val="19"/>
          <w:i w:val="1"/>
          <w:iCs w:val="1"/>
          <w:color w:val="auto"/>
        </w:rPr>
        <w:t xml:space="preserve"> </w:t>
      </w:r>
      <w:r>
        <w:rPr>
          <w:rFonts w:ascii="Arial" w:cs="Arial" w:eastAsia="Arial" w:hAnsi="Arial"/>
          <w:sz w:val="19"/>
          <w:szCs w:val="19"/>
          <w:color w:val="auto"/>
        </w:rPr>
        <w:t>excluding the expense related to the amortization of intangible assets. We define non-GAAP operating income as operating income excluding the expense related to the amortization of intangible assets. We consider these non-GAAP financial measures to be useful metrics for management and investors because they exclude the effect of expenses that are related to previous acquisitions.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ind w:right="60"/>
        <w:spacing w:after="0" w:line="275" w:lineRule="auto"/>
        <w:rPr>
          <w:sz w:val="20"/>
          <w:szCs w:val="20"/>
          <w:color w:val="auto"/>
        </w:rPr>
      </w:pPr>
      <w:r>
        <w:rPr>
          <w:rFonts w:ascii="Arial" w:cs="Arial" w:eastAsia="Arial" w:hAnsi="Arial"/>
          <w:sz w:val="19"/>
          <w:szCs w:val="19"/>
          <w:i w:val="1"/>
          <w:iCs w:val="1"/>
          <w:color w:val="auto"/>
        </w:rPr>
        <w:t xml:space="preserve">Non-GAAP net income and non-GAAP diluted EPS </w:t>
      </w:r>
      <w:r>
        <w:rPr>
          <w:rFonts w:ascii="Arial" w:cs="Arial" w:eastAsia="Arial" w:hAnsi="Arial"/>
          <w:sz w:val="19"/>
          <w:szCs w:val="19"/>
          <w:color w:val="auto"/>
        </w:rPr>
        <w:t>– We define non-GAAP net income as net income excluding the expenses</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associated with amortization of intangible assets, amortization of debt placement fees, and amortization of convertible debt discount.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59" w:lineRule="exact"/>
        <w:rPr>
          <w:sz w:val="20"/>
          <w:szCs w:val="20"/>
          <w:color w:val="auto"/>
        </w:rPr>
      </w:pPr>
    </w:p>
    <w:p>
      <w:pPr>
        <w:spacing w:after="0" w:line="275" w:lineRule="auto"/>
        <w:rPr>
          <w:sz w:val="20"/>
          <w:szCs w:val="20"/>
          <w:color w:val="auto"/>
        </w:rPr>
      </w:pPr>
      <w:r>
        <w:rPr>
          <w:rFonts w:ascii="Arial" w:cs="Arial" w:eastAsia="Arial" w:hAnsi="Arial"/>
          <w:sz w:val="19"/>
          <w:szCs w:val="19"/>
          <w:i w:val="1"/>
          <w:iCs w:val="1"/>
          <w:color w:val="auto"/>
        </w:rPr>
        <w:t xml:space="preserve">Adjusted EBITDA </w:t>
      </w:r>
      <w:r>
        <w:rPr>
          <w:rFonts w:ascii="Arial" w:cs="Arial" w:eastAsia="Arial" w:hAnsi="Arial"/>
          <w:sz w:val="19"/>
          <w:szCs w:val="19"/>
          <w:color w:val="auto"/>
        </w:rPr>
        <w:t>– We define adjusted EBITDA as net income (a) minus interest income, (b) plus interest expense, depreciation</w:t>
      </w:r>
      <w:r>
        <w:rPr>
          <w:rFonts w:ascii="Arial" w:cs="Arial" w:eastAsia="Arial" w:hAnsi="Arial"/>
          <w:sz w:val="19"/>
          <w:szCs w:val="19"/>
          <w:i w:val="1"/>
          <w:iCs w:val="1"/>
          <w:color w:val="auto"/>
        </w:rPr>
        <w:t xml:space="preserve"> </w:t>
      </w:r>
      <w:r>
        <w:rPr>
          <w:rFonts w:ascii="Arial" w:cs="Arial" w:eastAsia="Arial" w:hAnsi="Arial"/>
          <w:sz w:val="19"/>
          <w:szCs w:val="19"/>
          <w:color w:val="auto"/>
        </w:rPr>
        <w:t>expense and amortization of intangible asset expense,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58"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i w:val="1"/>
          <w:iCs w:val="1"/>
          <w:color w:val="auto"/>
        </w:rPr>
        <w:t xml:space="preserve">Free cash flow </w:t>
      </w:r>
      <w:r>
        <w:rPr>
          <w:rFonts w:ascii="Arial" w:cs="Arial" w:eastAsia="Arial" w:hAnsi="Arial"/>
          <w:sz w:val="21"/>
          <w:szCs w:val="21"/>
          <w:color w:val="auto"/>
        </w:rPr>
        <w:t>– We define free cash flow as net cash provided by operating activities less cash used for acquisitions of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38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20" w:type="dxa"/>
            <w:vAlign w:val="bottom"/>
          </w:tcPr>
          <w:p>
            <w:pPr>
              <w:spacing w:after="0"/>
              <w:rPr>
                <w:sz w:val="15"/>
                <w:szCs w:val="15"/>
                <w:color w:val="auto"/>
              </w:rPr>
            </w:pPr>
          </w:p>
        </w:tc>
        <w:tc>
          <w:tcPr>
            <w:tcW w:w="3380" w:type="dxa"/>
            <w:vAlign w:val="bottom"/>
            <w:tcBorders>
              <w:bottom w:val="single" w:sz="8" w:color="auto"/>
            </w:tcBorders>
            <w:gridSpan w:val="4"/>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20" w:type="dxa"/>
            <w:vAlign w:val="bottom"/>
            <w:vMerge w:val="restart"/>
          </w:tcPr>
          <w:p>
            <w:pPr>
              <w:spacing w:after="0"/>
              <w:rPr>
                <w:sz w:val="20"/>
                <w:szCs w:val="20"/>
                <w:color w:val="auto"/>
              </w:rPr>
            </w:pPr>
            <w:r>
              <w:rPr>
                <w:rFonts w:ascii="Arial" w:cs="Arial" w:eastAsia="Arial" w:hAnsi="Arial"/>
                <w:sz w:val="14"/>
                <w:szCs w:val="14"/>
                <w:color w:val="auto"/>
              </w:rPr>
              <w:t>Non-GAAP operating expense:</w:t>
            </w:r>
          </w:p>
        </w:tc>
        <w:tc>
          <w:tcPr>
            <w:tcW w:w="1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(restated)</w:t>
            </w: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140"/>
              <w:spacing w:after="0"/>
              <w:rPr>
                <w:sz w:val="20"/>
                <w:szCs w:val="20"/>
                <w:color w:val="auto"/>
              </w:rPr>
            </w:pPr>
            <w:r>
              <w:rPr>
                <w:rFonts w:ascii="Arial" w:cs="Arial" w:eastAsia="Arial" w:hAnsi="Arial"/>
                <w:sz w:val="14"/>
                <w:szCs w:val="14"/>
                <w:color w:val="auto"/>
              </w:rPr>
              <w:t>GAAP operating expense - Itron North America</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50,929</w:t>
            </w:r>
          </w:p>
        </w:tc>
        <w:tc>
          <w:tcPr>
            <w:tcW w:w="15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46,123</w:t>
            </w:r>
          </w:p>
        </w:tc>
        <w:tc>
          <w:tcPr>
            <w:tcW w:w="0" w:type="dxa"/>
            <w:vAlign w:val="bottom"/>
          </w:tcPr>
          <w:p>
            <w:pPr>
              <w:spacing w:after="0"/>
              <w:rPr>
                <w:sz w:val="1"/>
                <w:szCs w:val="1"/>
                <w:color w:val="auto"/>
              </w:rPr>
            </w:pPr>
          </w:p>
        </w:tc>
      </w:tr>
      <w:tr>
        <w:trPr>
          <w:trHeight w:val="181"/>
        </w:trPr>
        <w:tc>
          <w:tcPr>
            <w:tcW w:w="7320" w:type="dxa"/>
            <w:vAlign w:val="bottom"/>
          </w:tcPr>
          <w:p>
            <w:pPr>
              <w:ind w:left="280"/>
              <w:spacing w:after="0"/>
              <w:rPr>
                <w:sz w:val="20"/>
                <w:szCs w:val="20"/>
                <w:color w:val="auto"/>
              </w:rPr>
            </w:pPr>
            <w:r>
              <w:rPr>
                <w:rFonts w:ascii="Arial" w:cs="Arial" w:eastAsia="Arial" w:hAnsi="Arial"/>
                <w:sz w:val="14"/>
                <w:szCs w:val="14"/>
                <w:color w:val="auto"/>
              </w:rPr>
              <w:t>Amortization of intangible assets - Itron North America</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(3,512)</w:t>
            </w: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169"/>
        </w:trPr>
        <w:tc>
          <w:tcPr>
            <w:tcW w:w="7320" w:type="dxa"/>
            <w:vAlign w:val="bottom"/>
          </w:tcPr>
          <w:p>
            <w:pPr>
              <w:ind w:left="140"/>
              <w:spacing w:after="0"/>
              <w:rPr>
                <w:sz w:val="20"/>
                <w:szCs w:val="20"/>
                <w:color w:val="auto"/>
              </w:rPr>
            </w:pPr>
            <w:r>
              <w:rPr>
                <w:rFonts w:ascii="Arial" w:cs="Arial" w:eastAsia="Arial" w:hAnsi="Arial"/>
                <w:sz w:val="14"/>
                <w:szCs w:val="14"/>
                <w:color w:val="auto"/>
              </w:rPr>
              <w:t>Non-GAAP operating expense - Itron North America</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47,417</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42,038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tcPr>
          <w:p>
            <w:pPr>
              <w:ind w:left="140"/>
              <w:spacing w:after="0"/>
              <w:rPr>
                <w:sz w:val="20"/>
                <w:szCs w:val="20"/>
                <w:color w:val="auto"/>
              </w:rPr>
            </w:pPr>
            <w:r>
              <w:rPr>
                <w:rFonts w:ascii="Arial" w:cs="Arial" w:eastAsia="Arial" w:hAnsi="Arial"/>
                <w:sz w:val="14"/>
                <w:szCs w:val="14"/>
                <w:color w:val="auto"/>
              </w:rPr>
              <w:t>GAAP operating expense - Itron International</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73,160</w:t>
            </w:r>
          </w:p>
        </w:tc>
        <w:tc>
          <w:tcPr>
            <w:tcW w:w="15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68,468</w:t>
            </w:r>
          </w:p>
        </w:tc>
        <w:tc>
          <w:tcPr>
            <w:tcW w:w="0" w:type="dxa"/>
            <w:vAlign w:val="bottom"/>
          </w:tcPr>
          <w:p>
            <w:pPr>
              <w:spacing w:after="0"/>
              <w:rPr>
                <w:sz w:val="1"/>
                <w:szCs w:val="1"/>
                <w:color w:val="auto"/>
              </w:rPr>
            </w:pPr>
          </w:p>
        </w:tc>
      </w:tr>
      <w:tr>
        <w:trPr>
          <w:trHeight w:val="181"/>
        </w:trPr>
        <w:tc>
          <w:tcPr>
            <w:tcW w:w="7320" w:type="dxa"/>
            <w:vAlign w:val="bottom"/>
          </w:tcPr>
          <w:p>
            <w:pPr>
              <w:ind w:left="280"/>
              <w:spacing w:after="0"/>
              <w:rPr>
                <w:sz w:val="20"/>
                <w:szCs w:val="20"/>
                <w:color w:val="auto"/>
              </w:rPr>
            </w:pPr>
            <w:r>
              <w:rPr>
                <w:rFonts w:ascii="Arial" w:cs="Arial" w:eastAsia="Arial" w:hAnsi="Arial"/>
                <w:sz w:val="14"/>
                <w:szCs w:val="14"/>
                <w:color w:val="auto"/>
              </w:rPr>
              <w:t>Amortization of intangible assets - Itron International</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(12,085)</w:t>
            </w: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88"/>
              </w:rPr>
              <w:t>(13,726)</w:t>
            </w:r>
          </w:p>
        </w:tc>
        <w:tc>
          <w:tcPr>
            <w:tcW w:w="0" w:type="dxa"/>
            <w:vAlign w:val="bottom"/>
          </w:tcPr>
          <w:p>
            <w:pPr>
              <w:spacing w:after="0"/>
              <w:rPr>
                <w:sz w:val="1"/>
                <w:szCs w:val="1"/>
                <w:color w:val="auto"/>
              </w:rPr>
            </w:pPr>
          </w:p>
        </w:tc>
      </w:tr>
      <w:tr>
        <w:trPr>
          <w:trHeight w:val="169"/>
        </w:trPr>
        <w:tc>
          <w:tcPr>
            <w:tcW w:w="7320" w:type="dxa"/>
            <w:vAlign w:val="bottom"/>
          </w:tcPr>
          <w:p>
            <w:pPr>
              <w:ind w:left="140"/>
              <w:spacing w:after="0"/>
              <w:rPr>
                <w:sz w:val="20"/>
                <w:szCs w:val="20"/>
                <w:color w:val="auto"/>
              </w:rPr>
            </w:pPr>
            <w:r>
              <w:rPr>
                <w:rFonts w:ascii="Arial" w:cs="Arial" w:eastAsia="Arial" w:hAnsi="Arial"/>
                <w:sz w:val="14"/>
                <w:szCs w:val="14"/>
                <w:color w:val="auto"/>
              </w:rPr>
              <w:t>Non-GAAP operating expense - Itron International</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61,075</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54,742</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4"/>
                <w:szCs w:val="14"/>
                <w:color w:val="auto"/>
              </w:rPr>
              <w:t>Non-GAAP operating income:</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140"/>
              <w:spacing w:after="0"/>
              <w:rPr>
                <w:sz w:val="20"/>
                <w:szCs w:val="20"/>
                <w:color w:val="auto"/>
              </w:rPr>
            </w:pPr>
            <w:r>
              <w:rPr>
                <w:rFonts w:ascii="Arial" w:cs="Arial" w:eastAsia="Arial" w:hAnsi="Arial"/>
                <w:sz w:val="14"/>
                <w:szCs w:val="14"/>
                <w:color w:val="auto"/>
              </w:rPr>
              <w:t>GAAP operating income</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50,089</w:t>
            </w:r>
          </w:p>
        </w:tc>
        <w:tc>
          <w:tcPr>
            <w:tcW w:w="15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31,619</w:t>
            </w:r>
          </w:p>
        </w:tc>
        <w:tc>
          <w:tcPr>
            <w:tcW w:w="0" w:type="dxa"/>
            <w:vAlign w:val="bottom"/>
          </w:tcPr>
          <w:p>
            <w:pPr>
              <w:spacing w:after="0"/>
              <w:rPr>
                <w:sz w:val="1"/>
                <w:szCs w:val="1"/>
                <w:color w:val="auto"/>
              </w:rPr>
            </w:pPr>
          </w:p>
        </w:tc>
      </w:tr>
      <w:tr>
        <w:trPr>
          <w:trHeight w:val="181"/>
        </w:trPr>
        <w:tc>
          <w:tcPr>
            <w:tcW w:w="732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15,597</w:t>
            </w: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17,811</w:t>
            </w:r>
          </w:p>
        </w:tc>
        <w:tc>
          <w:tcPr>
            <w:tcW w:w="0" w:type="dxa"/>
            <w:vAlign w:val="bottom"/>
          </w:tcPr>
          <w:p>
            <w:pPr>
              <w:spacing w:after="0"/>
              <w:rPr>
                <w:sz w:val="1"/>
                <w:szCs w:val="1"/>
                <w:color w:val="auto"/>
              </w:rPr>
            </w:pPr>
          </w:p>
        </w:tc>
      </w:tr>
      <w:tr>
        <w:trPr>
          <w:trHeight w:val="169"/>
        </w:trPr>
        <w:tc>
          <w:tcPr>
            <w:tcW w:w="7320" w:type="dxa"/>
            <w:vAlign w:val="bottom"/>
          </w:tcPr>
          <w:p>
            <w:pPr>
              <w:ind w:left="140"/>
              <w:spacing w:after="0"/>
              <w:rPr>
                <w:sz w:val="20"/>
                <w:szCs w:val="20"/>
                <w:color w:val="auto"/>
              </w:rPr>
            </w:pPr>
            <w:r>
              <w:rPr>
                <w:rFonts w:ascii="Arial" w:cs="Arial" w:eastAsia="Arial" w:hAnsi="Arial"/>
                <w:sz w:val="14"/>
                <w:szCs w:val="14"/>
                <w:color w:val="auto"/>
              </w:rPr>
              <w:t>Non-GAAP operating income</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65,686</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49,430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4"/>
                <w:szCs w:val="14"/>
                <w:color w:val="auto"/>
              </w:rPr>
              <w:t>Non-GAAP net income:</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140"/>
              <w:spacing w:after="0"/>
              <w:rPr>
                <w:sz w:val="20"/>
                <w:szCs w:val="20"/>
                <w:color w:val="auto"/>
              </w:rPr>
            </w:pPr>
            <w:r>
              <w:rPr>
                <w:rFonts w:ascii="Arial" w:cs="Arial" w:eastAsia="Arial" w:hAnsi="Arial"/>
                <w:sz w:val="14"/>
                <w:szCs w:val="14"/>
                <w:color w:val="auto"/>
              </w:rPr>
              <w:t>GAAP net income (loss)</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27,120</w:t>
            </w:r>
          </w:p>
        </w:tc>
        <w:tc>
          <w:tcPr>
            <w:tcW w:w="15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25,250</w:t>
            </w:r>
          </w:p>
        </w:tc>
        <w:tc>
          <w:tcPr>
            <w:tcW w:w="0" w:type="dxa"/>
            <w:vAlign w:val="bottom"/>
          </w:tcPr>
          <w:p>
            <w:pPr>
              <w:spacing w:after="0"/>
              <w:rPr>
                <w:sz w:val="1"/>
                <w:szCs w:val="1"/>
                <w:color w:val="auto"/>
              </w:rPr>
            </w:pPr>
          </w:p>
        </w:tc>
      </w:tr>
      <w:tr>
        <w:trPr>
          <w:trHeight w:val="176"/>
        </w:trPr>
        <w:tc>
          <w:tcPr>
            <w:tcW w:w="732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1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15,597</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17,811</w:t>
            </w:r>
          </w:p>
        </w:tc>
        <w:tc>
          <w:tcPr>
            <w:tcW w:w="0" w:type="dxa"/>
            <w:vAlign w:val="bottom"/>
          </w:tcPr>
          <w:p>
            <w:pPr>
              <w:spacing w:after="0"/>
              <w:rPr>
                <w:sz w:val="1"/>
                <w:szCs w:val="1"/>
                <w:color w:val="auto"/>
              </w:rPr>
            </w:pPr>
          </w:p>
        </w:tc>
      </w:tr>
      <w:tr>
        <w:trPr>
          <w:trHeight w:val="176"/>
        </w:trPr>
        <w:tc>
          <w:tcPr>
            <w:tcW w:w="7320" w:type="dxa"/>
            <w:vAlign w:val="bottom"/>
          </w:tcPr>
          <w:p>
            <w:pPr>
              <w:ind w:left="280"/>
              <w:spacing w:after="0"/>
              <w:rPr>
                <w:sz w:val="20"/>
                <w:szCs w:val="20"/>
                <w:color w:val="auto"/>
              </w:rPr>
            </w:pPr>
            <w:r>
              <w:rPr>
                <w:rFonts w:ascii="Arial" w:cs="Arial" w:eastAsia="Arial" w:hAnsi="Arial"/>
                <w:sz w:val="14"/>
                <w:szCs w:val="14"/>
                <w:color w:val="auto"/>
              </w:rPr>
              <w:t>Amortization of debt placement fees</w:t>
            </w:r>
          </w:p>
        </w:tc>
        <w:tc>
          <w:tcPr>
            <w:tcW w:w="1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1,254</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176"/>
        </w:trPr>
        <w:tc>
          <w:tcPr>
            <w:tcW w:w="7320" w:type="dxa"/>
            <w:vAlign w:val="bottom"/>
          </w:tcPr>
          <w:p>
            <w:pPr>
              <w:ind w:left="280"/>
              <w:spacing w:after="0"/>
              <w:rPr>
                <w:sz w:val="20"/>
                <w:szCs w:val="20"/>
                <w:color w:val="auto"/>
              </w:rPr>
            </w:pPr>
            <w:r>
              <w:rPr>
                <w:rFonts w:ascii="Arial" w:cs="Arial" w:eastAsia="Arial" w:hAnsi="Arial"/>
                <w:sz w:val="14"/>
                <w:szCs w:val="14"/>
                <w:color w:val="auto"/>
              </w:rPr>
              <w:t>Amortization of convertible debt discount</w:t>
            </w:r>
          </w:p>
        </w:tc>
        <w:tc>
          <w:tcPr>
            <w:tcW w:w="1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2,643</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81"/>
        </w:trPr>
        <w:tc>
          <w:tcPr>
            <w:tcW w:w="7320" w:type="dxa"/>
            <w:vAlign w:val="bottom"/>
          </w:tcPr>
          <w:p>
            <w:pPr>
              <w:ind w:left="280"/>
              <w:spacing w:after="0"/>
              <w:rPr>
                <w:sz w:val="20"/>
                <w:szCs w:val="20"/>
                <w:color w:val="auto"/>
              </w:rPr>
            </w:pPr>
            <w:r>
              <w:rPr>
                <w:rFonts w:ascii="Arial" w:cs="Arial" w:eastAsia="Arial" w:hAnsi="Arial"/>
                <w:sz w:val="14"/>
                <w:szCs w:val="14"/>
                <w:color w:val="auto"/>
              </w:rPr>
              <w:t>Income tax effect of non-GAAP adjustments</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(6,096)</w:t>
            </w: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(6,789)</w:t>
            </w:r>
          </w:p>
        </w:tc>
        <w:tc>
          <w:tcPr>
            <w:tcW w:w="0" w:type="dxa"/>
            <w:vAlign w:val="bottom"/>
          </w:tcPr>
          <w:p>
            <w:pPr>
              <w:spacing w:after="0"/>
              <w:rPr>
                <w:sz w:val="1"/>
                <w:szCs w:val="1"/>
                <w:color w:val="auto"/>
              </w:rPr>
            </w:pPr>
          </w:p>
        </w:tc>
      </w:tr>
      <w:tr>
        <w:trPr>
          <w:trHeight w:val="169"/>
        </w:trPr>
        <w:tc>
          <w:tcPr>
            <w:tcW w:w="7320" w:type="dxa"/>
            <w:vAlign w:val="bottom"/>
          </w:tcPr>
          <w:p>
            <w:pPr>
              <w:ind w:left="140"/>
              <w:spacing w:after="0"/>
              <w:rPr>
                <w:sz w:val="20"/>
                <w:szCs w:val="20"/>
                <w:color w:val="auto"/>
              </w:rPr>
            </w:pPr>
            <w:r>
              <w:rPr>
                <w:rFonts w:ascii="Arial" w:cs="Arial" w:eastAsia="Arial" w:hAnsi="Arial"/>
                <w:sz w:val="14"/>
                <w:szCs w:val="14"/>
                <w:color w:val="auto"/>
              </w:rPr>
              <w:t>Non-GAAP net income</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40,518</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39,929</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140"/>
              <w:spacing w:after="0"/>
              <w:rPr>
                <w:sz w:val="20"/>
                <w:szCs w:val="20"/>
                <w:color w:val="auto"/>
              </w:rPr>
            </w:pPr>
            <w:r>
              <w:rPr>
                <w:rFonts w:ascii="Arial" w:cs="Arial" w:eastAsia="Arial" w:hAnsi="Arial"/>
                <w:sz w:val="14"/>
                <w:szCs w:val="14"/>
                <w:color w:val="auto"/>
              </w:rPr>
              <w:t>Non-GAAP diluted EPS</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320" w:type="dxa"/>
            <w:vAlign w:val="bottom"/>
            <w:vMerge w:val="continue"/>
          </w:tcPr>
          <w:p>
            <w:pPr>
              <w:spacing w:after="0"/>
              <w:rPr>
                <w:sz w:val="14"/>
                <w:szCs w:val="14"/>
                <w:color w:val="auto"/>
              </w:rPr>
            </w:pPr>
          </w:p>
        </w:tc>
        <w:tc>
          <w:tcPr>
            <w:tcW w:w="114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0.99</w:t>
            </w:r>
          </w:p>
        </w:tc>
        <w:tc>
          <w:tcPr>
            <w:tcW w:w="22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320" w:type="dxa"/>
            <w:vAlign w:val="bottom"/>
          </w:tcPr>
          <w:p>
            <w:pPr>
              <w:ind w:left="140"/>
              <w:spacing w:after="0"/>
              <w:rPr>
                <w:sz w:val="20"/>
                <w:szCs w:val="20"/>
                <w:color w:val="auto"/>
              </w:rPr>
            </w:pPr>
            <w:r>
              <w:rPr>
                <w:rFonts w:ascii="Arial" w:cs="Arial" w:eastAsia="Arial" w:hAnsi="Arial"/>
                <w:sz w:val="14"/>
                <w:szCs w:val="14"/>
                <w:color w:val="auto"/>
              </w:rPr>
              <w:t>Weighted average common shares outstanding - Diluted</w:t>
            </w:r>
          </w:p>
        </w:tc>
        <w:tc>
          <w:tcPr>
            <w:tcW w:w="1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41,045</w:t>
            </w:r>
          </w:p>
        </w:tc>
        <w:tc>
          <w:tcPr>
            <w:tcW w:w="2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40,862</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140"/>
              <w:spacing w:after="0"/>
              <w:rPr>
                <w:sz w:val="20"/>
                <w:szCs w:val="20"/>
                <w:color w:val="auto"/>
              </w:rPr>
            </w:pPr>
            <w:r>
              <w:rPr>
                <w:rFonts w:ascii="Arial" w:cs="Arial" w:eastAsia="Arial" w:hAnsi="Arial"/>
                <w:sz w:val="14"/>
                <w:szCs w:val="14"/>
                <w:color w:val="auto"/>
              </w:rPr>
              <w:t>GAAP net income (loss)</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27,120</w:t>
            </w:r>
          </w:p>
        </w:tc>
        <w:tc>
          <w:tcPr>
            <w:tcW w:w="15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25,250</w:t>
            </w:r>
          </w:p>
        </w:tc>
        <w:tc>
          <w:tcPr>
            <w:tcW w:w="0" w:type="dxa"/>
            <w:vAlign w:val="bottom"/>
          </w:tcPr>
          <w:p>
            <w:pPr>
              <w:spacing w:after="0"/>
              <w:rPr>
                <w:sz w:val="1"/>
                <w:szCs w:val="1"/>
                <w:color w:val="auto"/>
              </w:rPr>
            </w:pPr>
          </w:p>
        </w:tc>
      </w:tr>
      <w:tr>
        <w:trPr>
          <w:trHeight w:val="176"/>
        </w:trPr>
        <w:tc>
          <w:tcPr>
            <w:tcW w:w="73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114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76"/>
        </w:trPr>
        <w:tc>
          <w:tcPr>
            <w:tcW w:w="732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1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12,114</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14,923</w:t>
            </w:r>
          </w:p>
        </w:tc>
        <w:tc>
          <w:tcPr>
            <w:tcW w:w="0" w:type="dxa"/>
            <w:vAlign w:val="bottom"/>
          </w:tcPr>
          <w:p>
            <w:pPr>
              <w:spacing w:after="0"/>
              <w:rPr>
                <w:sz w:val="1"/>
                <w:szCs w:val="1"/>
                <w:color w:val="auto"/>
              </w:rPr>
            </w:pPr>
          </w:p>
        </w:tc>
      </w:tr>
      <w:tr>
        <w:trPr>
          <w:trHeight w:val="176"/>
        </w:trPr>
        <w:tc>
          <w:tcPr>
            <w:tcW w:w="7320" w:type="dxa"/>
            <w:vAlign w:val="bottom"/>
          </w:tcPr>
          <w:p>
            <w:pPr>
              <w:ind w:left="280"/>
              <w:spacing w:after="0"/>
              <w:rPr>
                <w:sz w:val="20"/>
                <w:szCs w:val="20"/>
                <w:color w:val="auto"/>
              </w:rPr>
            </w:pPr>
            <w:r>
              <w:rPr>
                <w:rFonts w:ascii="Arial" w:cs="Arial" w:eastAsia="Arial" w:hAnsi="Arial"/>
                <w:sz w:val="14"/>
                <w:szCs w:val="14"/>
                <w:color w:val="auto"/>
              </w:rPr>
              <w:t>Income tax (benefit) provision</w:t>
            </w:r>
          </w:p>
        </w:tc>
        <w:tc>
          <w:tcPr>
            <w:tcW w:w="1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9,567</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(8,979)</w:t>
            </w:r>
          </w:p>
        </w:tc>
        <w:tc>
          <w:tcPr>
            <w:tcW w:w="0" w:type="dxa"/>
            <w:vAlign w:val="bottom"/>
          </w:tcPr>
          <w:p>
            <w:pPr>
              <w:spacing w:after="0"/>
              <w:rPr>
                <w:sz w:val="1"/>
                <w:szCs w:val="1"/>
                <w:color w:val="auto"/>
              </w:rPr>
            </w:pPr>
          </w:p>
        </w:tc>
      </w:tr>
      <w:tr>
        <w:trPr>
          <w:trHeight w:val="181"/>
        </w:trPr>
        <w:tc>
          <w:tcPr>
            <w:tcW w:w="73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31,531</w:t>
            </w: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33,277</w:t>
            </w:r>
          </w:p>
        </w:tc>
        <w:tc>
          <w:tcPr>
            <w:tcW w:w="0" w:type="dxa"/>
            <w:vAlign w:val="bottom"/>
          </w:tcPr>
          <w:p>
            <w:pPr>
              <w:spacing w:after="0"/>
              <w:rPr>
                <w:sz w:val="1"/>
                <w:szCs w:val="1"/>
                <w:color w:val="auto"/>
              </w:rPr>
            </w:pPr>
          </w:p>
        </w:tc>
      </w:tr>
      <w:tr>
        <w:trPr>
          <w:trHeight w:val="169"/>
        </w:trPr>
        <w:tc>
          <w:tcPr>
            <w:tcW w:w="7320" w:type="dxa"/>
            <w:vAlign w:val="bottom"/>
          </w:tcPr>
          <w:p>
            <w:pPr>
              <w:ind w:left="140"/>
              <w:spacing w:after="0"/>
              <w:rPr>
                <w:sz w:val="20"/>
                <w:szCs w:val="20"/>
                <w:color w:val="auto"/>
              </w:rPr>
            </w:pPr>
            <w:r>
              <w:rPr>
                <w:rFonts w:ascii="Arial" w:cs="Arial" w:eastAsia="Arial" w:hAnsi="Arial"/>
                <w:sz w:val="14"/>
                <w:szCs w:val="14"/>
                <w:color w:val="auto"/>
              </w:rPr>
              <w:t>Adjusted EBITDA</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80,024</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64,304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36,013</w:t>
            </w:r>
          </w:p>
        </w:tc>
        <w:tc>
          <w:tcPr>
            <w:tcW w:w="152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65,779</w:t>
            </w:r>
          </w:p>
        </w:tc>
        <w:tc>
          <w:tcPr>
            <w:tcW w:w="0" w:type="dxa"/>
            <w:vAlign w:val="bottom"/>
          </w:tcPr>
          <w:p>
            <w:pPr>
              <w:spacing w:after="0"/>
              <w:rPr>
                <w:sz w:val="1"/>
                <w:szCs w:val="1"/>
                <w:color w:val="auto"/>
              </w:rPr>
            </w:pPr>
          </w:p>
        </w:tc>
      </w:tr>
      <w:tr>
        <w:trPr>
          <w:trHeight w:val="181"/>
        </w:trPr>
        <w:tc>
          <w:tcPr>
            <w:tcW w:w="7320" w:type="dxa"/>
            <w:vAlign w:val="bottom"/>
          </w:tcPr>
          <w:p>
            <w:pPr>
              <w:ind w:left="280"/>
              <w:spacing w:after="0"/>
              <w:rPr>
                <w:sz w:val="20"/>
                <w:szCs w:val="20"/>
                <w:color w:val="auto"/>
              </w:rPr>
            </w:pPr>
            <w:r>
              <w:rPr>
                <w:rFonts w:ascii="Arial" w:cs="Arial" w:eastAsia="Arial" w:hAnsi="Arial"/>
                <w:sz w:val="14"/>
                <w:szCs w:val="14"/>
                <w:color w:val="auto"/>
              </w:rPr>
              <w:t>Acquisitions of property, plant, and equipment</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(11,250)</w:t>
            </w: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88"/>
              </w:rPr>
              <w:t>(16,151)</w:t>
            </w:r>
          </w:p>
        </w:tc>
        <w:tc>
          <w:tcPr>
            <w:tcW w:w="0" w:type="dxa"/>
            <w:vAlign w:val="bottom"/>
          </w:tcPr>
          <w:p>
            <w:pPr>
              <w:spacing w:after="0"/>
              <w:rPr>
                <w:sz w:val="1"/>
                <w:szCs w:val="1"/>
                <w:color w:val="auto"/>
              </w:rPr>
            </w:pPr>
          </w:p>
        </w:tc>
      </w:tr>
      <w:tr>
        <w:trPr>
          <w:trHeight w:val="169"/>
        </w:trPr>
        <w:tc>
          <w:tcPr>
            <w:tcW w:w="7320" w:type="dxa"/>
            <w:vAlign w:val="bottom"/>
          </w:tcPr>
          <w:p>
            <w:pPr>
              <w:ind w:left="140"/>
              <w:spacing w:after="0"/>
              <w:rPr>
                <w:sz w:val="20"/>
                <w:szCs w:val="20"/>
                <w:color w:val="auto"/>
              </w:rPr>
            </w:pPr>
            <w:r>
              <w:rPr>
                <w:rFonts w:ascii="Arial" w:cs="Arial" w:eastAsia="Arial" w:hAnsi="Arial"/>
                <w:sz w:val="14"/>
                <w:szCs w:val="14"/>
                <w:color w:val="auto"/>
              </w:rPr>
              <w:t>Free Cash Flow</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24,763</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49,628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Itron, Inc.</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Ranny Dwiggins, 509-891-3443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ranny.dwiggins@itron.com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50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2019-12-10T06:58:01Z</dcterms:created>
  <dcterms:modified xsi:type="dcterms:W3CDTF">2019-12-10T06:58:01Z</dcterms:modified>
</cp:coreProperties>
</file>