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56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0"/>
              </w:rPr>
              <w:t>000-22418</w:t>
            </w:r>
          </w:p>
        </w:tc>
        <w:tc>
          <w:tcPr>
            <w:tcW w:w="11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28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114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No.)</w:t>
            </w:r>
          </w:p>
        </w:tc>
        <w:tc>
          <w:tcPr>
            <w:tcW w:w="1140" w:type="dxa"/>
            <w:vAlign w:val="bottom"/>
          </w:tcPr>
          <w:p>
            <w:pPr>
              <w:spacing w:after="0"/>
              <w:rPr>
                <w:sz w:val="17"/>
                <w:szCs w:val="17"/>
                <w:color w:val="auto"/>
              </w:rPr>
            </w:pPr>
          </w:p>
        </w:tc>
        <w:tc>
          <w:tcPr>
            <w:tcW w:w="2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88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1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09"/>
        </w:trPr>
        <w:tc>
          <w:tcPr>
            <w:tcW w:w="2880" w:type="dxa"/>
            <w:vAlign w:val="bottom"/>
          </w:tcPr>
          <w:p>
            <w:pPr>
              <w:spacing w:after="0"/>
              <w:rPr>
                <w:sz w:val="24"/>
                <w:szCs w:val="24"/>
                <w:color w:val="auto"/>
              </w:rPr>
            </w:pPr>
          </w:p>
        </w:tc>
        <w:tc>
          <w:tcPr>
            <w:tcW w:w="5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84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57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(Address of Principal Executive Offices, Zip Code)</w:t>
            </w:r>
          </w:p>
        </w:tc>
        <w:tc>
          <w:tcPr>
            <w:tcW w:w="2840" w:type="dxa"/>
            <w:vAlign w:val="bottom"/>
          </w:tcPr>
          <w:p>
            <w:pPr>
              <w:spacing w:after="0"/>
              <w:rPr>
                <w:sz w:val="20"/>
                <w:szCs w:val="20"/>
                <w:color w:val="auto"/>
              </w:rPr>
            </w:pPr>
          </w:p>
        </w:tc>
      </w:tr>
      <w:tr>
        <w:trPr>
          <w:trHeight w:val="452"/>
        </w:trPr>
        <w:tc>
          <w:tcPr>
            <w:tcW w:w="2880" w:type="dxa"/>
            <w:vAlign w:val="bottom"/>
          </w:tcPr>
          <w:p>
            <w:pPr>
              <w:spacing w:after="0"/>
              <w:rPr>
                <w:sz w:val="24"/>
                <w:szCs w:val="24"/>
                <w:color w:val="auto"/>
              </w:rPr>
            </w:pPr>
          </w:p>
        </w:tc>
        <w:tc>
          <w:tcPr>
            <w:tcW w:w="456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b w:val="1"/>
                <w:bCs w:val="1"/>
                <w:color w:val="auto"/>
                <w:w w:val="90"/>
              </w:rPr>
              <w:t>(509) 924-9900</w:t>
            </w:r>
          </w:p>
        </w:tc>
        <w:tc>
          <w:tcPr>
            <w:tcW w:w="114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57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(Registrant’s Telephone Number, Including Area Code)</w:t>
            </w:r>
          </w:p>
        </w:tc>
        <w:tc>
          <w:tcPr>
            <w:tcW w:w="2840" w:type="dxa"/>
            <w:vAlign w:val="bottom"/>
          </w:tcPr>
          <w:p>
            <w:pPr>
              <w:spacing w:after="0"/>
              <w:rPr>
                <w:sz w:val="20"/>
                <w:szCs w:val="20"/>
                <w:color w:val="auto"/>
              </w:rPr>
            </w:pPr>
          </w:p>
        </w:tc>
      </w:tr>
      <w:tr>
        <w:trPr>
          <w:trHeight w:val="452"/>
        </w:trPr>
        <w:tc>
          <w:tcPr>
            <w:tcW w:w="2880" w:type="dxa"/>
            <w:vAlign w:val="bottom"/>
          </w:tcPr>
          <w:p>
            <w:pPr>
              <w:spacing w:after="0"/>
              <w:rPr>
                <w:sz w:val="24"/>
                <w:szCs w:val="24"/>
                <w:color w:val="auto"/>
              </w:rPr>
            </w:pPr>
          </w:p>
        </w:tc>
        <w:tc>
          <w:tcPr>
            <w:tcW w:w="5700" w:type="dxa"/>
            <w:vAlign w:val="bottom"/>
            <w:tcBorders>
              <w:bottom w:val="single" w:sz="8" w:color="auto"/>
            </w:tcBorders>
            <w:gridSpan w:val="3"/>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57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40" w:type="dxa"/>
            <w:vAlign w:val="bottom"/>
          </w:tcPr>
          <w:p>
            <w:pPr>
              <w:spacing w:after="0"/>
              <w:rPr>
                <w:sz w:val="20"/>
                <w:szCs w:val="20"/>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36"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36"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The registrant hereby amends its Current Report on Form 8-K dated April 24, 2007 as follows:</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Financial statements of businesses acquired.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of Actaris Metering Systems SA (Actaris) required to be filed pursuant to Item 9.01(a) of Form 8-K are included as Exhibit 99.1 and Exhibit 99.2 of this Current Report on Form 8-K/A.</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Pro forma financial information.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 forma financial information required to be filed pursuant to Item 9.01(b) of Form 8-K is included as Exhibit 99.3 of this Current Report on Form 8-K/A.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66"/>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4"/>
                <w:szCs w:val="24"/>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Consent of Ernst &amp; Young Reviseurs d'Entreprises SCCRL, Independent Registered Public Accounting Firm.</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w w:val="92"/>
              </w:rPr>
              <w:t>Consolidated balance sheets of Actaris Metering Systems SA and Subsidiaries as of December 31, 2006 and 2005, and the related</w:t>
            </w:r>
          </w:p>
        </w:tc>
      </w:t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w w:val="92"/>
              </w:rPr>
              <w:t>consolidated statements of operations, shareholders’ equity and cash flows for the year ended December 31, 2006; the five months</w:t>
            </w:r>
          </w:p>
        </w:tc>
      </w:t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w w:val="89"/>
              </w:rPr>
              <w:t>ended December 31, 2005 as well as the seven months ended July 31, 2005 (Predecessor period) and year ended December 31, 2004</w:t>
            </w:r>
          </w:p>
        </w:tc>
      </w:tr>
      <w:tr>
        <w:trPr>
          <w:trHeight w:val="23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(Predecessor period) and Independent Auditors Report.</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24"/>
                <w:szCs w:val="24"/>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w w:val="92"/>
              </w:rPr>
              <w:t>Unaudited consolidated financial statements of Actaris Metering Systems SA and Subsidiaries as of March 31, 2007 and December</w:t>
            </w:r>
          </w:p>
        </w:tc>
      </w:tr>
      <w:tr>
        <w:trPr>
          <w:trHeight w:val="23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31, 2006 and for the three months ended March 31, 2007 and 2006.</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24"/>
                <w:szCs w:val="24"/>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w w:val="90"/>
              </w:rPr>
              <w:t>Unaudited pro forma condensed combined statements of operations of Itron, Inc. and Actaris Metering Systems SA for the year ended</w:t>
            </w:r>
          </w:p>
        </w:tc>
      </w:t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w w:val="91"/>
              </w:rPr>
              <w:t>December 31, 2006 and the three months ended March 31, 2007 and the unaudited pro forma condensed combined balance sheet of</w:t>
            </w:r>
          </w:p>
        </w:tc>
      </w:tr>
      <w:tr>
        <w:trPr>
          <w:trHeight w:val="230"/>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Itron, Inc. and Actaris Metering Systems SA as of March 31, 2007.</w:t>
            </w:r>
          </w:p>
        </w:tc>
      </w:tr>
      <w:tr>
        <w:trPr>
          <w:trHeight w:val="605"/>
        </w:trPr>
        <w:tc>
          <w:tcPr>
            <w:tcW w:w="1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ITRON, INC.</w:t>
            </w: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Dated: June 29, 2007</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Steven M. Helmbrecht</w:t>
            </w:r>
          </w:p>
        </w:tc>
      </w:tr>
      <w:tr>
        <w:trPr>
          <w:trHeight w:val="202"/>
        </w:trPr>
        <w:tc>
          <w:tcPr>
            <w:tcW w:w="724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Steven M. Helmbrecht</w:t>
            </w:r>
          </w:p>
        </w:tc>
      </w:tr>
      <w:tr>
        <w:trPr>
          <w:trHeight w:val="230"/>
        </w:trPr>
        <w:tc>
          <w:tcPr>
            <w:tcW w:w="7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Sr. Vice President and Chief Financial Officer</w:t>
            </w:r>
          </w:p>
        </w:tc>
      </w:tr>
      <w:tr>
        <w:trPr>
          <w:trHeight w:val="848"/>
        </w:trPr>
        <w:tc>
          <w:tcPr>
            <w:tcW w:w="724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3340"/>
              <w:spacing w:after="0"/>
              <w:rPr>
                <w:sz w:val="20"/>
                <w:szCs w:val="20"/>
                <w:color w:val="auto"/>
              </w:rPr>
            </w:pPr>
            <w:r>
              <w:rPr>
                <w:rFonts w:ascii="Arial" w:cs="Arial" w:eastAsia="Arial" w:hAnsi="Arial"/>
                <w:sz w:val="18"/>
                <w:szCs w:val="18"/>
                <w:color w:val="auto"/>
              </w:rPr>
              <w:t>EXHIBIT INDEX</w:t>
            </w:r>
          </w:p>
        </w:tc>
      </w:tr>
      <w:tr>
        <w:trPr>
          <w:trHeight w:val="466"/>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 Number</w:t>
            </w:r>
          </w:p>
        </w:tc>
        <w:tc>
          <w:tcPr>
            <w:tcW w:w="460" w:type="dxa"/>
            <w:vAlign w:val="bottom"/>
          </w:tcPr>
          <w:p>
            <w:pPr>
              <w:spacing w:after="0"/>
              <w:rPr>
                <w:sz w:val="24"/>
                <w:szCs w:val="24"/>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392"/>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940" w:type="dxa"/>
            <w:vAlign w:val="bottom"/>
          </w:tcPr>
          <w:p>
            <w:pPr>
              <w:spacing w:after="0"/>
              <w:rPr>
                <w:sz w:val="24"/>
                <w:szCs w:val="24"/>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Consent of Ernst &amp; Young Reviseurs d'Entreprises SCCRL, Independent Registered Public Accounting Firm.</w:t>
            </w:r>
          </w:p>
        </w:tc>
      </w:tr>
      <w:tr>
        <w:trPr>
          <w:trHeight w:val="439"/>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940" w:type="dxa"/>
            <w:vAlign w:val="bottom"/>
          </w:tcPr>
          <w:p>
            <w:pPr>
              <w:spacing w:after="0"/>
              <w:rPr>
                <w:sz w:val="24"/>
                <w:szCs w:val="24"/>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2"/>
              </w:rPr>
              <w:t>Consolidated balance sheets of Actaris Metering Systems SA and Subsidiaries as of December 31, 2006 and 2005, and the related</w:t>
            </w:r>
          </w:p>
        </w:tc>
      </w:tr>
      <w:tr>
        <w:trPr>
          <w:trHeight w:val="222"/>
        </w:trPr>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2"/>
              </w:rPr>
              <w:t>consolidated statements of operations, shareholders’ equity and cash flows for the year ended December 31, 2006; the five months</w:t>
            </w:r>
          </w:p>
        </w:tc>
      </w:tr>
      <w:tr>
        <w:trPr>
          <w:trHeight w:val="216"/>
        </w:trPr>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89"/>
              </w:rPr>
              <w:t>ended December 31, 2005 as well as the seven months ended July 31, 2005 (Predecessor period) and year ended December 31, 2004</w:t>
            </w:r>
          </w:p>
        </w:tc>
      </w:tr>
      <w:tr>
        <w:trPr>
          <w:trHeight w:val="230"/>
        </w:trPr>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(Predecessor period) and Independent Auditors Report.</w:t>
            </w:r>
          </w:p>
        </w:tc>
      </w:tr>
      <w:tr>
        <w:trPr>
          <w:trHeight w:val="419"/>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940" w:type="dxa"/>
            <w:vAlign w:val="bottom"/>
          </w:tcPr>
          <w:p>
            <w:pPr>
              <w:spacing w:after="0"/>
              <w:rPr>
                <w:sz w:val="24"/>
                <w:szCs w:val="24"/>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2"/>
              </w:rPr>
              <w:t>Unaudited consolidated financial statements of Actaris Metering Systems SA and Subsidiaries as of March 31, 2007 and December</w:t>
            </w:r>
          </w:p>
        </w:tc>
      </w:tr>
      <w:tr>
        <w:trPr>
          <w:trHeight w:val="237"/>
        </w:trPr>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31, 2006 and for the three months ended March 31, 2007 and 2006.</w:t>
            </w:r>
          </w:p>
        </w:tc>
      </w:tr>
      <w:tr>
        <w:trPr>
          <w:trHeight w:val="419"/>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p>
        </w:tc>
        <w:tc>
          <w:tcPr>
            <w:tcW w:w="940" w:type="dxa"/>
            <w:vAlign w:val="bottom"/>
          </w:tcPr>
          <w:p>
            <w:pPr>
              <w:spacing w:after="0"/>
              <w:rPr>
                <w:sz w:val="24"/>
                <w:szCs w:val="24"/>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0"/>
              </w:rPr>
              <w:t>Unaudited pro forma condensed combined statements of operations of Itron, Inc. and Actaris Metering Systems SA for the year ended</w:t>
            </w:r>
          </w:p>
        </w:tc>
      </w:tr>
      <w:tr>
        <w:trPr>
          <w:trHeight w:val="222"/>
        </w:trPr>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1"/>
              </w:rPr>
              <w:t>December 31, 2006 and the three months ended March 31, 2007 and the unaudited pro forma condensed combined balance sheet of</w:t>
            </w:r>
          </w:p>
        </w:tc>
      </w:tr>
      <w:tr>
        <w:trPr>
          <w:trHeight w:val="230"/>
        </w:trPr>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Itron, Inc. and Actaris Metering Systems SA as of March 31, 2007.</w:t>
            </w:r>
          </w:p>
        </w:tc>
      </w:tr>
      <w:tr>
        <w:trPr>
          <w:trHeight w:val="605"/>
        </w:trPr>
        <w:tc>
          <w:tcPr>
            <w:tcW w:w="3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Nos. 333-28933, 333-40356, 333-89966, 333-97571, 333-110703, 333-115987, 333-125461, 333-134749 and 333-143048 on Form S-8, No. 333-118782 on Form S-4, and No. 333-133026 on Form S-3 of Itron, Inc. of our report dated June 22, 2007 relating to the financial statements of Actaris Metering Systems SA and Subsidiaries, which report is included in the Form 8-K of Itron, Inc. dated April 18,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Reviseurs d’ Entreprises SCCRL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Brussels, 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p>
      <w:pPr>
        <w:sectPr>
          <w:pgSz w:w="11900" w:h="16838" w:orient="portrait"/>
          <w:cols w:equalWidth="0" w:num="1">
            <w:col w:w="11420"/>
          </w:cols>
          <w:pgMar w:left="240" w:top="36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Actaris Metering Systems SA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2006 and 2005 and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five months ended December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well as the seven months ended July 31, 2005 (Predecessor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year ended December 31, 2004 (Predecessor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Actaris Metering Systems SA and Subsidiaries (“The Company”) as of December 31, 2006 and 2005, and the related consolidated statements of operations, shareholders’ equity, and cash flows for the year ended December 31, 2006; the five months ended December 31, 2005 as well as the seven months ended July 31, 2005 (Predecessor period) and year ended December 31, 2004 (Predecessor period). These consolidated financial statements are the responsibility of the Company's management. Our responsibility is to express an opinion on these consolidated financial statements based on our audits.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at December 31, 2006 and 2005, and the results of its operations and its cash flows for the year ended December 31, 2006; the five months ended December 31, 2005 as well as the seven months ended July 31, 2005 (Predecessor period) and year ended December 31, 2004 (Predecessor period) in conformity with accounting principles generally accepted in the United States of America.</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Reviseurs d’Entreprises SCRL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Jacques Vandernoot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Brussels, 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ACTARIS METERING SYSTEMS SA AND SUBSIDIARIES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tcPr>
          <w:p>
            <w:pPr>
              <w:ind w:left="360"/>
              <w:spacing w:after="0"/>
              <w:rPr>
                <w:sz w:val="20"/>
                <w:szCs w:val="20"/>
                <w:color w:val="auto"/>
              </w:rPr>
            </w:pPr>
            <w:r>
              <w:rPr>
                <w:rFonts w:ascii="Arial" w:cs="Arial" w:eastAsia="Arial" w:hAnsi="Arial"/>
                <w:sz w:val="18"/>
                <w:szCs w:val="18"/>
                <w:b w:val="1"/>
                <w:bCs w:val="1"/>
                <w:color w:val="auto"/>
              </w:rPr>
              <w:t>(In € thousands)</w:t>
            </w: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3"/>
              </w:rPr>
              <w:t>Successor</w:t>
            </w:r>
          </w:p>
        </w:tc>
        <w:tc>
          <w:tcPr>
            <w:tcW w:w="178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1"/>
              </w:rPr>
              <w:t>Successor</w:t>
            </w: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134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17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August 1 to</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January 1 to</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7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December 31,</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July 31,</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4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4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781,810</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292,319</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390,566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Cost of revenues</w:t>
            </w:r>
          </w:p>
        </w:tc>
        <w:tc>
          <w:tcPr>
            <w:tcW w:w="1320" w:type="dxa"/>
            <w:vAlign w:val="bottom"/>
          </w:tcPr>
          <w:p>
            <w:pPr>
              <w:jc w:val="right"/>
              <w:spacing w:after="0"/>
              <w:rPr>
                <w:sz w:val="20"/>
                <w:szCs w:val="20"/>
                <w:color w:val="auto"/>
              </w:rPr>
            </w:pPr>
            <w:r>
              <w:rPr>
                <w:rFonts w:ascii="Arial" w:cs="Arial" w:eastAsia="Arial" w:hAnsi="Arial"/>
                <w:sz w:val="18"/>
                <w:szCs w:val="18"/>
                <w:color w:val="auto"/>
              </w:rPr>
              <w:t>549,293</w:t>
            </w:r>
          </w:p>
        </w:tc>
        <w:tc>
          <w:tcPr>
            <w:tcW w:w="22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214,704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276,724</w:t>
            </w:r>
          </w:p>
        </w:tc>
        <w:tc>
          <w:tcPr>
            <w:tcW w:w="1320" w:type="dxa"/>
            <w:vAlign w:val="bottom"/>
          </w:tcPr>
          <w:p>
            <w:pPr>
              <w:jc w:val="right"/>
              <w:spacing w:after="0"/>
              <w:rPr>
                <w:sz w:val="20"/>
                <w:szCs w:val="20"/>
                <w:color w:val="auto"/>
              </w:rPr>
            </w:pPr>
            <w:r>
              <w:rPr>
                <w:rFonts w:ascii="Arial" w:cs="Arial" w:eastAsia="Arial" w:hAnsi="Arial"/>
                <w:sz w:val="18"/>
                <w:szCs w:val="18"/>
                <w:color w:val="auto"/>
              </w:rPr>
              <w:t>460,003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232,517</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77,615</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113,842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Research &amp; development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25,186</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12,347</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12,442</w:t>
            </w:r>
          </w:p>
        </w:tc>
        <w:tc>
          <w:tcPr>
            <w:tcW w:w="1320" w:type="dxa"/>
            <w:vAlign w:val="bottom"/>
          </w:tcPr>
          <w:p>
            <w:pPr>
              <w:jc w:val="right"/>
              <w:spacing w:after="0"/>
              <w:rPr>
                <w:sz w:val="20"/>
                <w:szCs w:val="20"/>
                <w:color w:val="auto"/>
              </w:rPr>
            </w:pPr>
            <w:r>
              <w:rPr>
                <w:rFonts w:ascii="Arial" w:cs="Arial" w:eastAsia="Arial" w:hAnsi="Arial"/>
                <w:sz w:val="18"/>
                <w:szCs w:val="18"/>
                <w:color w:val="auto"/>
              </w:rPr>
              <w:t>21,449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62,181</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25,145</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34,035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44,864</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22,818</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22,806</w:t>
            </w:r>
          </w:p>
        </w:tc>
        <w:tc>
          <w:tcPr>
            <w:tcW w:w="1320" w:type="dxa"/>
            <w:vAlign w:val="bottom"/>
          </w:tcPr>
          <w:p>
            <w:pPr>
              <w:jc w:val="right"/>
              <w:spacing w:after="0"/>
              <w:rPr>
                <w:sz w:val="20"/>
                <w:szCs w:val="20"/>
                <w:color w:val="auto"/>
              </w:rPr>
            </w:pPr>
            <w:r>
              <w:rPr>
                <w:rFonts w:ascii="Arial" w:cs="Arial" w:eastAsia="Arial" w:hAnsi="Arial"/>
                <w:sz w:val="18"/>
                <w:szCs w:val="18"/>
                <w:color w:val="auto"/>
              </w:rPr>
              <w:t>37,249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14,550</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6,063</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8,742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1320" w:type="dxa"/>
            <w:vAlign w:val="bottom"/>
          </w:tcPr>
          <w:p>
            <w:pPr>
              <w:jc w:val="right"/>
              <w:spacing w:after="0"/>
              <w:rPr>
                <w:sz w:val="20"/>
                <w:szCs w:val="20"/>
                <w:color w:val="auto"/>
              </w:rPr>
            </w:pPr>
            <w:r>
              <w:rPr>
                <w:rFonts w:ascii="Arial" w:cs="Arial" w:eastAsia="Arial" w:hAnsi="Arial"/>
                <w:sz w:val="18"/>
                <w:szCs w:val="18"/>
                <w:color w:val="auto"/>
              </w:rPr>
              <w:t>3,125</w:t>
            </w:r>
          </w:p>
        </w:tc>
        <w:tc>
          <w:tcPr>
            <w:tcW w:w="22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894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1,676</w:t>
            </w:r>
          </w:p>
        </w:tc>
        <w:tc>
          <w:tcPr>
            <w:tcW w:w="1320" w:type="dxa"/>
            <w:vAlign w:val="bottom"/>
          </w:tcPr>
          <w:p>
            <w:pPr>
              <w:jc w:val="right"/>
              <w:spacing w:after="0"/>
              <w:rPr>
                <w:sz w:val="20"/>
                <w:szCs w:val="20"/>
                <w:color w:val="auto"/>
              </w:rPr>
            </w:pPr>
            <w:r>
              <w:rPr>
                <w:rFonts w:ascii="Arial" w:cs="Arial" w:eastAsia="Arial" w:hAnsi="Arial"/>
                <w:sz w:val="18"/>
                <w:szCs w:val="18"/>
                <w:color w:val="auto"/>
              </w:rPr>
              <w:t>11,120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149,906</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67,267</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79,701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82,611</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10,348</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34,141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income (expense)</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(45,383)</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(18,621)</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(6,423)</w:t>
            </w:r>
          </w:p>
        </w:tc>
        <w:tc>
          <w:tcPr>
            <w:tcW w:w="1320" w:type="dxa"/>
            <w:vAlign w:val="bottom"/>
          </w:tcPr>
          <w:p>
            <w:pPr>
              <w:jc w:val="right"/>
              <w:spacing w:after="0"/>
              <w:rPr>
                <w:sz w:val="20"/>
                <w:szCs w:val="20"/>
                <w:color w:val="auto"/>
              </w:rPr>
            </w:pPr>
            <w:r>
              <w:rPr>
                <w:rFonts w:ascii="Arial" w:cs="Arial" w:eastAsia="Arial" w:hAnsi="Arial"/>
                <w:sz w:val="18"/>
                <w:szCs w:val="18"/>
                <w:color w:val="auto"/>
              </w:rPr>
              <w:t>(13,991)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financial expense (net)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(2,161)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20"/>
              <w:spacing w:after="0"/>
              <w:rPr>
                <w:sz w:val="20"/>
                <w:szCs w:val="20"/>
                <w:color w:val="auto"/>
              </w:rPr>
            </w:pPr>
            <w:r>
              <w:rPr>
                <w:rFonts w:ascii="Arial" w:cs="Arial" w:eastAsia="Arial" w:hAnsi="Arial"/>
                <w:sz w:val="18"/>
                <w:szCs w:val="18"/>
                <w:color w:val="auto"/>
              </w:rPr>
              <w:t>Total other financial income (expense)</w:t>
            </w:r>
          </w:p>
        </w:tc>
        <w:tc>
          <w:tcPr>
            <w:tcW w:w="1320" w:type="dxa"/>
            <w:vAlign w:val="bottom"/>
          </w:tcPr>
          <w:p>
            <w:pPr>
              <w:jc w:val="right"/>
              <w:spacing w:after="0"/>
              <w:rPr>
                <w:sz w:val="20"/>
                <w:szCs w:val="20"/>
                <w:color w:val="auto"/>
              </w:rPr>
            </w:pPr>
            <w:r>
              <w:rPr>
                <w:rFonts w:ascii="Arial" w:cs="Arial" w:eastAsia="Arial" w:hAnsi="Arial"/>
                <w:sz w:val="18"/>
                <w:szCs w:val="18"/>
                <w:color w:val="auto"/>
              </w:rPr>
              <w:t>(48,592)</w:t>
            </w:r>
          </w:p>
        </w:tc>
        <w:tc>
          <w:tcPr>
            <w:tcW w:w="22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(20,782)</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(4,540)</w:t>
            </w:r>
          </w:p>
        </w:tc>
        <w:tc>
          <w:tcPr>
            <w:tcW w:w="1320" w:type="dxa"/>
            <w:vAlign w:val="bottom"/>
          </w:tcPr>
          <w:p>
            <w:pPr>
              <w:jc w:val="right"/>
              <w:spacing w:after="0"/>
              <w:rPr>
                <w:sz w:val="20"/>
                <w:szCs w:val="20"/>
                <w:color w:val="auto"/>
              </w:rPr>
            </w:pPr>
            <w:r>
              <w:rPr>
                <w:rFonts w:ascii="Arial" w:cs="Arial" w:eastAsia="Arial" w:hAnsi="Arial"/>
                <w:sz w:val="18"/>
                <w:szCs w:val="18"/>
                <w:color w:val="auto"/>
              </w:rPr>
              <w:t>(16,558)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(loss) before income taxes and minority interest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34,019</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(10,434)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29,601</w:t>
            </w:r>
          </w:p>
        </w:tc>
        <w:tc>
          <w:tcPr>
            <w:tcW w:w="1320" w:type="dxa"/>
            <w:vAlign w:val="bottom"/>
          </w:tcPr>
          <w:p>
            <w:pPr>
              <w:jc w:val="right"/>
              <w:spacing w:after="0"/>
              <w:rPr>
                <w:sz w:val="20"/>
                <w:szCs w:val="20"/>
                <w:color w:val="auto"/>
              </w:rPr>
            </w:pPr>
            <w:r>
              <w:rPr>
                <w:rFonts w:ascii="Arial" w:cs="Arial" w:eastAsia="Arial" w:hAnsi="Arial"/>
                <w:sz w:val="18"/>
                <w:szCs w:val="18"/>
                <w:color w:val="auto"/>
              </w:rPr>
              <w:t>29,980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(14,399)</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1,882</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(11,484)</w:t>
            </w:r>
          </w:p>
        </w:tc>
        <w:tc>
          <w:tcPr>
            <w:tcW w:w="1320" w:type="dxa"/>
            <w:vAlign w:val="bottom"/>
          </w:tcPr>
          <w:p>
            <w:pPr>
              <w:jc w:val="right"/>
              <w:spacing w:after="0"/>
              <w:rPr>
                <w:sz w:val="20"/>
                <w:szCs w:val="20"/>
                <w:color w:val="auto"/>
              </w:rPr>
            </w:pPr>
            <w:r>
              <w:rPr>
                <w:rFonts w:ascii="Arial" w:cs="Arial" w:eastAsia="Arial" w:hAnsi="Arial"/>
                <w:sz w:val="18"/>
                <w:szCs w:val="18"/>
                <w:color w:val="auto"/>
              </w:rPr>
              <w:t>(6,106)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(283)</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w:t>
            </w: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(8,835)</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ACTARIS METERING SYSTEMS SA AND SUBSIDIARIES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ind w:left="440"/>
              <w:spacing w:after="0"/>
              <w:rPr>
                <w:sz w:val="20"/>
                <w:szCs w:val="20"/>
                <w:color w:val="auto"/>
              </w:rPr>
            </w:pPr>
            <w:r>
              <w:rPr>
                <w:rFonts w:ascii="Arial" w:cs="Arial" w:eastAsia="Arial" w:hAnsi="Arial"/>
                <w:sz w:val="18"/>
                <w:szCs w:val="18"/>
                <w:b w:val="1"/>
                <w:bCs w:val="1"/>
                <w:color w:val="auto"/>
              </w:rPr>
              <w:t>(In € thousands)</w:t>
            </w:r>
          </w:p>
        </w:tc>
        <w:tc>
          <w:tcPr>
            <w:tcW w:w="2920" w:type="dxa"/>
            <w:vAlign w:val="bottom"/>
            <w:gridSpan w:val="4"/>
            <w:vMerge w:val="restart"/>
          </w:tcPr>
          <w:p>
            <w:pPr>
              <w:ind w:left="78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29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33,672</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320" w:type="dxa"/>
            <w:vAlign w:val="bottom"/>
          </w:tcPr>
          <w:p>
            <w:pPr>
              <w:jc w:val="right"/>
              <w:spacing w:after="0"/>
              <w:rPr>
                <w:sz w:val="20"/>
                <w:szCs w:val="20"/>
                <w:color w:val="auto"/>
              </w:rPr>
            </w:pPr>
            <w:r>
              <w:rPr>
                <w:rFonts w:ascii="Arial" w:cs="Arial" w:eastAsia="Arial" w:hAnsi="Arial"/>
                <w:sz w:val="18"/>
                <w:szCs w:val="18"/>
                <w:color w:val="auto"/>
              </w:rPr>
              <w:t>134,400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76,825</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Current portion of deferred income tax</w:t>
            </w:r>
          </w:p>
        </w:tc>
        <w:tc>
          <w:tcPr>
            <w:tcW w:w="1320" w:type="dxa"/>
            <w:vAlign w:val="bottom"/>
          </w:tcPr>
          <w:p>
            <w:pPr>
              <w:jc w:val="right"/>
              <w:spacing w:after="0"/>
              <w:rPr>
                <w:sz w:val="20"/>
                <w:szCs w:val="20"/>
                <w:color w:val="auto"/>
              </w:rPr>
            </w:pPr>
            <w:r>
              <w:rPr>
                <w:rFonts w:ascii="Arial" w:cs="Arial" w:eastAsia="Arial" w:hAnsi="Arial"/>
                <w:sz w:val="18"/>
                <w:szCs w:val="18"/>
                <w:color w:val="auto"/>
              </w:rPr>
              <w:t>3,879</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19,404</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268,180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Long-term investments</w:t>
            </w:r>
          </w:p>
        </w:tc>
        <w:tc>
          <w:tcPr>
            <w:tcW w:w="1320" w:type="dxa"/>
            <w:vAlign w:val="bottom"/>
          </w:tcPr>
          <w:p>
            <w:pPr>
              <w:jc w:val="right"/>
              <w:spacing w:after="0"/>
              <w:rPr>
                <w:sz w:val="20"/>
                <w:szCs w:val="20"/>
                <w:color w:val="auto"/>
              </w:rPr>
            </w:pPr>
            <w:r>
              <w:rPr>
                <w:rFonts w:ascii="Arial" w:cs="Arial" w:eastAsia="Arial" w:hAnsi="Arial"/>
                <w:sz w:val="18"/>
                <w:szCs w:val="18"/>
                <w:color w:val="auto"/>
              </w:rPr>
              <w:t>3,411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145,807</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20" w:type="dxa"/>
            <w:vAlign w:val="bottom"/>
          </w:tcPr>
          <w:p>
            <w:pPr>
              <w:jc w:val="right"/>
              <w:spacing w:after="0"/>
              <w:rPr>
                <w:sz w:val="20"/>
                <w:szCs w:val="20"/>
                <w:color w:val="auto"/>
              </w:rPr>
            </w:pPr>
            <w:r>
              <w:rPr>
                <w:rFonts w:ascii="Arial" w:cs="Arial" w:eastAsia="Arial" w:hAnsi="Arial"/>
                <w:sz w:val="18"/>
                <w:szCs w:val="18"/>
                <w:color w:val="auto"/>
              </w:rPr>
              <w:t>197,794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220,876</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Deferred income tax</w:t>
            </w:r>
          </w:p>
        </w:tc>
        <w:tc>
          <w:tcPr>
            <w:tcW w:w="1320" w:type="dxa"/>
            <w:vAlign w:val="bottom"/>
          </w:tcPr>
          <w:p>
            <w:pPr>
              <w:jc w:val="right"/>
              <w:spacing w:after="0"/>
              <w:rPr>
                <w:sz w:val="20"/>
                <w:szCs w:val="20"/>
                <w:color w:val="auto"/>
              </w:rPr>
            </w:pPr>
            <w:r>
              <w:rPr>
                <w:rFonts w:ascii="Arial" w:cs="Arial" w:eastAsia="Arial" w:hAnsi="Arial"/>
                <w:sz w:val="18"/>
                <w:szCs w:val="18"/>
                <w:color w:val="auto"/>
              </w:rPr>
              <w:t>15,886</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19,986</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871,940</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LIABILITIES AND SHAREHOLDERS EQUITY</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320" w:type="dxa"/>
            <w:vAlign w:val="bottom"/>
          </w:tcPr>
          <w:p>
            <w:pPr>
              <w:jc w:val="right"/>
              <w:spacing w:after="0"/>
              <w:rPr>
                <w:sz w:val="20"/>
                <w:szCs w:val="20"/>
                <w:color w:val="auto"/>
              </w:rPr>
            </w:pPr>
            <w:r>
              <w:rPr>
                <w:rFonts w:ascii="Arial" w:cs="Arial" w:eastAsia="Arial" w:hAnsi="Arial"/>
                <w:sz w:val="18"/>
                <w:szCs w:val="18"/>
                <w:color w:val="auto"/>
              </w:rPr>
              <w:t>109,894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Wages and benefit payable</w:t>
            </w:r>
          </w:p>
        </w:tc>
        <w:tc>
          <w:tcPr>
            <w:tcW w:w="1320" w:type="dxa"/>
            <w:vAlign w:val="bottom"/>
          </w:tcPr>
          <w:p>
            <w:pPr>
              <w:jc w:val="right"/>
              <w:spacing w:after="0"/>
              <w:rPr>
                <w:sz w:val="20"/>
                <w:szCs w:val="20"/>
                <w:color w:val="auto"/>
              </w:rPr>
            </w:pPr>
            <w:r>
              <w:rPr>
                <w:rFonts w:ascii="Arial" w:cs="Arial" w:eastAsia="Arial" w:hAnsi="Arial"/>
                <w:sz w:val="18"/>
                <w:szCs w:val="18"/>
                <w:color w:val="auto"/>
              </w:rPr>
              <w:t>29,430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payable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Current portion of debt &amp; overdrafts</w:t>
            </w:r>
          </w:p>
        </w:tc>
        <w:tc>
          <w:tcPr>
            <w:tcW w:w="1320" w:type="dxa"/>
            <w:vAlign w:val="bottom"/>
          </w:tcPr>
          <w:p>
            <w:pPr>
              <w:jc w:val="right"/>
              <w:spacing w:after="0"/>
              <w:rPr>
                <w:sz w:val="20"/>
                <w:szCs w:val="20"/>
                <w:color w:val="auto"/>
              </w:rPr>
            </w:pPr>
            <w:r>
              <w:rPr>
                <w:rFonts w:ascii="Arial" w:cs="Arial" w:eastAsia="Arial" w:hAnsi="Arial"/>
                <w:sz w:val="18"/>
                <w:szCs w:val="18"/>
                <w:color w:val="auto"/>
              </w:rPr>
              <w:t>8,700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warranty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Current portion of deferred compensation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restructuring</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213,081</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356,562</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Mezzanine debt</w:t>
            </w:r>
          </w:p>
        </w:tc>
        <w:tc>
          <w:tcPr>
            <w:tcW w:w="1320" w:type="dxa"/>
            <w:vAlign w:val="bottom"/>
          </w:tcPr>
          <w:p>
            <w:pPr>
              <w:jc w:val="right"/>
              <w:spacing w:after="0"/>
              <w:rPr>
                <w:sz w:val="20"/>
                <w:szCs w:val="20"/>
                <w:color w:val="auto"/>
              </w:rPr>
            </w:pPr>
            <w:r>
              <w:rPr>
                <w:rFonts w:ascii="Arial" w:cs="Arial" w:eastAsia="Arial" w:hAnsi="Arial"/>
                <w:sz w:val="18"/>
                <w:szCs w:val="18"/>
                <w:color w:val="auto"/>
              </w:rPr>
              <w:t>110,000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320" w:type="dxa"/>
            <w:vAlign w:val="bottom"/>
          </w:tcPr>
          <w:p>
            <w:pPr>
              <w:jc w:val="right"/>
              <w:spacing w:after="0"/>
              <w:rPr>
                <w:sz w:val="20"/>
                <w:szCs w:val="20"/>
                <w:color w:val="auto"/>
              </w:rPr>
            </w:pPr>
            <w:r>
              <w:rPr>
                <w:rFonts w:ascii="Arial" w:cs="Arial" w:eastAsia="Arial" w:hAnsi="Arial"/>
                <w:sz w:val="18"/>
                <w:szCs w:val="18"/>
                <w:color w:val="auto"/>
              </w:rPr>
              <w:t>52,530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82,841</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Restructuring</w:t>
            </w:r>
          </w:p>
        </w:tc>
        <w:tc>
          <w:tcPr>
            <w:tcW w:w="1320" w:type="dxa"/>
            <w:vAlign w:val="bottom"/>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Warranties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Contingent and other non-current liabilities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13,165</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833,839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Shareholder convertible notes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Common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1,630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of the carryover basis of continuing shareholders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(133,654)</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net</w:t>
            </w:r>
          </w:p>
        </w:tc>
        <w:tc>
          <w:tcPr>
            <w:tcW w:w="132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10,716</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rPr>
              <w:t>Total shareholders' equity</w:t>
            </w:r>
          </w:p>
        </w:tc>
        <w:tc>
          <w:tcPr>
            <w:tcW w:w="1320" w:type="dxa"/>
            <w:vAlign w:val="bottom"/>
          </w:tcPr>
          <w:p>
            <w:pPr>
              <w:jc w:val="right"/>
              <w:spacing w:after="0"/>
              <w:rPr>
                <w:sz w:val="20"/>
                <w:szCs w:val="20"/>
                <w:color w:val="auto"/>
              </w:rPr>
            </w:pPr>
            <w:r>
              <w:rPr>
                <w:rFonts w:ascii="Arial" w:cs="Arial" w:eastAsia="Arial" w:hAnsi="Arial"/>
                <w:sz w:val="18"/>
                <w:szCs w:val="18"/>
                <w:color w:val="auto"/>
              </w:rPr>
              <w:t>(121,179)</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871,940</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ACTARIS METERING SYSTEMS SA AND SUBSIDIARIES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(In € thousands)</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3"/>
              </w:rPr>
              <w:t>Successor</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1"/>
              </w:rPr>
              <w:t>Successor</w:t>
            </w:r>
          </w:p>
        </w:tc>
        <w:tc>
          <w:tcPr>
            <w:tcW w:w="480" w:type="dxa"/>
            <w:vAlign w:val="bottom"/>
          </w:tcPr>
          <w:p>
            <w:pPr>
              <w:spacing w:after="0"/>
              <w:rPr>
                <w:sz w:val="20"/>
                <w:szCs w:val="20"/>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c>
          <w:tcPr>
            <w:tcW w:w="118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Year ended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August 1 to</w:t>
            </w:r>
          </w:p>
        </w:tc>
        <w:tc>
          <w:tcPr>
            <w:tcW w:w="4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1 to</w:t>
            </w:r>
          </w:p>
        </w:tc>
        <w:tc>
          <w:tcPr>
            <w:tcW w:w="1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4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July 31,</w:t>
            </w:r>
          </w:p>
        </w:tc>
        <w:tc>
          <w:tcPr>
            <w:tcW w:w="1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4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Adjustments to reconcile net income (loss) to net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provided by operating activities: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37,269</w:t>
            </w:r>
          </w:p>
        </w:tc>
        <w:tc>
          <w:tcPr>
            <w:tcW w:w="1140" w:type="dxa"/>
            <w:vAlign w:val="bottom"/>
          </w:tcPr>
          <w:p>
            <w:pPr>
              <w:jc w:val="right"/>
              <w:spacing w:after="0"/>
              <w:rPr>
                <w:sz w:val="20"/>
                <w:szCs w:val="20"/>
                <w:color w:val="auto"/>
              </w:rPr>
            </w:pPr>
            <w:r>
              <w:rPr>
                <w:rFonts w:ascii="Arial" w:cs="Arial" w:eastAsia="Arial" w:hAnsi="Arial"/>
                <w:sz w:val="18"/>
                <w:szCs w:val="18"/>
                <w:color w:val="auto"/>
              </w:rPr>
              <w:t>15,786</w:t>
            </w:r>
          </w:p>
        </w:tc>
        <w:tc>
          <w:tcPr>
            <w:tcW w:w="4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20,885</w:t>
            </w:r>
          </w:p>
        </w:tc>
        <w:tc>
          <w:tcPr>
            <w:tcW w:w="1160" w:type="dxa"/>
            <w:vAlign w:val="bottom"/>
          </w:tcPr>
          <w:p>
            <w:pPr>
              <w:jc w:val="right"/>
              <w:spacing w:after="0"/>
              <w:rPr>
                <w:sz w:val="20"/>
                <w:szCs w:val="20"/>
                <w:color w:val="auto"/>
              </w:rPr>
            </w:pPr>
            <w:r>
              <w:rPr>
                <w:rFonts w:ascii="Arial" w:cs="Arial" w:eastAsia="Arial" w:hAnsi="Arial"/>
                <w:sz w:val="18"/>
                <w:szCs w:val="18"/>
                <w:color w:val="auto"/>
              </w:rPr>
              <w:t>36,355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Amortization of prepaid debt fees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40"/>
              <w:spacing w:after="0"/>
              <w:rPr>
                <w:sz w:val="20"/>
                <w:szCs w:val="20"/>
                <w:color w:val="auto"/>
              </w:rPr>
            </w:pPr>
            <w:r>
              <w:rPr>
                <w:rFonts w:ascii="Arial" w:cs="Arial" w:eastAsia="Arial" w:hAnsi="Arial"/>
                <w:sz w:val="18"/>
                <w:szCs w:val="18"/>
                <w:color w:val="auto"/>
              </w:rPr>
              <w:t>Deferred income tax</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(4,216)</w:t>
            </w:r>
          </w:p>
        </w:tc>
        <w:tc>
          <w:tcPr>
            <w:tcW w:w="1140" w:type="dxa"/>
            <w:vAlign w:val="bottom"/>
          </w:tcPr>
          <w:p>
            <w:pPr>
              <w:jc w:val="right"/>
              <w:spacing w:after="0"/>
              <w:rPr>
                <w:sz w:val="20"/>
                <w:szCs w:val="20"/>
                <w:color w:val="auto"/>
              </w:rPr>
            </w:pPr>
            <w:r>
              <w:rPr>
                <w:rFonts w:ascii="Arial" w:cs="Arial" w:eastAsia="Arial" w:hAnsi="Arial"/>
                <w:sz w:val="18"/>
                <w:szCs w:val="18"/>
                <w:color w:val="auto"/>
              </w:rPr>
              <w:t>(5,168)</w:t>
            </w:r>
          </w:p>
        </w:tc>
        <w:tc>
          <w:tcPr>
            <w:tcW w:w="4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649</w:t>
            </w:r>
          </w:p>
        </w:tc>
        <w:tc>
          <w:tcPr>
            <w:tcW w:w="1160" w:type="dxa"/>
            <w:vAlign w:val="bottom"/>
          </w:tcPr>
          <w:p>
            <w:pPr>
              <w:jc w:val="right"/>
              <w:spacing w:after="0"/>
              <w:rPr>
                <w:sz w:val="20"/>
                <w:szCs w:val="20"/>
                <w:color w:val="auto"/>
              </w:rPr>
            </w:pPr>
            <w:r>
              <w:rPr>
                <w:rFonts w:ascii="Arial" w:cs="Arial" w:eastAsia="Arial" w:hAnsi="Arial"/>
                <w:sz w:val="18"/>
                <w:szCs w:val="18"/>
                <w:color w:val="auto"/>
              </w:rPr>
              <w:t>(3,029)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Increase in accrued interest on shareholder convertible notes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40"/>
              <w:spacing w:after="0"/>
              <w:rPr>
                <w:sz w:val="20"/>
                <w:szCs w:val="20"/>
                <w:color w:val="auto"/>
              </w:rPr>
            </w:pPr>
            <w:r>
              <w:rPr>
                <w:rFonts w:ascii="Arial" w:cs="Arial" w:eastAsia="Arial" w:hAnsi="Arial"/>
                <w:sz w:val="18"/>
                <w:szCs w:val="18"/>
                <w:color w:val="auto"/>
              </w:rPr>
              <w:t>Acquired in process research &amp; development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2,551</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Amortization of acquired backlog from purchase accounting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Arial" w:cs="Arial" w:eastAsia="Arial" w:hAnsi="Arial"/>
                <w:sz w:val="18"/>
                <w:szCs w:val="18"/>
                <w:color w:val="auto"/>
              </w:rPr>
              <w:t>currency translation adjustment effect: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Decrease (increase) in accounts receivable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(12,585)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40"/>
              <w:spacing w:after="0"/>
              <w:rPr>
                <w:sz w:val="20"/>
                <w:szCs w:val="20"/>
                <w:color w:val="auto"/>
              </w:rPr>
            </w:pPr>
            <w:r>
              <w:rPr>
                <w:rFonts w:ascii="Arial" w:cs="Arial" w:eastAsia="Arial" w:hAnsi="Arial"/>
                <w:sz w:val="18"/>
                <w:szCs w:val="18"/>
                <w:color w:val="auto"/>
              </w:rPr>
              <w:t>Decrease (increase) in inventories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(10,243)</w:t>
            </w:r>
          </w:p>
        </w:tc>
        <w:tc>
          <w:tcPr>
            <w:tcW w:w="1140" w:type="dxa"/>
            <w:vAlign w:val="bottom"/>
          </w:tcPr>
          <w:p>
            <w:pPr>
              <w:jc w:val="right"/>
              <w:spacing w:after="0"/>
              <w:rPr>
                <w:sz w:val="20"/>
                <w:szCs w:val="20"/>
                <w:color w:val="auto"/>
              </w:rPr>
            </w:pPr>
            <w:r>
              <w:rPr>
                <w:rFonts w:ascii="Arial" w:cs="Arial" w:eastAsia="Arial" w:hAnsi="Arial"/>
                <w:sz w:val="18"/>
                <w:szCs w:val="18"/>
                <w:color w:val="auto"/>
              </w:rPr>
              <w:t>10,147</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Decrease (increase) in other current assets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40"/>
              <w:spacing w:after="0"/>
              <w:rPr>
                <w:sz w:val="20"/>
                <w:szCs w:val="20"/>
                <w:color w:val="auto"/>
              </w:rPr>
            </w:pPr>
            <w:r>
              <w:rPr>
                <w:rFonts w:ascii="Arial" w:cs="Arial" w:eastAsia="Arial" w:hAnsi="Arial"/>
                <w:sz w:val="18"/>
                <w:szCs w:val="18"/>
                <w:color w:val="auto"/>
              </w:rPr>
              <w:t>(Decrease) increase in accounts payable and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24,120</w:t>
            </w:r>
          </w:p>
        </w:tc>
        <w:tc>
          <w:tcPr>
            <w:tcW w:w="1140" w:type="dxa"/>
            <w:vAlign w:val="bottom"/>
          </w:tcPr>
          <w:p>
            <w:pPr>
              <w:jc w:val="right"/>
              <w:spacing w:after="0"/>
              <w:rPr>
                <w:sz w:val="20"/>
                <w:szCs w:val="20"/>
                <w:color w:val="auto"/>
              </w:rPr>
            </w:pPr>
            <w:r>
              <w:rPr>
                <w:rFonts w:ascii="Arial" w:cs="Arial" w:eastAsia="Arial" w:hAnsi="Arial"/>
                <w:sz w:val="18"/>
                <w:szCs w:val="18"/>
                <w:color w:val="auto"/>
              </w:rPr>
              <w:t>10,978</w:t>
            </w:r>
          </w:p>
        </w:tc>
        <w:tc>
          <w:tcPr>
            <w:tcW w:w="4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13,887</w:t>
            </w:r>
          </w:p>
        </w:tc>
        <w:tc>
          <w:tcPr>
            <w:tcW w:w="1160" w:type="dxa"/>
            <w:vAlign w:val="bottom"/>
          </w:tcPr>
          <w:p>
            <w:pPr>
              <w:jc w:val="right"/>
              <w:spacing w:after="0"/>
              <w:rPr>
                <w:sz w:val="20"/>
                <w:szCs w:val="20"/>
                <w:color w:val="auto"/>
              </w:rPr>
            </w:pPr>
            <w:r>
              <w:rPr>
                <w:rFonts w:ascii="Arial" w:cs="Arial" w:eastAsia="Arial" w:hAnsi="Arial"/>
                <w:sz w:val="18"/>
                <w:szCs w:val="18"/>
                <w:color w:val="auto"/>
              </w:rPr>
              <w:t>(4,791)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expenses, wages and benefit payables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40"/>
              <w:spacing w:after="0"/>
              <w:rPr>
                <w:sz w:val="20"/>
                <w:szCs w:val="20"/>
                <w:color w:val="auto"/>
              </w:rPr>
            </w:pPr>
            <w:r>
              <w:rPr>
                <w:rFonts w:ascii="Arial" w:cs="Arial" w:eastAsia="Arial" w:hAnsi="Arial"/>
                <w:sz w:val="18"/>
                <w:szCs w:val="18"/>
                <w:color w:val="auto"/>
              </w:rPr>
              <w:t>(Decrease) increase in income tax payable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2,531</w:t>
            </w:r>
          </w:p>
        </w:tc>
        <w:tc>
          <w:tcPr>
            <w:tcW w:w="1140" w:type="dxa"/>
            <w:vAlign w:val="bottom"/>
          </w:tcPr>
          <w:p>
            <w:pPr>
              <w:jc w:val="right"/>
              <w:spacing w:after="0"/>
              <w:rPr>
                <w:sz w:val="20"/>
                <w:szCs w:val="20"/>
                <w:color w:val="auto"/>
              </w:rPr>
            </w:pPr>
            <w:r>
              <w:rPr>
                <w:rFonts w:ascii="Arial" w:cs="Arial" w:eastAsia="Arial" w:hAnsi="Arial"/>
                <w:sz w:val="18"/>
                <w:szCs w:val="18"/>
                <w:color w:val="auto"/>
              </w:rPr>
              <w:t>(2,766)</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(Decrease) increase in restructuring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7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4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41,909</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30,321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Acquisitions of property, plant and equipment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(19,404)</w:t>
            </w:r>
          </w:p>
        </w:tc>
        <w:tc>
          <w:tcPr>
            <w:tcW w:w="1140" w:type="dxa"/>
            <w:vAlign w:val="bottom"/>
          </w:tcPr>
          <w:p>
            <w:pPr>
              <w:jc w:val="right"/>
              <w:spacing w:after="0"/>
              <w:rPr>
                <w:sz w:val="20"/>
                <w:szCs w:val="20"/>
                <w:color w:val="auto"/>
              </w:rPr>
            </w:pPr>
            <w:r>
              <w:rPr>
                <w:rFonts w:ascii="Arial" w:cs="Arial" w:eastAsia="Arial" w:hAnsi="Arial"/>
                <w:sz w:val="18"/>
                <w:szCs w:val="18"/>
                <w:color w:val="auto"/>
              </w:rPr>
              <w:t>(10,073)</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(9,169)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net of cash</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(652,727)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0"/>
              </w:rPr>
              <w:t>(1)</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Acquisition and financing fees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(2,445)</w:t>
            </w:r>
          </w:p>
        </w:tc>
        <w:tc>
          <w:tcPr>
            <w:tcW w:w="1140" w:type="dxa"/>
            <w:vAlign w:val="bottom"/>
          </w:tcPr>
          <w:p>
            <w:pPr>
              <w:jc w:val="right"/>
              <w:spacing w:after="0"/>
              <w:rPr>
                <w:sz w:val="20"/>
                <w:szCs w:val="20"/>
                <w:color w:val="auto"/>
              </w:rPr>
            </w:pPr>
            <w:r>
              <w:rPr>
                <w:rFonts w:ascii="Arial" w:cs="Arial" w:eastAsia="Arial" w:hAnsi="Arial"/>
                <w:sz w:val="18"/>
                <w:szCs w:val="18"/>
                <w:color w:val="auto"/>
              </w:rPr>
              <w:t>(27,008)</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(20,197)</w:t>
            </w:r>
          </w:p>
        </w:tc>
        <w:tc>
          <w:tcPr>
            <w:tcW w:w="1140" w:type="dxa"/>
            <w:vAlign w:val="bottom"/>
          </w:tcPr>
          <w:p>
            <w:pPr>
              <w:jc w:val="right"/>
              <w:spacing w:after="0"/>
              <w:rPr>
                <w:sz w:val="20"/>
                <w:szCs w:val="20"/>
                <w:color w:val="auto"/>
              </w:rPr>
            </w:pPr>
            <w:r>
              <w:rPr>
                <w:rFonts w:ascii="Arial" w:cs="Arial" w:eastAsia="Arial" w:hAnsi="Arial"/>
                <w:sz w:val="18"/>
                <w:szCs w:val="18"/>
                <w:color w:val="auto"/>
              </w:rPr>
              <w:t>(689,894)</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(8,362)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Financing activities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old senior debt from Mizuho Corporate Bank</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Decrease in bank overdraft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472</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new senior debt from Mizuho Corporate Bank (net)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(49,089)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415,000</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Increase in Mezzanine debt from Mizuho Corporate Bank</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110,000</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cash deposit at Royal Bank of Scotland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Equity contribution</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1,630</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shareholder convertible notes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161,390</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provided by (used in) financing activities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(48,674)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688,056</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translation adjustment on cash and cash equivalents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Dividends paid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(6,847)</w:t>
            </w:r>
          </w:p>
        </w:tc>
        <w:tc>
          <w:tcPr>
            <w:tcW w:w="1140" w:type="dxa"/>
            <w:vAlign w:val="bottom"/>
          </w:tcPr>
          <w:p>
            <w:pPr>
              <w:jc w:val="right"/>
              <w:spacing w:after="0"/>
              <w:rPr>
                <w:sz w:val="20"/>
                <w:szCs w:val="20"/>
                <w:color w:val="auto"/>
              </w:rPr>
            </w:pPr>
            <w:r>
              <w:rPr>
                <w:rFonts w:ascii="Arial" w:cs="Arial" w:eastAsia="Arial" w:hAnsi="Arial"/>
                <w:sz w:val="18"/>
                <w:szCs w:val="18"/>
                <w:color w:val="auto"/>
              </w:rPr>
              <w:t>40,519</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(6,916)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40,519</w:t>
            </w:r>
          </w:p>
        </w:tc>
        <w:tc>
          <w:tcPr>
            <w:tcW w:w="1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48,189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33,672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40,519</w:t>
            </w:r>
          </w:p>
        </w:tc>
        <w:tc>
          <w:tcPr>
            <w:tcW w:w="4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41,273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Cash paid during the year for income taxes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(14,064)</w:t>
            </w:r>
          </w:p>
        </w:tc>
        <w:tc>
          <w:tcPr>
            <w:tcW w:w="1140" w:type="dxa"/>
            <w:vAlign w:val="bottom"/>
          </w:tcPr>
          <w:p>
            <w:pPr>
              <w:jc w:val="right"/>
              <w:spacing w:after="0"/>
              <w:rPr>
                <w:sz w:val="20"/>
                <w:szCs w:val="20"/>
                <w:color w:val="auto"/>
              </w:rPr>
            </w:pPr>
            <w:r>
              <w:rPr>
                <w:rFonts w:ascii="Arial" w:cs="Arial" w:eastAsia="Arial" w:hAnsi="Arial"/>
                <w:sz w:val="18"/>
                <w:szCs w:val="18"/>
                <w:color w:val="auto"/>
              </w:rPr>
              <w:t>(5,778)</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year for interests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(36,542)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1120" w:hanging="288"/>
        <w:spacing w:after="0" w:line="27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NewCo (successor company) has beginning cash of zero. The cash of the predecessor company of € 41.3 million has been netted with the the acquisition cost of € 694 million in the investing activities of the successor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4820" w:type="dxa"/>
            <w:vAlign w:val="bottom"/>
            <w:gridSpan w:val="5"/>
          </w:tcPr>
          <w:p>
            <w:pPr>
              <w:spacing w:after="0"/>
              <w:rPr>
                <w:sz w:val="20"/>
                <w:szCs w:val="20"/>
                <w:color w:val="auto"/>
              </w:rPr>
            </w:pPr>
            <w:r>
              <w:rPr>
                <w:rFonts w:ascii="Arial" w:cs="Arial" w:eastAsia="Arial" w:hAnsi="Arial"/>
                <w:sz w:val="18"/>
                <w:szCs w:val="18"/>
                <w:b w:val="1"/>
                <w:bCs w:val="1"/>
                <w:color w:val="auto"/>
              </w:rPr>
              <w:t>ACTARIS METERING SYSTEMS SA AND SUBSIDIARIES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7"/>
          </w:tcPr>
          <w:p>
            <w:pPr>
              <w:spacing w:after="0"/>
              <w:rPr>
                <w:sz w:val="20"/>
                <w:szCs w:val="20"/>
                <w:color w:val="auto"/>
              </w:rPr>
            </w:pPr>
            <w:r>
              <w:rPr>
                <w:rFonts w:ascii="Arial" w:cs="Arial" w:eastAsia="Arial" w:hAnsi="Arial"/>
                <w:sz w:val="18"/>
                <w:szCs w:val="18"/>
                <w:b w:val="1"/>
                <w:bCs w:val="1"/>
                <w:color w:val="auto"/>
              </w:rPr>
              <w:t>CONSOLIDATED STATEMENT OF SHAREHOLDERS' EQUITY</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b w:val="1"/>
                <w:bCs w:val="1"/>
                <w:color w:val="auto"/>
              </w:rPr>
              <w:t>(In € thousands)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Adjustment of</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the Carryover</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Retained</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Basis of</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earnings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Number of</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Continuing</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Amount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Shareholders</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Income (loss)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deficit)</w:t>
            </w:r>
          </w:p>
        </w:tc>
        <w:tc>
          <w:tcPr>
            <w:tcW w:w="10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48"/>
        </w:trPr>
        <w:tc>
          <w:tcPr>
            <w:tcW w:w="3440" w:type="dxa"/>
            <w:vAlign w:val="bottom"/>
            <w:gridSpan w:val="2"/>
          </w:tcPr>
          <w:p>
            <w:pPr>
              <w:spacing w:after="0"/>
              <w:rPr>
                <w:sz w:val="20"/>
                <w:szCs w:val="20"/>
                <w:color w:val="auto"/>
              </w:rPr>
            </w:pPr>
            <w:r>
              <w:rPr>
                <w:rFonts w:ascii="Arial" w:cs="Arial" w:eastAsia="Arial" w:hAnsi="Arial"/>
                <w:sz w:val="18"/>
                <w:szCs w:val="18"/>
                <w:color w:val="auto"/>
              </w:rPr>
              <w:t>Predecessor</w:t>
            </w:r>
          </w:p>
        </w:tc>
        <w:tc>
          <w:tcPr>
            <w:tcW w:w="10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160,000</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(3,355)</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(7,693)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(2,310)</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160,000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(5,665)</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7,590</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Balance at July 31, 2005</w:t>
            </w:r>
          </w:p>
        </w:tc>
        <w:tc>
          <w:tcPr>
            <w:tcW w:w="1020" w:type="dxa"/>
            <w:vAlign w:val="bottom"/>
          </w:tcPr>
          <w:p>
            <w:pPr>
              <w:jc w:val="right"/>
              <w:spacing w:after="0"/>
              <w:rPr>
                <w:sz w:val="20"/>
                <w:szCs w:val="20"/>
                <w:color w:val="auto"/>
              </w:rPr>
            </w:pPr>
            <w:r>
              <w:rPr>
                <w:rFonts w:ascii="Arial" w:cs="Arial" w:eastAsia="Arial" w:hAnsi="Arial"/>
                <w:sz w:val="18"/>
                <w:szCs w:val="18"/>
                <w:color w:val="auto"/>
              </w:rPr>
              <w:t>845,000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160,000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1,925</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23,373</w:t>
            </w:r>
          </w:p>
        </w:tc>
        <w:tc>
          <w:tcPr>
            <w:tcW w:w="1060" w:type="dxa"/>
            <w:vAlign w:val="bottom"/>
          </w:tcPr>
          <w:p>
            <w:pPr>
              <w:jc w:val="right"/>
              <w:spacing w:after="0"/>
              <w:rPr>
                <w:sz w:val="20"/>
                <w:szCs w:val="20"/>
                <w:color w:val="auto"/>
              </w:rPr>
            </w:pPr>
            <w:r>
              <w:rPr>
                <w:rFonts w:ascii="Arial" w:cs="Arial" w:eastAsia="Arial" w:hAnsi="Arial"/>
                <w:sz w:val="18"/>
                <w:szCs w:val="18"/>
                <w:color w:val="auto"/>
              </w:rPr>
              <w:t>185,298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Successor</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1,610</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Preferred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Predecessor basis adjustment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(133,654)</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(8,835)</w:t>
            </w:r>
          </w:p>
        </w:tc>
        <w:tc>
          <w:tcPr>
            <w:tcW w:w="1060" w:type="dxa"/>
            <w:vAlign w:val="bottom"/>
          </w:tcPr>
          <w:p>
            <w:pPr>
              <w:jc w:val="right"/>
              <w:spacing w:after="0"/>
              <w:rPr>
                <w:sz w:val="20"/>
                <w:szCs w:val="20"/>
                <w:color w:val="auto"/>
              </w:rPr>
            </w:pPr>
            <w:r>
              <w:rPr>
                <w:rFonts w:ascii="Arial" w:cs="Arial" w:eastAsia="Arial" w:hAnsi="Arial"/>
                <w:sz w:val="18"/>
                <w:szCs w:val="18"/>
                <w:color w:val="auto"/>
              </w:rPr>
              <w:t>(8,835)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2,125</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(133,654)</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2,125</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(8,835)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19,551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(1,996)</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1020" w:type="dxa"/>
            <w:vAlign w:val="bottom"/>
          </w:tcPr>
          <w:p>
            <w:pPr>
              <w:jc w:val="right"/>
              <w:spacing w:after="0"/>
              <w:rPr>
                <w:sz w:val="20"/>
                <w:szCs w:val="20"/>
                <w:color w:val="auto"/>
              </w:rPr>
            </w:pPr>
            <w:r>
              <w:rPr>
                <w:rFonts w:ascii="Arial" w:cs="Arial" w:eastAsia="Arial" w:hAnsi="Arial"/>
                <w:sz w:val="18"/>
                <w:szCs w:val="18"/>
                <w:color w:val="auto"/>
              </w:rPr>
              <w:t>65,208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1,630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(133,654)</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10,716</w:t>
            </w:r>
          </w:p>
        </w:tc>
        <w:tc>
          <w:tcPr>
            <w:tcW w:w="1060" w:type="dxa"/>
            <w:vAlign w:val="bottom"/>
          </w:tcPr>
          <w:p>
            <w:pPr>
              <w:jc w:val="right"/>
              <w:spacing w:after="0"/>
              <w:rPr>
                <w:sz w:val="20"/>
                <w:szCs w:val="20"/>
                <w:color w:val="auto"/>
              </w:rPr>
            </w:pPr>
            <w:r>
              <w:rPr>
                <w:rFonts w:ascii="Arial" w:cs="Arial" w:eastAsia="Arial" w:hAnsi="Arial"/>
                <w:sz w:val="18"/>
                <w:szCs w:val="18"/>
                <w:color w:val="auto"/>
              </w:rPr>
              <w:t>(121,179)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ACTARIS METERING SYSTEMS SA AND SUBSIDIARIES</w:t>
      </w:r>
    </w:p>
    <w:p>
      <w:pPr>
        <w:spacing w:after="0" w:line="24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u w:val="single" w:color="auto"/>
          <w:color w:val="auto"/>
        </w:rPr>
        <w:t>DESCRIPTION OF BUSINESS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Actaris Metering Systems SA (“Actaris” or “the Company”) is incorporated in Luxembourg. The Company, through its subsidiaries in 30 countries, designs, manufactures, and services meters and associated systems for the electricity, gas, water and heat markets.</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u w:val="single" w:color="auto"/>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Actaris consolidates all subsidiaries in which the Company has a greater than 50% ownership or otherwise when Actaris has the effective control. Subsidiaries in which the Company does not control and owns less than a 50% interest are accounted for using the equity method and are classified in Long-Term Investments. Entities in which we have less than a 20% investment and do not exercise significant influence are accounted for under the cost method. We consider for consolidation any variable interest entity of which we are the primary beneficiary. We are not the primary beneficiary of any variable interest entities. All intercompany transactions and balances are eliminated in 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Actaris considers all highly liquid instruments with remaining maturities of three months or less at the date of acquisition to be cash equivalents. Cash equivalents are recorded at cost, which approximates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recorded for invoices issued to customers in accordance with contractual arrangements. The allowance for doubtful accounts is based on the Company’s historical experience of bad debts. Accounts receivable are written-off against the allowance when we believe an account, or a portion thereof, is no longer collectible.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Inventories are stated at the lower of cost or market using the first-in, first-out method. Inventory consists of materials and parts, supplies, work in process and finished products. Work in progress and finished products include all direct and attributable indirect costs incurred in manufacturing products. General &amp; Administrative expenses and Research &amp; Development costs are not included in inventory. Inventory is recorded net of a reserve for slow-moving or obsolete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set at ten to thirty years for buildings and improvements and three to ten years for machinery and equipment. Capitalized leases relate to building improvements and are capitalized over the term of the applicable lease, including renewable periods if reasonably assured, or over the useful lives, whichever is shorter.</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review tangible assets for impairment whenever events or circumstances indicate the carrying amount of an asset may not be recoverable. There were no significant impairments in 2006, 2005 and 2004. If there were an indication of impairment, management would prepare an estimate of future cash flows (undiscounted and without interest charges) expected to result from the use of the asset and its eventual disposition. If these cash flows were less than the carrying amount of the assets, an impairment loss would be recognized to write down the assets to their estimated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Maintenance, repairs and renewal costs which do not improve or extend the useful life of the asset are expensed as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capitalizes direct costs incurred related to the issuance of debt and records the amounts in other long-term assets. These costs are amortized to other financial expense over the lives of the respective borrowings using the effective interest method. Upon early repayment of the underlying loan balance, the related remaining fees are charged to expense. Deferred financing costs recorded in the Consolidated Balance Sheets are €13.3 million and €14.7 million at December 31, 2006 and 2005,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accordance with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 and Emerging Issues Task Force (EITF) 88-16, </w:t>
      </w:r>
      <w:r>
        <w:rPr>
          <w:rFonts w:ascii="Arial" w:cs="Arial" w:eastAsia="Arial" w:hAnsi="Arial"/>
          <w:sz w:val="16"/>
          <w:szCs w:val="16"/>
          <w:i w:val="1"/>
          <w:iCs w:val="1"/>
          <w:color w:val="auto"/>
        </w:rPr>
        <w:t>Basis in Leverage Buyout Transactions</w:t>
      </w:r>
      <w:r>
        <w:rPr>
          <w:rFonts w:ascii="Arial" w:cs="Arial" w:eastAsia="Arial" w:hAnsi="Arial"/>
          <w:sz w:val="16"/>
          <w:szCs w:val="16"/>
          <w:color w:val="auto"/>
        </w:rPr>
        <w:t>, the Company records the results of operations of an acquired business from the date of acquisition. Net assets of the acquired company and intangible assets that arise from contractual/legal rights, or are capable of being separated, are recorded at their fair values at the date of acquisition for new investors and the carrying basis for continuing investors. The excess of the purchase price to the fair value of tangible and definite life intangible assets is allocated to goodwill. Amounts allocated to in-process research and development (IPR&amp;D) are expensed in the period of acquisition.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is tested for impairment as of December 31 of each year, or more frequently, if a significant event occurs under the guidance of SFAS 142, Goodwill and Other Intangible Assets. Reporting units, as defined by SFAS 142, are the same as the operating segments as each business unit is comprised of a single component. Goodwill is assigned to reporting units based on the capacity of the reporting units to generate future cash flow. Intangible assets with a finite life are amortized based on estimated discounted cash flows over estimated useful lives and tested for impairment when events or changes in circumstances indicate the carrying value may not be recoverable. The Company uses estimates in determining the value of goodwill and intangible assets, including estimates of useful lives of intangible assets, discounted future cash flows and fair values of the related operations. In testing goodwill for impairment, the Company forecasts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allocated to identifiable intangible assets is amortized to expense over the estimated period of future benefit associated with the intangible asset as follows:</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 Backlog</w:t>
            </w:r>
          </w:p>
        </w:tc>
        <w:tc>
          <w:tcPr>
            <w:tcW w:w="2460" w:type="dxa"/>
            <w:vAlign w:val="bottom"/>
          </w:tcPr>
          <w:p>
            <w:pPr>
              <w:ind w:left="1020"/>
              <w:spacing w:after="0"/>
              <w:rPr>
                <w:sz w:val="20"/>
                <w:szCs w:val="20"/>
                <w:color w:val="auto"/>
              </w:rPr>
            </w:pPr>
            <w:r>
              <w:rPr>
                <w:rFonts w:ascii="Arial" w:cs="Arial" w:eastAsia="Arial" w:hAnsi="Arial"/>
                <w:sz w:val="18"/>
                <w:szCs w:val="18"/>
                <w:color w:val="auto"/>
              </w:rPr>
              <w:t>3 months</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 In Process R&amp;D</w:t>
            </w:r>
          </w:p>
        </w:tc>
        <w:tc>
          <w:tcPr>
            <w:tcW w:w="2460" w:type="dxa"/>
            <w:vAlign w:val="bottom"/>
          </w:tcPr>
          <w:p>
            <w:pPr>
              <w:ind w:left="860"/>
              <w:spacing w:after="0"/>
              <w:rPr>
                <w:sz w:val="20"/>
                <w:szCs w:val="20"/>
                <w:color w:val="auto"/>
              </w:rPr>
            </w:pPr>
            <w:r>
              <w:rPr>
                <w:rFonts w:ascii="Arial" w:cs="Arial" w:eastAsia="Arial" w:hAnsi="Arial"/>
                <w:sz w:val="18"/>
                <w:szCs w:val="18"/>
                <w:color w:val="auto"/>
                <w:w w:val="88"/>
              </w:rPr>
              <w:t>immediately expensed</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tcPr>
          <w:p>
            <w:pPr>
              <w:ind w:left="40"/>
              <w:spacing w:after="0"/>
              <w:rPr>
                <w:sz w:val="20"/>
                <w:szCs w:val="20"/>
                <w:color w:val="auto"/>
              </w:rPr>
            </w:pPr>
            <w:r>
              <w:rPr>
                <w:rFonts w:ascii="Arial" w:cs="Arial" w:eastAsia="Arial" w:hAnsi="Arial"/>
                <w:sz w:val="18"/>
                <w:szCs w:val="18"/>
                <w:color w:val="auto"/>
              </w:rPr>
              <w:t>Software</w:t>
            </w:r>
          </w:p>
        </w:tc>
        <w:tc>
          <w:tcPr>
            <w:tcW w:w="2460" w:type="dxa"/>
            <w:vAlign w:val="bottom"/>
          </w:tcPr>
          <w:p>
            <w:pPr>
              <w:ind w:left="1000"/>
              <w:spacing w:after="0"/>
              <w:rPr>
                <w:sz w:val="20"/>
                <w:szCs w:val="20"/>
                <w:color w:val="auto"/>
              </w:rPr>
            </w:pPr>
            <w:r>
              <w:rPr>
                <w:rFonts w:ascii="Arial" w:cs="Arial" w:eastAsia="Arial" w:hAnsi="Arial"/>
                <w:sz w:val="18"/>
                <w:szCs w:val="18"/>
                <w:color w:val="auto"/>
              </w:rPr>
              <w:t>10 years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2460" w:type="dxa"/>
            <w:vAlign w:val="bottom"/>
          </w:tcPr>
          <w:p>
            <w:pPr>
              <w:ind w:left="660"/>
              <w:spacing w:after="0"/>
              <w:rPr>
                <w:sz w:val="20"/>
                <w:szCs w:val="20"/>
                <w:color w:val="auto"/>
              </w:rPr>
            </w:pPr>
            <w:r>
              <w:rPr>
                <w:rFonts w:ascii="Arial" w:cs="Arial" w:eastAsia="Arial" w:hAnsi="Arial"/>
                <w:sz w:val="18"/>
                <w:szCs w:val="18"/>
                <w:color w:val="auto"/>
              </w:rPr>
              <w:t>12 years</w:t>
            </w:r>
          </w:p>
        </w:tc>
      </w:t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tcPr>
          <w:p>
            <w:pPr>
              <w:ind w:left="40"/>
              <w:spacing w:after="0"/>
              <w:rPr>
                <w:sz w:val="20"/>
                <w:szCs w:val="20"/>
                <w:color w:val="auto"/>
              </w:rPr>
            </w:pPr>
            <w:r>
              <w:rPr>
                <w:rFonts w:ascii="Arial" w:cs="Arial" w:eastAsia="Arial" w:hAnsi="Arial"/>
                <w:sz w:val="18"/>
                <w:szCs w:val="18"/>
                <w:color w:val="auto"/>
              </w:rPr>
              <w:t>Customer Relationship</w:t>
            </w:r>
          </w:p>
        </w:tc>
        <w:tc>
          <w:tcPr>
            <w:tcW w:w="2460" w:type="dxa"/>
            <w:vAlign w:val="bottom"/>
          </w:tcPr>
          <w:p>
            <w:pPr>
              <w:ind w:left="660"/>
              <w:spacing w:after="0"/>
              <w:rPr>
                <w:sz w:val="20"/>
                <w:szCs w:val="20"/>
                <w:color w:val="auto"/>
              </w:rPr>
            </w:pPr>
            <w:r>
              <w:rPr>
                <w:rFonts w:ascii="Arial" w:cs="Arial" w:eastAsia="Arial" w:hAnsi="Arial"/>
                <w:sz w:val="18"/>
                <w:szCs w:val="18"/>
                <w:color w:val="auto"/>
              </w:rPr>
              <w:t>20 years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industry standard warranties on hardware products. Standard warranty accruals represent the estimated cost of projected warranty claims and are based on historical and projected product performance trends, business volume assumptions, supplier information and other business and economic projections.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affect our financial position, results of operations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both defined contribution plans and defined benefit plans. Defined contribution plans are accounted for using the liability method with respect to any contributions due at year-end. Defined benefit obligations are measured using the years-of-service method and corridor approach. Obligations under its defined benefit plans are calculated [based on age, years of service, and the level of compensation] by applying consistent actuarial assumptions that reflect the market expectations for the period in which the obligations are to be settled. Under the corridor approach, all actuarial gains and losses resulting from variances between actual results and actuarial assumptions are deferred unless they exceed the corridor which is defined as the greater of 10% of the projected benefit obligation or 10% of the fair value of plan assets as of the beginning of the year. In such cases, those actuarial gains and losses are amortized over the average remaining period of employment. When applicable, the defined liability is netted with the fair value of pension trust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income taxes using the assets and liability method. Under this method, deferred taxes are recorded for the temporary differences between the financial reporting basis and tax basis of our assets and liabilities. These deferred taxes are measured using the tax rates expected to be in effect when the temporary differences reverse. The Company establishes a valuation allowance for a portion of the deferred tax asset when the Company believes it is more likely than not that a portion of the deferred tax asset will not be utilized.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Foreign currency transactions are recorded using the exchange rate in effect at the date the transaction is recorded. At year-end, monetary assets and liabilities are translated into the reporting currency at year-end exchange rates. Foreign currency exchange differences are recorded in Financial Charges.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foreign subsidiaries are prepared in the functional currency of each subsidiary. For foreign subsidiaries outside of the Euro-zone (i.e.: with a functional currency other than the Euro), assets and liabilities are translated into Euros at the official year-end exchange rates. Income statement accounts are translated at the weighted-average exchange rates for the period. The resulting differences are charged or credited to Other Comprehensive Income.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Hardware post-sale maintenance fees are recognized ratably over the life of the related contract. Arrangements with multiple elements are not material to the Company’s overall revenues.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defers revenue for products or services that have not been provided but have been invoiced under contractual agreements or paid for by a customer, or when products or services have been provided but the criteria for revenue recognition have not been met. Revenues resulting from long-term contracts for the delivery of meters are recognized upon the customer acceptance criteria determined in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FEES AND COSTS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Shipping and handling fees billed to customers are classified in “Revenues” in our Consolidated Income Statement. Shipping and handling costs are included in “Cost of Sales” in our Consolidated Income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utilizes derivative instruments to hedge its interest rate exposure. As these derivatives are not designated as accounting hedges under SFAS No. 133, they are accounted for as derivatives with no hedge designation. Such derivative instruments are reflected at fair value in the Consolidated Balance Sheet in other current assets or other current liabilities. Changes in the fair value on these derivatives are, both realized and unrealized, recorded in current period earnings as interest expense.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Product development costs primarily include payroll and third party contracting fees. Due to the relatively short period of time between technological feasibility and the completion of product development we generally do not capitalize product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values of cash, cash equivalents, short-term investments, accounts receivable, accounts payable and accrued liabilities approximate estimated fair value due to the short maturity of these instruments.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was based on current rates offered to Actaris for similar debt with the same remaining maturities. The carrying value approximates fair value.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certain instruments with characteristics of both liabilities and equity in accordance with SFAS 150 and EITF Topic D-98 (a clarification of ASR268), as applicable, which requires classification of redeemable securities that would otherwise not represent obligations under SFAS 150 and are redeemable only if specified events occur at their initial carrying amount outside of permanent equity.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and customer receivables. The Group places its cash and cash equivalents with high credit quality financial institutions and invests in low-risk, highly liquid instruments. Actaris has a wide customer basis with no single customer exceeding 3.5% of its annual revenues. Therefore the credit risk is limited.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management believes that the estimates used in the preparation of the financial statements are reasonable, actual results could differ from these estimates.</w:t>
      </w:r>
    </w:p>
    <w:p>
      <w:pPr>
        <w:spacing w:after="0" w:line="2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u w:val="single" w:color="auto"/>
          <w:color w:val="auto"/>
        </w:rPr>
        <w:t>FORMATION OF THE COMPANY AND PREDECESSOR BASIS ADJUSTMENT</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Actaris Metering Systems SA (“Actaris” or the “Company”), formerly called "Actaris Metering Systems II Sàrl", was incorporated on June 3rd, 2005 under the laws of Luxembourg by FCPRs managed by LBO France Gestion S.A.S. Actaris Metering Systems II Sarl was renamed on December 2, 2005 and subsequently transformed from Sarl to SA on February 28, 2006. Actaris is registered under number B 108-445 and its registered address is: 26 rue Louvigny, L-1946 Luxembourg. Actaris has been established for an unlimited period of time. Actaris Metering Systems II Sàrl, acting directly or through various consolidated subsidiaries, acquired Actaris Holding France, Actaris Services “France”, Actaris Development Germany Gmbh, Ganz meter company Ltd Hungary, Actaris Development UK Ltd, Actaris Development US Liquid Measurement Inc, Actaris Development US Gas Inc, Actaris Management Services SA, Actaris Holding 6 S.A., Actaris Spa “Italy”, Actaris SA “Spain” and Actaris Financial Services Sarl and subsidiaries (collectively referred to as</w:t>
      </w:r>
    </w:p>
    <w:p>
      <w:pPr>
        <w:spacing w:after="0" w:line="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“Actaris Group” or “Predecessor”), on July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2005 (“The Acquisition”). The Acquisition occurred through the purchase of all the outstanding equity of the Actaris Group, and bonds owned by the Selling Holding Company</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 all its affiliates.</w:t>
      </w:r>
    </w:p>
    <w:p>
      <w:pPr>
        <w:spacing w:after="0" w:line="153" w:lineRule="exact"/>
        <w:rPr>
          <w:sz w:val="20"/>
          <w:szCs w:val="20"/>
          <w:color w:val="auto"/>
        </w:rPr>
      </w:pPr>
    </w:p>
    <w:p>
      <w:pPr>
        <w:ind w:right="140" w:firstLine="8"/>
        <w:spacing w:after="0" w:line="192" w:lineRule="auto"/>
        <w:tabs>
          <w:tab w:leader="none" w:pos="117"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The Selling Holding Company was Actaris Metering Systems SA (a Luxembourg Company created on May 23, 2003) which was the Holding Company of the Actaris Group until July 28, 2005.</w:t>
      </w:r>
    </w:p>
    <w:p>
      <w:pPr>
        <w:sectPr>
          <w:pgSz w:w="11900" w:h="16838" w:orient="portrait"/>
          <w:cols w:equalWidth="0" w:num="1">
            <w:col w:w="11420"/>
          </w:cols>
          <w:pgMar w:left="240" w:top="121"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both"/>
        <w:spacing w:after="0" w:line="279" w:lineRule="auto"/>
        <w:rPr>
          <w:sz w:val="20"/>
          <w:szCs w:val="20"/>
          <w:color w:val="auto"/>
        </w:rPr>
      </w:pPr>
      <w:r>
        <w:rPr>
          <w:rFonts w:ascii="Arial" w:cs="Arial" w:eastAsia="Arial" w:hAnsi="Arial"/>
          <w:sz w:val="17"/>
          <w:szCs w:val="17"/>
          <w:color w:val="auto"/>
        </w:rPr>
        <w:t>Total cost of the acquisition on July 28, 2005 was € 652.7 million, which consisted of € 484.0 paid for the equity interest of the selling shareholders and € 210.0 million to repay existing indebtedness, net of cash acquired of € 41.3 million. Sources of funds for the acquisition were comprised of new equity in the form of cash for € 1.6 million, new equity in the form of shareholder convertible notes for € 146.0 million, a new debt facility for € 420.0 million, a mezzanine debt facility of € 110.0 million and acquisition costs of € 16.4 million, offset by cash acquired of € 41.3 million.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acquisition was recorded as of July 28, 2005, in accordance with SFAS 141, Business Combinations, which requires the cost of the acquisition be allocated to the fair value of the acquired identified assets and assumed liabilities. Because certain shareholders in the Company also were shareholders in Predecessor, the Company applied the guidance in Emerging Issues Tasks Force (EITF) 88-16, Basis in Leverage Buyout Transactions. EITF 88-16 requires that the assets acquired and liabilities assumed for the lesser of the continuing shareholder’s residual interest in Predecessor or the Company be reflected at carryover basis for accounting purposes, not fair value. Accordingly, the Company reduced the step-up to fair value (primarily property, plant and equipment, identifiable intangible assets, and goodwill) calculated under SFAS 141. This reduction is reflected as a Predecessor Basis Adjustment in Shareholders Equity for €133.7 million. As a result of this adjustment, the net assets at the acquisition date reflect fair value for the new investor’s ownership of 60.4% and carryover basis for the remaining 39.6% for continuing shareholders. This reduction has no impact on cash flow or the underlying fair value at the acquisition date used to allocate purchase price.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acquisition is broken down and has been allocated to the identifiable assets and liabilities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(In € thousands)</w:t>
            </w:r>
          </w:p>
        </w:tc>
        <w:tc>
          <w:tcPr>
            <w:tcW w:w="2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39"/>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Purchase Price Allocation at August 1, 2005:</w:t>
            </w:r>
          </w:p>
        </w:tc>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 of acquisition, net of acquisition costs</w:t>
            </w:r>
          </w:p>
        </w:tc>
        <w:tc>
          <w:tcPr>
            <w:tcW w:w="7160" w:type="dxa"/>
            <w:vAlign w:val="bottom"/>
            <w:gridSpan w:val="3"/>
            <w:shd w:val="clear" w:color="auto" w:fill="CCEEFF"/>
          </w:tcPr>
          <w:p>
            <w:pPr>
              <w:jc w:val="right"/>
              <w:ind w:right="3160"/>
              <w:spacing w:after="0"/>
              <w:rPr>
                <w:sz w:val="20"/>
                <w:szCs w:val="20"/>
                <w:color w:val="auto"/>
              </w:rPr>
            </w:pPr>
            <w:r>
              <w:rPr>
                <w:rFonts w:ascii="Arial" w:cs="Arial" w:eastAsia="Arial" w:hAnsi="Arial"/>
                <w:sz w:val="18"/>
                <w:szCs w:val="18"/>
                <w:color w:val="auto"/>
              </w:rPr>
              <w:t>652,750</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2"/>
              </w:rPr>
              <w:t>Net book value of assets acquired and liabilities assumed</w:t>
            </w:r>
          </w:p>
        </w:tc>
        <w:tc>
          <w:tcPr>
            <w:tcW w:w="26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298,608</w:t>
            </w:r>
          </w:p>
        </w:tc>
        <w:tc>
          <w:tcPr>
            <w:tcW w:w="3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of cost over book value</w:t>
            </w:r>
          </w:p>
        </w:tc>
        <w:tc>
          <w:tcPr>
            <w:tcW w:w="26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354,142</w:t>
            </w:r>
          </w:p>
        </w:tc>
        <w:tc>
          <w:tcPr>
            <w:tcW w:w="316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identifiable assets &amp; liabilities as at August 1, 2005: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color w:val="auto"/>
                <w:w w:val="85"/>
              </w:rPr>
              <w:t>Predecessor</w:t>
            </w: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w w:val="92"/>
              </w:rPr>
              <w:t>Book value</w:t>
            </w: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Fair value</w:t>
            </w:r>
          </w:p>
        </w:tc>
        <w:tc>
          <w:tcPr>
            <w:tcW w:w="1320" w:type="dxa"/>
            <w:vAlign w:val="bottom"/>
          </w:tcPr>
          <w:p>
            <w:pPr>
              <w:jc w:val="center"/>
              <w:ind w:right="130"/>
              <w:spacing w:after="0"/>
              <w:rPr>
                <w:sz w:val="20"/>
                <w:szCs w:val="20"/>
                <w:color w:val="auto"/>
              </w:rPr>
            </w:pPr>
            <w:r>
              <w:rPr>
                <w:rFonts w:ascii="Arial" w:cs="Arial" w:eastAsia="Arial" w:hAnsi="Arial"/>
                <w:sz w:val="18"/>
                <w:szCs w:val="18"/>
                <w:color w:val="auto"/>
                <w:w w:val="86"/>
              </w:rPr>
              <w:t>Basis</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Sources</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color w:val="auto"/>
              </w:rPr>
              <w:t>Acquired</w:t>
            </w:r>
          </w:p>
        </w:tc>
        <w:tc>
          <w:tcPr>
            <w:tcW w:w="1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Allocation</w:t>
            </w: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w w:val="93"/>
              </w:rPr>
              <w:t>Adjustment</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of Financing</w:t>
            </w:r>
          </w:p>
        </w:tc>
        <w:tc>
          <w:tcPr>
            <w:tcW w:w="1560" w:type="dxa"/>
            <w:vAlign w:val="bottom"/>
            <w:gridSpan w:val="2"/>
          </w:tcPr>
          <w:p>
            <w:pPr>
              <w:jc w:val="right"/>
              <w:ind w:right="10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w w:val="92"/>
              </w:rPr>
              <w:t>Uses</w:t>
            </w:r>
          </w:p>
        </w:tc>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Working capital</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125,235</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4,088</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40" w:type="dxa"/>
            <w:vAlign w:val="bottom"/>
            <w:gridSpan w:val="3"/>
          </w:tcPr>
          <w:p>
            <w:pPr>
              <w:ind w:left="60"/>
              <w:spacing w:after="0"/>
              <w:rPr>
                <w:sz w:val="20"/>
                <w:szCs w:val="20"/>
                <w:color w:val="auto"/>
              </w:rPr>
            </w:pPr>
            <w:r>
              <w:rPr>
                <w:rFonts w:ascii="Arial" w:cs="Arial" w:eastAsia="Arial" w:hAnsi="Arial"/>
                <w:sz w:val="18"/>
                <w:szCs w:val="18"/>
                <w:color w:val="auto"/>
              </w:rPr>
              <w:t>Property, plant &amp; equipment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142,731</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15,859</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(6,280)</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152,310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Identifiable intangibles</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189,697</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62,121</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(24,600)</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227,218</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40" w:type="dxa"/>
            <w:vAlign w:val="bottom"/>
            <w:gridSpan w:val="3"/>
          </w:tcPr>
          <w:p>
            <w:pPr>
              <w:ind w:left="60"/>
              <w:spacing w:after="0"/>
              <w:rPr>
                <w:sz w:val="20"/>
                <w:szCs w:val="20"/>
                <w:color w:val="auto"/>
              </w:rPr>
            </w:pPr>
            <w:r>
              <w:rPr>
                <w:rFonts w:ascii="Arial" w:cs="Arial" w:eastAsia="Arial" w:hAnsi="Arial"/>
                <w:sz w:val="18"/>
                <w:szCs w:val="18"/>
                <w:color w:val="auto"/>
              </w:rPr>
              <w:t>Other assets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37,766</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11,876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(4,703)</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44,939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Goodwill</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328,344</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(107,612)</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220,732</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40" w:type="dxa"/>
            <w:vAlign w:val="bottom"/>
            <w:gridSpan w:val="3"/>
          </w:tcPr>
          <w:p>
            <w:pPr>
              <w:ind w:left="60"/>
              <w:spacing w:after="0"/>
              <w:rPr>
                <w:sz w:val="20"/>
                <w:szCs w:val="20"/>
                <w:color w:val="auto"/>
              </w:rPr>
            </w:pPr>
            <w:r>
              <w:rPr>
                <w:rFonts w:ascii="Arial" w:cs="Arial" w:eastAsia="Arial" w:hAnsi="Arial"/>
                <w:sz w:val="18"/>
                <w:szCs w:val="18"/>
                <w:color w:val="auto"/>
              </w:rPr>
              <w:t>Other current liabilities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(129,412)</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(57,588)</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11,160</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(175,840)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Acquisition related restructuring costs</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(8,819)</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40" w:type="dxa"/>
            <w:vAlign w:val="bottom"/>
            <w:gridSpan w:val="3"/>
          </w:tcPr>
          <w:p>
            <w:pPr>
              <w:ind w:left="60"/>
              <w:spacing w:after="0"/>
              <w:rPr>
                <w:sz w:val="20"/>
                <w:szCs w:val="20"/>
                <w:color w:val="auto"/>
              </w:rPr>
            </w:pPr>
            <w:r>
              <w:rPr>
                <w:rFonts w:ascii="Arial" w:cs="Arial" w:eastAsia="Arial" w:hAnsi="Arial"/>
                <w:sz w:val="18"/>
                <w:szCs w:val="18"/>
                <w:color w:val="auto"/>
              </w:rPr>
              <w:t>Other long-term liabilities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(67,409)</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(1,739)</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(69,148)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Sources</w:t>
            </w:r>
          </w:p>
        </w:tc>
        <w:tc>
          <w:tcPr>
            <w:tcW w:w="2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40" w:type="dxa"/>
            <w:vAlign w:val="bottom"/>
            <w:gridSpan w:val="3"/>
          </w:tcPr>
          <w:p>
            <w:pPr>
              <w:ind w:left="60"/>
              <w:spacing w:after="0"/>
              <w:rPr>
                <w:sz w:val="20"/>
                <w:szCs w:val="20"/>
                <w:color w:val="auto"/>
              </w:rPr>
            </w:pPr>
            <w:r>
              <w:rPr>
                <w:rFonts w:ascii="Arial" w:cs="Arial" w:eastAsia="Arial" w:hAnsi="Arial"/>
                <w:sz w:val="18"/>
                <w:szCs w:val="18"/>
                <w:color w:val="auto"/>
              </w:rPr>
              <w:t>Net cash</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24,840</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24,840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Convertible shareholder notes</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(145,960)</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40" w:type="dxa"/>
            <w:vAlign w:val="bottom"/>
            <w:gridSpan w:val="3"/>
          </w:tcPr>
          <w:p>
            <w:pPr>
              <w:ind w:left="60"/>
              <w:spacing w:after="0"/>
              <w:rPr>
                <w:sz w:val="20"/>
                <w:szCs w:val="20"/>
                <w:color w:val="auto"/>
              </w:rPr>
            </w:pPr>
            <w:r>
              <w:rPr>
                <w:rFonts w:ascii="Arial" w:cs="Arial" w:eastAsia="Arial" w:hAnsi="Arial"/>
                <w:sz w:val="18"/>
                <w:szCs w:val="18"/>
                <w:color w:val="auto"/>
              </w:rPr>
              <w:t>Mezannine debt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(110,000)</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Senior bank debt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(420,000)</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89"/>
              </w:rPr>
              <w:t>Net Balance</w:t>
            </w:r>
          </w:p>
        </w:tc>
        <w:tc>
          <w:tcPr>
            <w:tcW w:w="2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298,608</w:t>
            </w:r>
          </w:p>
        </w:tc>
        <w:tc>
          <w:tcPr>
            <w:tcW w:w="14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354,142</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(133,654)</w:t>
            </w:r>
          </w:p>
        </w:tc>
        <w:tc>
          <w:tcPr>
            <w:tcW w:w="1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(651,120)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(132,024)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gridSpan w:val="2"/>
          </w:tcPr>
          <w:p>
            <w:pPr>
              <w:spacing w:after="0"/>
              <w:rPr>
                <w:sz w:val="20"/>
                <w:szCs w:val="20"/>
                <w:color w:val="auto"/>
              </w:rPr>
            </w:pPr>
            <w:r>
              <w:rPr>
                <w:rFonts w:ascii="Arial" w:cs="Arial" w:eastAsia="Arial" w:hAnsi="Arial"/>
                <w:sz w:val="18"/>
                <w:szCs w:val="18"/>
                <w:color w:val="auto"/>
              </w:rPr>
              <w:t>(1)</w:t>
            </w:r>
          </w:p>
        </w:tc>
        <w:tc>
          <w:tcPr>
            <w:tcW w:w="3840" w:type="dxa"/>
            <w:vAlign w:val="bottom"/>
            <w:gridSpan w:val="3"/>
          </w:tcPr>
          <w:p>
            <w:pPr>
              <w:ind w:left="60"/>
              <w:spacing w:after="0"/>
              <w:rPr>
                <w:sz w:val="20"/>
                <w:szCs w:val="20"/>
                <w:color w:val="auto"/>
              </w:rPr>
            </w:pPr>
            <w:r>
              <w:rPr>
                <w:rFonts w:ascii="Arial" w:cs="Arial" w:eastAsia="Arial" w:hAnsi="Arial"/>
                <w:sz w:val="18"/>
                <w:szCs w:val="18"/>
                <w:color w:val="auto"/>
              </w:rPr>
              <w:t>Cash acquired, net of transaction fees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NOTE 4.</w:t>
            </w:r>
          </w:p>
        </w:tc>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ACCOUNTS RECEIVABLE, NET</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ind w:left="540"/>
              <w:spacing w:after="0"/>
              <w:rPr>
                <w:sz w:val="20"/>
                <w:szCs w:val="20"/>
                <w:color w:val="auto"/>
              </w:rPr>
            </w:pPr>
            <w:r>
              <w:rPr>
                <w:rFonts w:ascii="Arial" w:cs="Arial" w:eastAsia="Arial" w:hAnsi="Arial"/>
                <w:sz w:val="18"/>
                <w:szCs w:val="18"/>
                <w:b w:val="1"/>
                <w:bCs w:val="1"/>
                <w:color w:val="auto"/>
              </w:rPr>
              <w:t>At December 31,</w:t>
            </w: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ind w:left="520"/>
              <w:spacing w:after="0"/>
              <w:rPr>
                <w:sz w:val="20"/>
                <w:szCs w:val="20"/>
                <w:color w:val="auto"/>
              </w:rPr>
            </w:pPr>
            <w:r>
              <w:rPr>
                <w:rFonts w:ascii="Arial" w:cs="Arial" w:eastAsia="Arial" w:hAnsi="Arial"/>
                <w:sz w:val="18"/>
                <w:szCs w:val="18"/>
                <w:b w:val="1"/>
                <w:bCs w:val="1"/>
                <w:color w:val="auto"/>
              </w:rPr>
              <w:t>(In €</w:t>
            </w:r>
          </w:p>
        </w:tc>
        <w:tc>
          <w:tcPr>
            <w:tcW w:w="13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76"/>
              </w:rPr>
              <w:t>thousands)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6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vMerge w:val="restart"/>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Receivables</w:t>
            </w: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138,310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127,365</w:t>
            </w:r>
          </w:p>
        </w:tc>
        <w:tc>
          <w:tcPr>
            <w:tcW w:w="1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Receivables, net</w:t>
            </w: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134,400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123,748</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8</w:t>
            </w:r>
          </w:p>
        </w:tc>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tabs>
          <w:tab w:leader="none" w:pos="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u w:val="single" w:color="auto"/>
          <w:color w:val="auto"/>
        </w:rPr>
        <w:t>INVENTORIES,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as at December 31, 2006 and December 31, 2005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gridSpan w:val="4"/>
          </w:tcPr>
          <w:p>
            <w:pPr>
              <w:ind w:left="54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ind w:left="540"/>
              <w:spacing w:after="0"/>
              <w:rPr>
                <w:sz w:val="20"/>
                <w:szCs w:val="20"/>
                <w:color w:val="auto"/>
              </w:rPr>
            </w:pPr>
            <w:r>
              <w:rPr>
                <w:rFonts w:ascii="Arial" w:cs="Arial" w:eastAsia="Arial" w:hAnsi="Arial"/>
                <w:sz w:val="18"/>
                <w:szCs w:val="18"/>
                <w:b w:val="1"/>
                <w:bCs w:val="1"/>
                <w:color w:val="auto"/>
              </w:rPr>
              <w:t>(In €</w:t>
            </w:r>
          </w:p>
        </w:tc>
        <w:tc>
          <w:tcPr>
            <w:tcW w:w="13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78"/>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Inventory</w:t>
            </w: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Raw materials and parts</w:t>
            </w:r>
          </w:p>
        </w:tc>
        <w:tc>
          <w:tcPr>
            <w:tcW w:w="13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39,653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40" w:type="dxa"/>
            <w:vAlign w:val="bottom"/>
            <w:gridSpan w:val="2"/>
          </w:tcPr>
          <w:p>
            <w:pPr>
              <w:ind w:left="100"/>
              <w:spacing w:after="0"/>
              <w:rPr>
                <w:sz w:val="20"/>
                <w:szCs w:val="20"/>
                <w:color w:val="auto"/>
              </w:rPr>
            </w:pPr>
            <w:r>
              <w:rPr>
                <w:rFonts w:ascii="Arial" w:cs="Arial" w:eastAsia="Arial" w:hAnsi="Arial"/>
                <w:sz w:val="18"/>
                <w:szCs w:val="18"/>
                <w:color w:val="auto"/>
              </w:rPr>
              <w:t>Work in process</w:t>
            </w:r>
          </w:p>
        </w:tc>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8,234</w:t>
            </w:r>
          </w:p>
        </w:tc>
        <w:tc>
          <w:tcPr>
            <w:tcW w:w="1020" w:type="dxa"/>
            <w:vAlign w:val="bottom"/>
          </w:tcPr>
          <w:p>
            <w:pPr>
              <w:jc w:val="right"/>
              <w:spacing w:after="0"/>
              <w:rPr>
                <w:sz w:val="20"/>
                <w:szCs w:val="20"/>
                <w:color w:val="auto"/>
              </w:rPr>
            </w:pPr>
            <w:r>
              <w:rPr>
                <w:rFonts w:ascii="Arial" w:cs="Arial" w:eastAsia="Arial" w:hAnsi="Arial"/>
                <w:sz w:val="18"/>
                <w:szCs w:val="18"/>
                <w:color w:val="auto"/>
              </w:rPr>
              <w:t>6,194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Finished Goods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Total Gross Inventory</w:t>
            </w: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82,839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Obsolescence Reserve</w:t>
            </w:r>
          </w:p>
        </w:tc>
        <w:tc>
          <w:tcPr>
            <w:tcW w:w="2340" w:type="dxa"/>
            <w:vAlign w:val="bottom"/>
            <w:gridSpan w:val="2"/>
          </w:tcPr>
          <w:p>
            <w:pPr>
              <w:ind w:left="100"/>
              <w:spacing w:after="0"/>
              <w:rPr>
                <w:sz w:val="20"/>
                <w:szCs w:val="20"/>
                <w:color w:val="auto"/>
              </w:rPr>
            </w:pPr>
            <w:r>
              <w:rPr>
                <w:rFonts w:ascii="Arial" w:cs="Arial" w:eastAsia="Arial" w:hAnsi="Arial"/>
                <w:sz w:val="18"/>
                <w:szCs w:val="18"/>
                <w:color w:val="auto"/>
              </w:rPr>
              <w:t>Raw materials and parts</w:t>
            </w:r>
          </w:p>
        </w:tc>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3,190</w:t>
            </w:r>
          </w:p>
        </w:tc>
        <w:tc>
          <w:tcPr>
            <w:tcW w:w="1020" w:type="dxa"/>
            <w:vAlign w:val="bottom"/>
          </w:tcPr>
          <w:p>
            <w:pPr>
              <w:jc w:val="right"/>
              <w:spacing w:after="0"/>
              <w:rPr>
                <w:sz w:val="20"/>
                <w:szCs w:val="20"/>
                <w:color w:val="auto"/>
              </w:rPr>
            </w:pPr>
            <w:r>
              <w:rPr>
                <w:rFonts w:ascii="Arial" w:cs="Arial" w:eastAsia="Arial" w:hAnsi="Arial"/>
                <w:sz w:val="18"/>
                <w:szCs w:val="18"/>
                <w:color w:val="auto"/>
              </w:rPr>
              <w:t>3,120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Work in process</w:t>
            </w:r>
          </w:p>
        </w:tc>
        <w:tc>
          <w:tcPr>
            <w:tcW w:w="13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245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340" w:type="dxa"/>
            <w:vAlign w:val="bottom"/>
            <w:gridSpan w:val="2"/>
          </w:tcPr>
          <w:p>
            <w:pPr>
              <w:ind w:left="100"/>
              <w:spacing w:after="0"/>
              <w:rPr>
                <w:sz w:val="20"/>
                <w:szCs w:val="20"/>
                <w:color w:val="auto"/>
              </w:rPr>
            </w:pPr>
            <w:r>
              <w:rPr>
                <w:rFonts w:ascii="Arial" w:cs="Arial" w:eastAsia="Arial" w:hAnsi="Arial"/>
                <w:sz w:val="18"/>
                <w:szCs w:val="18"/>
                <w:color w:val="auto"/>
              </w:rPr>
              <w:t>Finished Goods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w:t>
            </w:r>
          </w:p>
        </w:tc>
        <w:tc>
          <w:tcPr>
            <w:tcW w:w="3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Provision for obsolescence</w:t>
            </w: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6,014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Inventory, net</w:t>
            </w:r>
          </w:p>
        </w:tc>
        <w:tc>
          <w:tcPr>
            <w:tcW w:w="1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76,825</w:t>
            </w: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NOTE 6.   OTHER CURRENT ASSETS</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Current Assets at December 31, 2006 and December 31, 2005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20" w:type="dxa"/>
            <w:vAlign w:val="bottom"/>
            <w:gridSpan w:val="4"/>
          </w:tcPr>
          <w:p>
            <w:pPr>
              <w:ind w:left="56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0" w:type="dxa"/>
            <w:vAlign w:val="bottom"/>
          </w:tcPr>
          <w:p>
            <w:pPr>
              <w:ind w:left="560"/>
              <w:spacing w:after="0"/>
              <w:rPr>
                <w:sz w:val="20"/>
                <w:szCs w:val="20"/>
                <w:color w:val="auto"/>
              </w:rPr>
            </w:pPr>
            <w:r>
              <w:rPr>
                <w:rFonts w:ascii="Arial" w:cs="Arial" w:eastAsia="Arial" w:hAnsi="Arial"/>
                <w:sz w:val="18"/>
                <w:szCs w:val="18"/>
                <w:b w:val="1"/>
                <w:bCs w:val="1"/>
                <w:color w:val="auto"/>
              </w:rPr>
              <w:t>(In €</w:t>
            </w:r>
          </w:p>
        </w:tc>
        <w:tc>
          <w:tcPr>
            <w:tcW w:w="14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80"/>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VAT recoverable and prepaid taxes</w:t>
            </w:r>
          </w:p>
        </w:tc>
        <w:tc>
          <w:tcPr>
            <w:tcW w:w="1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5,861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Receivable for deferred revenue</w:t>
            </w:r>
          </w:p>
        </w:tc>
        <w:tc>
          <w:tcPr>
            <w:tcW w:w="1380" w:type="dxa"/>
            <w:vAlign w:val="bottom"/>
            <w:gridSpan w:val="2"/>
          </w:tcPr>
          <w:p>
            <w:pPr>
              <w:jc w:val="right"/>
              <w:ind w:right="290"/>
              <w:spacing w:after="0"/>
              <w:rPr>
                <w:sz w:val="20"/>
                <w:szCs w:val="20"/>
                <w:color w:val="auto"/>
              </w:rPr>
            </w:pPr>
            <w:r>
              <w:rPr>
                <w:rFonts w:ascii="Arial" w:cs="Arial" w:eastAsia="Arial" w:hAnsi="Arial"/>
                <w:sz w:val="18"/>
                <w:szCs w:val="18"/>
                <w:color w:val="auto"/>
              </w:rPr>
              <w:t>2,474</w:t>
            </w:r>
          </w:p>
        </w:tc>
        <w:tc>
          <w:tcPr>
            <w:tcW w:w="1020" w:type="dxa"/>
            <w:vAlign w:val="bottom"/>
          </w:tcPr>
          <w:p>
            <w:pPr>
              <w:jc w:val="right"/>
              <w:spacing w:after="0"/>
              <w:rPr>
                <w:sz w:val="20"/>
                <w:szCs w:val="20"/>
                <w:color w:val="auto"/>
              </w:rPr>
            </w:pPr>
            <w:r>
              <w:rPr>
                <w:rFonts w:ascii="Arial" w:cs="Arial" w:eastAsia="Arial" w:hAnsi="Arial"/>
                <w:sz w:val="18"/>
                <w:szCs w:val="18"/>
                <w:color w:val="auto"/>
              </w:rPr>
              <w:t>1,627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 to be recharged</w:t>
            </w:r>
          </w:p>
        </w:tc>
        <w:tc>
          <w:tcPr>
            <w:tcW w:w="1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2,226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Advances to suppliers and third parties</w:t>
            </w:r>
          </w:p>
        </w:tc>
        <w:tc>
          <w:tcPr>
            <w:tcW w:w="1380" w:type="dxa"/>
            <w:vAlign w:val="bottom"/>
            <w:gridSpan w:val="2"/>
          </w:tcPr>
          <w:p>
            <w:pPr>
              <w:jc w:val="right"/>
              <w:ind w:right="290"/>
              <w:spacing w:after="0"/>
              <w:rPr>
                <w:sz w:val="20"/>
                <w:szCs w:val="20"/>
                <w:color w:val="auto"/>
              </w:rPr>
            </w:pPr>
            <w:r>
              <w:rPr>
                <w:rFonts w:ascii="Arial" w:cs="Arial" w:eastAsia="Arial" w:hAnsi="Arial"/>
                <w:sz w:val="18"/>
                <w:szCs w:val="18"/>
                <w:color w:val="auto"/>
              </w:rPr>
              <w:t>1,952</w:t>
            </w:r>
          </w:p>
        </w:tc>
        <w:tc>
          <w:tcPr>
            <w:tcW w:w="1020" w:type="dxa"/>
            <w:vAlign w:val="bottom"/>
          </w:tcPr>
          <w:p>
            <w:pPr>
              <w:jc w:val="right"/>
              <w:spacing w:after="0"/>
              <w:rPr>
                <w:sz w:val="20"/>
                <w:szCs w:val="20"/>
                <w:color w:val="auto"/>
              </w:rPr>
            </w:pPr>
            <w:r>
              <w:rPr>
                <w:rFonts w:ascii="Arial" w:cs="Arial" w:eastAsia="Arial" w:hAnsi="Arial"/>
                <w:sz w:val="18"/>
                <w:szCs w:val="18"/>
                <w:color w:val="auto"/>
              </w:rPr>
              <w:t>1,543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subcontractors</w:t>
            </w:r>
          </w:p>
        </w:tc>
        <w:tc>
          <w:tcPr>
            <w:tcW w:w="1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1,418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Recoverable deposits (non trade)</w:t>
            </w:r>
          </w:p>
        </w:tc>
        <w:tc>
          <w:tcPr>
            <w:tcW w:w="1380" w:type="dxa"/>
            <w:vAlign w:val="bottom"/>
            <w:gridSpan w:val="2"/>
          </w:tcPr>
          <w:p>
            <w:pPr>
              <w:jc w:val="right"/>
              <w:ind w:right="290"/>
              <w:spacing w:after="0"/>
              <w:rPr>
                <w:sz w:val="20"/>
                <w:szCs w:val="20"/>
                <w:color w:val="auto"/>
              </w:rPr>
            </w:pPr>
            <w:r>
              <w:rPr>
                <w:rFonts w:ascii="Arial" w:cs="Arial" w:eastAsia="Arial" w:hAnsi="Arial"/>
                <w:sz w:val="18"/>
                <w:szCs w:val="18"/>
                <w:color w:val="auto"/>
              </w:rPr>
              <w:t>1,288</w:t>
            </w:r>
          </w:p>
        </w:tc>
        <w:tc>
          <w:tcPr>
            <w:tcW w:w="1020" w:type="dxa"/>
            <w:vAlign w:val="bottom"/>
          </w:tcPr>
          <w:p>
            <w:pPr>
              <w:jc w:val="right"/>
              <w:spacing w:after="0"/>
              <w:rPr>
                <w:sz w:val="20"/>
                <w:szCs w:val="20"/>
                <w:color w:val="auto"/>
              </w:rPr>
            </w:pPr>
            <w:r>
              <w:rPr>
                <w:rFonts w:ascii="Arial" w:cs="Arial" w:eastAsia="Arial" w:hAnsi="Arial"/>
                <w:sz w:val="18"/>
                <w:szCs w:val="18"/>
                <w:color w:val="auto"/>
              </w:rPr>
              <w:t>1,780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financial instrument</w:t>
            </w:r>
          </w:p>
        </w:tc>
        <w:tc>
          <w:tcPr>
            <w:tcW w:w="1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1,025</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Non trade receivable</w:t>
            </w:r>
          </w:p>
        </w:tc>
        <w:tc>
          <w:tcPr>
            <w:tcW w:w="1380" w:type="dxa"/>
            <w:vAlign w:val="bottom"/>
            <w:gridSpan w:val="2"/>
          </w:tcPr>
          <w:p>
            <w:pPr>
              <w:jc w:val="right"/>
              <w:ind w:right="290"/>
              <w:spacing w:after="0"/>
              <w:rPr>
                <w:sz w:val="20"/>
                <w:szCs w:val="20"/>
                <w:color w:val="auto"/>
              </w:rPr>
            </w:pPr>
            <w:r>
              <w:rPr>
                <w:rFonts w:ascii="Arial" w:cs="Arial" w:eastAsia="Arial" w:hAnsi="Arial"/>
                <w:sz w:val="18"/>
                <w:szCs w:val="18"/>
                <w:color w:val="auto"/>
              </w:rPr>
              <w:t>907</w:t>
            </w: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Accrual for recoverable expenses</w:t>
            </w:r>
          </w:p>
        </w:tc>
        <w:tc>
          <w:tcPr>
            <w:tcW w:w="1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684</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(individually &lt; € 500)</w:t>
            </w:r>
          </w:p>
        </w:tc>
        <w:tc>
          <w:tcPr>
            <w:tcW w:w="1380" w:type="dxa"/>
            <w:vAlign w:val="bottom"/>
            <w:gridSpan w:val="2"/>
          </w:tcPr>
          <w:p>
            <w:pPr>
              <w:jc w:val="right"/>
              <w:ind w:right="290"/>
              <w:spacing w:after="0"/>
              <w:rPr>
                <w:sz w:val="20"/>
                <w:szCs w:val="20"/>
                <w:color w:val="auto"/>
              </w:rPr>
            </w:pPr>
            <w:r>
              <w:rPr>
                <w:rFonts w:ascii="Arial" w:cs="Arial" w:eastAsia="Arial" w:hAnsi="Arial"/>
                <w:sz w:val="18"/>
                <w:szCs w:val="18"/>
                <w:color w:val="auto"/>
              </w:rPr>
              <w:t>1,569</w:t>
            </w:r>
          </w:p>
        </w:tc>
        <w:tc>
          <w:tcPr>
            <w:tcW w:w="1020" w:type="dxa"/>
            <w:vAlign w:val="bottom"/>
          </w:tcPr>
          <w:p>
            <w:pPr>
              <w:jc w:val="right"/>
              <w:spacing w:after="0"/>
              <w:rPr>
                <w:sz w:val="20"/>
                <w:szCs w:val="20"/>
                <w:color w:val="auto"/>
              </w:rPr>
            </w:pPr>
            <w:r>
              <w:rPr>
                <w:rFonts w:ascii="Arial" w:cs="Arial" w:eastAsia="Arial" w:hAnsi="Arial"/>
                <w:sz w:val="18"/>
                <w:szCs w:val="18"/>
                <w:color w:val="auto"/>
              </w:rPr>
              <w:t>2,175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1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19,404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u w:val="single" w:color="auto"/>
          <w:color w:val="auto"/>
        </w:rPr>
        <w:t>PROPERTY, PLANT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Plant and Equipment at December 31, 2006 and December 31, 2005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500" w:type="dxa"/>
            <w:vAlign w:val="bottom"/>
            <w:gridSpan w:val="4"/>
          </w:tcPr>
          <w:p>
            <w:pPr>
              <w:ind w:left="500"/>
              <w:spacing w:after="0"/>
              <w:rPr>
                <w:sz w:val="20"/>
                <w:szCs w:val="20"/>
                <w:color w:val="auto"/>
              </w:rPr>
            </w:pPr>
            <w:r>
              <w:rPr>
                <w:rFonts w:ascii="Arial" w:cs="Arial" w:eastAsia="Arial" w:hAnsi="Arial"/>
                <w:sz w:val="18"/>
                <w:szCs w:val="18"/>
                <w:b w:val="1"/>
                <w:bCs w:val="1"/>
                <w:color w:val="auto"/>
              </w:rPr>
              <w:t>As 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(In €</w:t>
            </w:r>
          </w:p>
        </w:tc>
        <w:tc>
          <w:tcPr>
            <w:tcW w:w="14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w w:val="78"/>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25,446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20" w:type="dxa"/>
            <w:vAlign w:val="bottom"/>
            <w:gridSpan w:val="2"/>
          </w:tcPr>
          <w:p>
            <w:pPr>
              <w:jc w:val="right"/>
              <w:ind w:right="270"/>
              <w:spacing w:after="0"/>
              <w:rPr>
                <w:sz w:val="20"/>
                <w:szCs w:val="20"/>
                <w:color w:val="auto"/>
              </w:rPr>
            </w:pPr>
            <w:r>
              <w:rPr>
                <w:rFonts w:ascii="Arial" w:cs="Arial" w:eastAsia="Arial" w:hAnsi="Arial"/>
                <w:sz w:val="18"/>
                <w:szCs w:val="18"/>
                <w:color w:val="auto"/>
              </w:rPr>
              <w:t>49,871</w:t>
            </w:r>
          </w:p>
        </w:tc>
        <w:tc>
          <w:tcPr>
            <w:tcW w:w="1060" w:type="dxa"/>
            <w:vAlign w:val="bottom"/>
          </w:tcPr>
          <w:p>
            <w:pPr>
              <w:jc w:val="right"/>
              <w:spacing w:after="0"/>
              <w:rPr>
                <w:sz w:val="20"/>
                <w:szCs w:val="20"/>
                <w:color w:val="auto"/>
              </w:rPr>
            </w:pPr>
            <w:r>
              <w:rPr>
                <w:rFonts w:ascii="Arial" w:cs="Arial" w:eastAsia="Arial" w:hAnsi="Arial"/>
                <w:sz w:val="18"/>
                <w:szCs w:val="18"/>
                <w:color w:val="auto"/>
              </w:rPr>
              <w:t>49,101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97,573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PP&amp;E, gross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172,890</w:t>
            </w:r>
          </w:p>
        </w:tc>
        <w:tc>
          <w:tcPr>
            <w:tcW w:w="3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(27,083)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PP&amp;E, net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145,807</w:t>
            </w:r>
          </w:p>
        </w:tc>
        <w:tc>
          <w:tcPr>
            <w:tcW w:w="360" w:type="dxa"/>
            <w:vAlign w:val="bottom"/>
            <w:tcBorders>
              <w:top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was € 22.7 million in 2006, € 9.7 million for 2005 successor basis, € 12.1 million for 2005 predecessor basis and € 21.3 million for 2004.</w:t>
      </w:r>
    </w:p>
    <w:p>
      <w:pPr>
        <w:spacing w:after="0" w:line="193"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17" w:name="page18"/>
    <w:bookmarkEnd w:id="17"/>
    <w:p>
      <w:pPr>
        <w:spacing w:after="0"/>
        <w:tabs>
          <w:tab w:leader="none" w:pos="10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u w:val="single" w:color="auto"/>
          <w:color w:val="auto"/>
        </w:rPr>
        <w:t>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At December 31, 2006</w:t>
            </w: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At December 31, 2005</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Accumulated</w:t>
            </w: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w:t>
            </w:r>
          </w:p>
        </w:tc>
        <w:tc>
          <w:tcPr>
            <w:tcW w:w="1220" w:type="dxa"/>
            <w:vAlign w:val="bottom"/>
            <w:gridSpan w:val="2"/>
          </w:tcPr>
          <w:p>
            <w:pPr>
              <w:jc w:val="right"/>
              <w:ind w:right="470"/>
              <w:spacing w:after="0"/>
              <w:rPr>
                <w:sz w:val="20"/>
                <w:szCs w:val="20"/>
                <w:color w:val="auto"/>
              </w:rPr>
            </w:pPr>
            <w:r>
              <w:rPr>
                <w:rFonts w:ascii="Arial" w:cs="Arial" w:eastAsia="Arial" w:hAnsi="Arial"/>
                <w:sz w:val="16"/>
                <w:szCs w:val="16"/>
                <w:b w:val="1"/>
                <w:bCs w:val="1"/>
                <w:color w:val="auto"/>
                <w:w w:val="74"/>
              </w:rPr>
              <w:t>thousands)</w:t>
            </w:r>
          </w:p>
        </w:tc>
        <w:tc>
          <w:tcPr>
            <w:tcW w:w="1500" w:type="dxa"/>
            <w:vAlign w:val="bottom"/>
            <w:vMerge w:val="restart"/>
          </w:tcPr>
          <w:p>
            <w:pPr>
              <w:jc w:val="right"/>
              <w:ind w:right="330"/>
              <w:spacing w:after="0"/>
              <w:rPr>
                <w:sz w:val="20"/>
                <w:szCs w:val="20"/>
                <w:color w:val="auto"/>
              </w:rPr>
            </w:pPr>
            <w:r>
              <w:rPr>
                <w:rFonts w:ascii="Arial" w:cs="Arial" w:eastAsia="Arial" w:hAnsi="Arial"/>
                <w:sz w:val="18"/>
                <w:szCs w:val="18"/>
                <w:color w:val="auto"/>
              </w:rPr>
              <w:t>Accumulated</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Assets</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Amortization</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Assets</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Amortization</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126,335</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14,915</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111,420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126,335</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121,948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Customer relationship</w:t>
            </w:r>
          </w:p>
        </w:tc>
        <w:tc>
          <w:tcPr>
            <w:tcW w:w="960" w:type="dxa"/>
            <w:vAlign w:val="bottom"/>
          </w:tcPr>
          <w:p>
            <w:pPr>
              <w:jc w:val="right"/>
              <w:spacing w:after="0"/>
              <w:rPr>
                <w:sz w:val="20"/>
                <w:szCs w:val="20"/>
                <w:color w:val="auto"/>
              </w:rPr>
            </w:pPr>
            <w:r>
              <w:rPr>
                <w:rFonts w:ascii="Arial" w:cs="Arial" w:eastAsia="Arial" w:hAnsi="Arial"/>
                <w:sz w:val="18"/>
                <w:szCs w:val="18"/>
                <w:color w:val="auto"/>
              </w:rPr>
              <w:t>58,341</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4,132</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54,209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58,341</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1,215</w:t>
            </w:r>
          </w:p>
        </w:tc>
        <w:tc>
          <w:tcPr>
            <w:tcW w:w="640" w:type="dxa"/>
            <w:vAlign w:val="bottom"/>
          </w:tcPr>
          <w:p>
            <w:pPr>
              <w:jc w:val="right"/>
              <w:spacing w:after="0"/>
              <w:rPr>
                <w:sz w:val="20"/>
                <w:szCs w:val="20"/>
                <w:color w:val="auto"/>
              </w:rPr>
            </w:pPr>
            <w:r>
              <w:rPr>
                <w:rFonts w:ascii="Arial" w:cs="Arial" w:eastAsia="Arial" w:hAnsi="Arial"/>
                <w:sz w:val="18"/>
                <w:szCs w:val="18"/>
                <w:color w:val="auto"/>
              </w:rPr>
              <w:t>57,126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23,307</w:t>
            </w:r>
          </w:p>
        </w:tc>
        <w:tc>
          <w:tcPr>
            <w:tcW w:w="1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23,307</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23,307</w:t>
            </w: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Software licenses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1,566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8,858</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10,424</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218,407</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20,613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197,794</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218,407</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6,063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212,344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Intangible asset amortization expense was € 14.5 million in 2006, € 6.1 million for the successor period in 2005, € 8.7 million for the predecessor period in 2005 and € 15.0 million in 2004.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Estimated Annual</w:t>
            </w:r>
          </w:p>
        </w:tc>
        <w:tc>
          <w:tcPr>
            <w:tcW w:w="0" w:type="dxa"/>
            <w:vAlign w:val="bottom"/>
          </w:tcPr>
          <w:p>
            <w:pPr>
              <w:spacing w:after="0"/>
              <w:rPr>
                <w:sz w:val="1"/>
                <w:szCs w:val="1"/>
                <w:color w:val="auto"/>
              </w:rPr>
            </w:pPr>
          </w:p>
        </w:tc>
      </w:tr>
      <w:tr>
        <w:trPr>
          <w:trHeight w:val="24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9"/>
              </w:rPr>
              <w:t>(In €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jc w:val="right"/>
              <w:ind w:right="4550"/>
              <w:spacing w:after="0"/>
              <w:rPr>
                <w:sz w:val="20"/>
                <w:szCs w:val="20"/>
                <w:color w:val="auto"/>
              </w:rPr>
            </w:pPr>
            <w:r>
              <w:rPr>
                <w:rFonts w:ascii="Arial" w:cs="Arial" w:eastAsia="Arial" w:hAnsi="Arial"/>
                <w:sz w:val="18"/>
                <w:szCs w:val="18"/>
                <w:color w:val="auto"/>
                <w:w w:val="94"/>
              </w:rPr>
              <w:t>2007</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jc w:val="right"/>
              <w:ind w:right="4550"/>
              <w:spacing w:after="0"/>
              <w:rPr>
                <w:sz w:val="20"/>
                <w:szCs w:val="20"/>
                <w:color w:val="auto"/>
              </w:rPr>
            </w:pPr>
            <w:r>
              <w:rPr>
                <w:rFonts w:ascii="Arial" w:cs="Arial" w:eastAsia="Arial" w:hAnsi="Arial"/>
                <w:sz w:val="18"/>
                <w:szCs w:val="18"/>
                <w:color w:val="auto"/>
                <w:w w:val="94"/>
              </w:rPr>
              <w:t>2008</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jc w:val="right"/>
              <w:ind w:right="4550"/>
              <w:spacing w:after="0"/>
              <w:rPr>
                <w:sz w:val="20"/>
                <w:szCs w:val="20"/>
                <w:color w:val="auto"/>
              </w:rPr>
            </w:pPr>
            <w:r>
              <w:rPr>
                <w:rFonts w:ascii="Arial" w:cs="Arial" w:eastAsia="Arial" w:hAnsi="Arial"/>
                <w:sz w:val="18"/>
                <w:szCs w:val="18"/>
                <w:color w:val="auto"/>
                <w:w w:val="94"/>
              </w:rPr>
              <w:t>2009</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jc w:val="right"/>
              <w:ind w:right="4550"/>
              <w:spacing w:after="0"/>
              <w:rPr>
                <w:sz w:val="20"/>
                <w:szCs w:val="20"/>
                <w:color w:val="auto"/>
              </w:rPr>
            </w:pPr>
            <w:r>
              <w:rPr>
                <w:rFonts w:ascii="Arial" w:cs="Arial" w:eastAsia="Arial" w:hAnsi="Arial"/>
                <w:sz w:val="18"/>
                <w:szCs w:val="18"/>
                <w:color w:val="auto"/>
                <w:w w:val="94"/>
              </w:rPr>
              <w:t>2010</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jc w:val="right"/>
              <w:ind w:right="4570"/>
              <w:spacing w:after="0"/>
              <w:rPr>
                <w:sz w:val="20"/>
                <w:szCs w:val="20"/>
                <w:color w:val="auto"/>
              </w:rPr>
            </w:pPr>
            <w:r>
              <w:rPr>
                <w:rFonts w:ascii="Arial" w:cs="Arial" w:eastAsia="Arial" w:hAnsi="Arial"/>
                <w:sz w:val="18"/>
                <w:szCs w:val="18"/>
                <w:color w:val="auto"/>
                <w:w w:val="89"/>
              </w:rPr>
              <w:t>2011</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Beyond 2012</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101,737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identifiable assets subject to amortization, net</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174,487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u w:val="single" w:color="auto"/>
          <w:color w:val="auto"/>
        </w:rPr>
        <w:t>GOODWILL,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tests goodwill for impairment as of December 31 of each year. No impairment adjustment was required in 2006, 2005 or 2004.</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Goodwill balances can also increase or decrease, with a corresponding change in accumulated other comprehensive income (loss), due to changes in foreign currency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as at December 31, 2006 and 2005: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Electricity</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Gas</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Water</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Corporate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(In € Thousands)</w:t>
            </w:r>
          </w:p>
        </w:tc>
        <w:tc>
          <w:tcPr>
            <w:tcW w:w="1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as at August 1, 2005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220,732</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64,325</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60,236</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69,726</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26,445</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820"/>
              <w:spacing w:after="0"/>
              <w:rPr>
                <w:sz w:val="20"/>
                <w:szCs w:val="20"/>
                <w:color w:val="auto"/>
              </w:rPr>
            </w:pPr>
            <w:r>
              <w:rPr>
                <w:rFonts w:ascii="Arial" w:cs="Arial" w:eastAsia="Arial" w:hAnsi="Arial"/>
                <w:sz w:val="18"/>
                <w:szCs w:val="18"/>
                <w:color w:val="auto"/>
              </w:rPr>
              <w:t>Effect of change in exchange rates</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47</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 balance as at December 31, 2005</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220,890</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64,372</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60,279</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69,775</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26,464</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Goodwill balance as at December 31, 2005</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220,890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64,372</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60,279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69,775</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26,464</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Effect of change in exchange rates</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Goodwill balance as at December 31, 2006</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220,876</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64,368</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60,275</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69,771</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26,462</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4"/>
                <w:szCs w:val="14"/>
                <w:color w:val="auto"/>
              </w:rPr>
              <w:t>10</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NOTE 10.</w:t>
            </w:r>
          </w:p>
        </w:tc>
        <w:tc>
          <w:tcPr>
            <w:tcW w:w="20" w:type="dxa"/>
            <w:vAlign w:val="bottom"/>
          </w:tcPr>
          <w:p>
            <w:pPr>
              <w:spacing w:after="0"/>
              <w:rPr>
                <w:sz w:val="17"/>
                <w:szCs w:val="17"/>
                <w:color w:val="auto"/>
              </w:rPr>
            </w:pPr>
          </w:p>
        </w:tc>
        <w:tc>
          <w:tcPr>
            <w:tcW w:w="3720" w:type="dxa"/>
            <w:vAlign w:val="bottom"/>
            <w:gridSpan w:val="4"/>
          </w:tcPr>
          <w:p>
            <w:pPr>
              <w:spacing w:after="0"/>
              <w:rPr>
                <w:sz w:val="20"/>
                <w:szCs w:val="20"/>
                <w:color w:val="auto"/>
              </w:rPr>
            </w:pPr>
            <w:r>
              <w:rPr>
                <w:rFonts w:ascii="Arial" w:cs="Arial" w:eastAsia="Arial" w:hAnsi="Arial"/>
                <w:sz w:val="18"/>
                <w:szCs w:val="18"/>
                <w:b w:val="1"/>
                <w:bCs w:val="1"/>
                <w:color w:val="auto"/>
              </w:rPr>
              <w:t>OTHER LONG TERM ASSETS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180" w:type="dxa"/>
            <w:vAlign w:val="bottom"/>
            <w:gridSpan w:val="4"/>
          </w:tcPr>
          <w:p>
            <w:pPr>
              <w:ind w:left="44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Arial" w:cs="Arial" w:eastAsia="Arial" w:hAnsi="Arial"/>
                <w:sz w:val="18"/>
                <w:szCs w:val="18"/>
                <w:b w:val="1"/>
                <w:bCs w:val="1"/>
                <w:color w:val="auto"/>
              </w:rPr>
              <w:t>(In €</w:t>
            </w:r>
          </w:p>
        </w:tc>
        <w:tc>
          <w:tcPr>
            <w:tcW w:w="12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78"/>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6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Financing fees</w:t>
            </w: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13,331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Receivable on maintenance and rental business</w:t>
            </w:r>
          </w:p>
        </w:tc>
        <w:tc>
          <w:tcPr>
            <w:tcW w:w="900" w:type="dxa"/>
            <w:vAlign w:val="bottom"/>
          </w:tcPr>
          <w:p>
            <w:pPr>
              <w:jc w:val="right"/>
              <w:spacing w:after="0"/>
              <w:rPr>
                <w:sz w:val="20"/>
                <w:szCs w:val="20"/>
                <w:color w:val="auto"/>
              </w:rPr>
            </w:pPr>
            <w:r>
              <w:rPr>
                <w:rFonts w:ascii="Arial" w:cs="Arial" w:eastAsia="Arial" w:hAnsi="Arial"/>
                <w:sz w:val="18"/>
                <w:szCs w:val="18"/>
                <w:color w:val="auto"/>
              </w:rPr>
              <w:t>3,214</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Pension plan assets in long term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Other Long Term Assets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19,986</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NOTE 11.</w:t>
            </w:r>
          </w:p>
        </w:tc>
        <w:tc>
          <w:tcPr>
            <w:tcW w:w="3740" w:type="dxa"/>
            <w:vAlign w:val="bottom"/>
            <w:gridSpan w:val="5"/>
          </w:tcPr>
          <w:p>
            <w:pPr>
              <w:spacing w:after="0"/>
              <w:rPr>
                <w:sz w:val="20"/>
                <w:szCs w:val="20"/>
                <w:color w:val="auto"/>
              </w:rPr>
            </w:pPr>
            <w:r>
              <w:rPr>
                <w:rFonts w:ascii="Arial" w:cs="Arial" w:eastAsia="Arial" w:hAnsi="Arial"/>
                <w:sz w:val="18"/>
                <w:szCs w:val="18"/>
                <w:b w:val="1"/>
                <w:bCs w:val="1"/>
                <w:color w:val="auto"/>
              </w:rPr>
              <w:t>ACCRUED EXPENSES</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80" w:type="dxa"/>
            <w:vAlign w:val="bottom"/>
            <w:gridSpan w:val="4"/>
          </w:tcPr>
          <w:p>
            <w:pPr>
              <w:ind w:left="44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ind w:left="420"/>
              <w:spacing w:after="0"/>
              <w:rPr>
                <w:sz w:val="20"/>
                <w:szCs w:val="20"/>
                <w:color w:val="auto"/>
              </w:rPr>
            </w:pPr>
            <w:r>
              <w:rPr>
                <w:rFonts w:ascii="Arial" w:cs="Arial" w:eastAsia="Arial" w:hAnsi="Arial"/>
                <w:sz w:val="18"/>
                <w:szCs w:val="18"/>
                <w:b w:val="1"/>
                <w:bCs w:val="1"/>
                <w:color w:val="auto"/>
              </w:rPr>
              <w:t>(In €</w:t>
            </w:r>
          </w:p>
        </w:tc>
        <w:tc>
          <w:tcPr>
            <w:tcW w:w="12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78"/>
              </w:rPr>
              <w:t>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operating expenses</w:t>
            </w:r>
          </w:p>
        </w:tc>
        <w:tc>
          <w:tcPr>
            <w:tcW w:w="1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15,350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Accrued rebates and commissions</w:t>
            </w:r>
          </w:p>
        </w:tc>
        <w:tc>
          <w:tcPr>
            <w:tcW w:w="900" w:type="dxa"/>
            <w:vAlign w:val="bottom"/>
          </w:tcPr>
          <w:p>
            <w:pPr>
              <w:jc w:val="right"/>
              <w:spacing w:after="0"/>
              <w:rPr>
                <w:sz w:val="20"/>
                <w:szCs w:val="20"/>
                <w:color w:val="auto"/>
              </w:rPr>
            </w:pPr>
            <w:r>
              <w:rPr>
                <w:rFonts w:ascii="Arial" w:cs="Arial" w:eastAsia="Arial" w:hAnsi="Arial"/>
                <w:sz w:val="18"/>
                <w:szCs w:val="18"/>
                <w:color w:val="auto"/>
              </w:rPr>
              <w:t>4,789</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VAT and other tax related accruals</w:t>
            </w:r>
          </w:p>
        </w:tc>
        <w:tc>
          <w:tcPr>
            <w:tcW w:w="900" w:type="dxa"/>
            <w:vAlign w:val="bottom"/>
          </w:tcPr>
          <w:p>
            <w:pPr>
              <w:jc w:val="right"/>
              <w:spacing w:after="0"/>
              <w:rPr>
                <w:sz w:val="20"/>
                <w:szCs w:val="20"/>
                <w:color w:val="auto"/>
              </w:rPr>
            </w:pPr>
            <w:r>
              <w:rPr>
                <w:rFonts w:ascii="Arial" w:cs="Arial" w:eastAsia="Arial" w:hAnsi="Arial"/>
                <w:sz w:val="18"/>
                <w:szCs w:val="18"/>
                <w:color w:val="auto"/>
              </w:rPr>
              <w:t>3,516</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Advances received from customers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Accrued expenses</w:t>
            </w:r>
          </w:p>
        </w:tc>
        <w:tc>
          <w:tcPr>
            <w:tcW w:w="12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30,819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NOTE 12.</w:t>
            </w:r>
          </w:p>
        </w:tc>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SENIOR BANK DEBT</w:t>
            </w:r>
          </w:p>
        </w:tc>
        <w:tc>
          <w:tcPr>
            <w:tcW w:w="1920" w:type="dxa"/>
            <w:vAlign w:val="bottom"/>
            <w:gridSpan w:val="3"/>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finance the July 28, 2005 acquisition of the Actaris Group, the Company entered into a senior Credit Facility Agreement on June 20, 2005 of € 495.0 million with the Mizuho Corporate Bank Ltd. The Credit Facility consisted of a € 420.0 million senior debt, and a € 75.0 million senior revolving credit line (covering both Revolving Credit Loan for € 35.0 million and Facility and Bank Guarantees for € 40.0 million). On the senior debt, € 403.7 million was contracted in Euros while US dollars 19.6 million (equivalent to € 16.3 million) was contracted in US dollars.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July 28, 2005, the Company drew down the entirety of the Senior Credit Facility, i.e. € 420.0 million, composed of:</w:t>
      </w:r>
    </w:p>
    <w:p>
      <w:pPr>
        <w:spacing w:after="0" w:line="252"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Senior Facility Term A (€ 150.0 million) maturing July 28, 2012 and bears interest at a rate equal to Euribor, plus a margin ranging from 1.20%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2.25% per year depending on Actaris’ ratio of Debt to EBITDA, plus an Additional Costs rate of 0.0017%.</w:t>
      </w:r>
    </w:p>
    <w:p>
      <w:pPr>
        <w:spacing w:after="0" w:line="9" w:lineRule="exact"/>
        <w:rPr>
          <w:rFonts w:ascii="Arial" w:cs="Arial" w:eastAsia="Arial" w:hAnsi="Arial"/>
          <w:sz w:val="17"/>
          <w:szCs w:val="17"/>
          <w:color w:val="auto"/>
        </w:rPr>
      </w:pPr>
    </w:p>
    <w:p>
      <w:pPr>
        <w:spacing w:after="0" w:line="250" w:lineRule="auto"/>
        <w:rPr>
          <w:rFonts w:ascii="Arial" w:cs="Arial" w:eastAsia="Arial" w:hAnsi="Arial"/>
          <w:sz w:val="17"/>
          <w:szCs w:val="17"/>
          <w:color w:val="auto"/>
        </w:rPr>
      </w:pPr>
      <w:r>
        <w:rPr>
          <w:rFonts w:ascii="Arial" w:cs="Arial" w:eastAsia="Arial" w:hAnsi="Arial"/>
          <w:sz w:val="18"/>
          <w:szCs w:val="18"/>
          <w:color w:val="auto"/>
        </w:rPr>
        <w:t>-The Senior Facility Term B (€ 135.0 million) maturing July 28, 2013 and bearing interest at a rate equal to Euribor, plus a margin ranging from 2,25% to 2.75% per year depending on Actaris’ ratio of debt to EBITDA, plus an Additional Costs rate of 0.0017%.</w:t>
      </w:r>
    </w:p>
    <w:p>
      <w:pPr>
        <w:ind w:firstLine="8"/>
        <w:spacing w:after="0" w:line="261"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Senior Facility Term C (€ 135.0 million) maturing July 28, 2014 and bearing interest at a rate equal to Euribor, plus a margin of 3.25% per year, plus an Additional Costs rate of 0.0017%.</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28, 2005, the Company drew € 29.8 million on the Revolving Credit Facility at a rate equal to Euribor, plus a margin of 2.25% per year. On December 31, 2006, there were no borrowings outstanding under the Revolving Credit Facility and € 17.0 million was utilized by outstanding standby letters of credit. The annual commitment fee on the unutilized portion of the revolving credit loan is 0.625%.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Analysis of Short-Term and Long-Term Senior Debt as at December 31, 2006 and 2005 by term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(In € thousands)</w:t>
            </w:r>
          </w:p>
        </w:tc>
        <w:tc>
          <w:tcPr>
            <w:tcW w:w="1000" w:type="dxa"/>
            <w:vAlign w:val="bottom"/>
          </w:tcPr>
          <w:p>
            <w:pPr>
              <w:spacing w:after="0"/>
              <w:rPr>
                <w:sz w:val="18"/>
                <w:szCs w:val="18"/>
                <w:color w:val="auto"/>
              </w:rPr>
            </w:pPr>
          </w:p>
        </w:tc>
        <w:tc>
          <w:tcPr>
            <w:tcW w:w="1920" w:type="dxa"/>
            <w:vAlign w:val="bottom"/>
            <w:gridSpan w:val="3"/>
          </w:tcPr>
          <w:p>
            <w:pPr>
              <w:ind w:left="200"/>
              <w:spacing w:after="0"/>
              <w:rPr>
                <w:sz w:val="20"/>
                <w:szCs w:val="20"/>
                <w:color w:val="auto"/>
              </w:rPr>
            </w:pPr>
            <w:r>
              <w:rPr>
                <w:rFonts w:ascii="Arial" w:cs="Arial" w:eastAsia="Arial" w:hAnsi="Arial"/>
                <w:sz w:val="18"/>
                <w:szCs w:val="18"/>
                <w:b w:val="1"/>
                <w:bCs w:val="1"/>
                <w:color w:val="auto"/>
              </w:rPr>
              <w:t>At December 31,</w:t>
            </w:r>
          </w:p>
        </w:tc>
        <w:tc>
          <w:tcPr>
            <w:tcW w:w="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2005</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1"/>
              </w:rPr>
              <w:t>Short Term</w:t>
            </w:r>
          </w:p>
        </w:tc>
        <w:tc>
          <w:tcPr>
            <w:tcW w:w="1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Long</w:t>
            </w:r>
          </w:p>
        </w:tc>
        <w:tc>
          <w:tcPr>
            <w:tcW w:w="76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74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Total</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Portion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Portion</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Senior Credit Loan, Term 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91,496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99,698</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137,397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Senior Credit Loan, Term B</w:t>
            </w:r>
          </w:p>
        </w:tc>
        <w:tc>
          <w:tcPr>
            <w:tcW w:w="10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132,533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132,533</w:t>
            </w:r>
          </w:p>
        </w:tc>
        <w:tc>
          <w:tcPr>
            <w:tcW w:w="740" w:type="dxa"/>
            <w:vAlign w:val="bottom"/>
          </w:tcPr>
          <w:p>
            <w:pPr>
              <w:ind w:left="160"/>
              <w:spacing w:after="0"/>
              <w:rPr>
                <w:sz w:val="20"/>
                <w:szCs w:val="20"/>
                <w:color w:val="auto"/>
              </w:rPr>
            </w:pPr>
            <w:r>
              <w:rPr>
                <w:rFonts w:ascii="Arial" w:cs="Arial" w:eastAsia="Arial" w:hAnsi="Arial"/>
                <w:sz w:val="18"/>
                <w:szCs w:val="18"/>
                <w:color w:val="auto"/>
                <w:w w:val="86"/>
              </w:rPr>
              <w:t>133,524</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Credit Loan, Term C</w:t>
            </w:r>
          </w:p>
        </w:tc>
        <w:tc>
          <w:tcPr>
            <w:tcW w:w="10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132,533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132,533</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133,524</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Senior Debt from Mizuho Corporate Bank Ltd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8,202</w:t>
            </w: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356,562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364,764</w:t>
            </w:r>
          </w:p>
        </w:tc>
        <w:tc>
          <w:tcPr>
            <w:tcW w:w="740" w:type="dxa"/>
            <w:vAlign w:val="bottom"/>
          </w:tcPr>
          <w:p>
            <w:pPr>
              <w:ind w:left="160"/>
              <w:spacing w:after="0"/>
              <w:rPr>
                <w:sz w:val="20"/>
                <w:szCs w:val="20"/>
                <w:color w:val="auto"/>
              </w:rPr>
            </w:pPr>
            <w:r>
              <w:rPr>
                <w:rFonts w:ascii="Arial" w:cs="Arial" w:eastAsia="Arial" w:hAnsi="Arial"/>
                <w:sz w:val="18"/>
                <w:szCs w:val="18"/>
                <w:b w:val="1"/>
                <w:bCs w:val="1"/>
                <w:color w:val="auto"/>
                <w:w w:val="86"/>
              </w:rPr>
              <w:t>404,445</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color w:val="auto"/>
              </w:rPr>
              <w:t>11</w:t>
            </w: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The Senior Credit Facility Agreement with Mizuho Corporate Bank, Ltd contained financial covenants tested on a quarterly basis starting December 31, 2005. These covenants included maintaining ratios of EBITDA to Net Interest Payable, Cash Flow to Debt Service and EBITDA to Net Borrowings. Other restrictions included a limit on the yearly capital expenditures. To date, the Company is in full compliance with the debt covenants as described in the Credit Facility Agreement.</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Following the result of the Net Borrowings to EBITDA ratio, the Company succeeded in reducing the margin on its A Term Loan Facility and Revolving Credit Facility from 2.25% to 1.75% and the margin on its B Term Loan Facility from 2.75% to 2.50%, both with effect on October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2006.</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allowed for voluntary prepayments without penalties or premium. The original repayment schedule called for € 12.7 million to be paid in 2006. Due to early prepayments in 2005 and in 2006, the balance of scheduled payments for 2006 was reduced to € 8.9 million. In total, € 49.1 million were repaid in 2006. As a consequence, the Senior Term A amounted to € 99.7 million and the senior facility term B &amp; C amounted to € 132.5 million each as of December 31, 2006.</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u w:val="single" w:color="auto"/>
          <w:color w:val="auto"/>
        </w:rPr>
        <w:t>MEZZANINE CREDIT FACILITY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finance the July 28, 2005 acquisition, the Company entered on June 20, 2005 into a Mezzanine Credit Facility Agreement with the Mizuho Corporate Bank Ltd. The credit facility consisted of € 110.0 million in mezzanine debt contracted in Euros.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28, 2005, the Company drew down the entirety of the Mezzanine Credit Facility, or € 110.0 million. This mezzanine facility matures July 28, 2015 and bears interest at a rate equal to Euribor, plus a margin of 8.00%. It cannot be prepaid without penalty.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Among other restrictions, the Mezzanine Credit Facility agreement with Mizuho Corporate Bank, Ltd contained financial covenants tested on a quarterly basis starting December 31, 2005. These covenants included maintaining ratios of EBITDA to Net Interest Payable, Cash Flow to Debt Service and EBITDA to Net Borrowings. Other restrictions include a limit on the yearly capital expenditures. To date, the Company is in full compliance with the debt covenants as described in the Credit Facility Agreement.</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u w:val="single" w:color="auto"/>
          <w:color w:val="auto"/>
        </w:rPr>
        <w:t>DERIVATIVES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4, 2005, the Company entered into an interest rate swap agreement with Société Générale and Commerzbank for a zero premium tunnel with a 6 months Euribor ceiling of 3,.67% and a floor of 1,05%. Fifty percent of the original Senior Bank Debt and the Mezzanine Credit Facility, or € 265.0 million, is covered by a financial instrument as requested by the Credit Facility Agreement. The fair market value amounting to € 1.0 million and € -0.6 million as of December 31, 2006 and 2005, respectively was recorded as other non current assets/liabilities, with the offset recorded as other financial income/expense.</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u w:val="single" w:color="auto"/>
          <w:color w:val="auto"/>
        </w:rPr>
        <w:t>DEFERRED COMPENSATION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both funded and unfunded non-U.S. defined benefit pension plans and defined contribution plans covering employees in Germany, France, Spain, Portugal, Italy, Belgium, Chile, Hungary and Indonesia. In countries where the liabilities are significant the defined benefit obligation is calculated annually by locally accredited independent actuaries using the projected unit credit method. In countries with individually minor defined benefit obligation measurement is done by management and reviewed by an independent accredited actuary.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The following table summarizes the funded status of the defined benefit plans and amounts recognized in the Consolidated Balance Sheet at December 31, 2006, December 31, 2005 and July 31, 2005.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Period ended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Dec 31, 2006</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Dec 31, 2005</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July 31, 2005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34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4"/>
              </w:rPr>
              <w:t>Successor Basis</w:t>
            </w:r>
          </w:p>
        </w:tc>
        <w:tc>
          <w:tcPr>
            <w:tcW w:w="13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3"/>
              </w:rPr>
              <w:t>Successor Basis</w:t>
            </w:r>
          </w:p>
        </w:tc>
        <w:tc>
          <w:tcPr>
            <w:tcW w:w="12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Predecessor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70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auto"/>
              </w:rPr>
              <w:t>(In € thousands)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70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period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Service Cost</w:t>
            </w:r>
          </w:p>
        </w:tc>
        <w:tc>
          <w:tcPr>
            <w:tcW w:w="1340" w:type="dxa"/>
            <w:vAlign w:val="bottom"/>
          </w:tcPr>
          <w:p>
            <w:pPr>
              <w:jc w:val="right"/>
              <w:spacing w:after="0"/>
              <w:rPr>
                <w:sz w:val="20"/>
                <w:szCs w:val="20"/>
                <w:color w:val="auto"/>
              </w:rPr>
            </w:pPr>
            <w:r>
              <w:rPr>
                <w:rFonts w:ascii="Arial" w:cs="Arial" w:eastAsia="Arial" w:hAnsi="Arial"/>
                <w:sz w:val="18"/>
                <w:szCs w:val="18"/>
                <w:color w:val="auto"/>
              </w:rPr>
              <w:t>1,345</w:t>
            </w:r>
          </w:p>
        </w:tc>
        <w:tc>
          <w:tcPr>
            <w:tcW w:w="1360" w:type="dxa"/>
            <w:vAlign w:val="bottom"/>
          </w:tcPr>
          <w:p>
            <w:pPr>
              <w:jc w:val="right"/>
              <w:spacing w:after="0"/>
              <w:rPr>
                <w:sz w:val="20"/>
                <w:szCs w:val="20"/>
                <w:color w:val="auto"/>
              </w:rPr>
            </w:pPr>
            <w:r>
              <w:rPr>
                <w:rFonts w:ascii="Arial" w:cs="Arial" w:eastAsia="Arial" w:hAnsi="Arial"/>
                <w:sz w:val="18"/>
                <w:szCs w:val="18"/>
                <w:color w:val="auto"/>
              </w:rPr>
              <w:t>580</w:t>
            </w:r>
          </w:p>
        </w:tc>
        <w:tc>
          <w:tcPr>
            <w:tcW w:w="1220" w:type="dxa"/>
            <w:vAlign w:val="bottom"/>
          </w:tcPr>
          <w:p>
            <w:pPr>
              <w:jc w:val="right"/>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Plan Amendments</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 losses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Asset transfer</w:t>
            </w:r>
          </w:p>
        </w:tc>
        <w:tc>
          <w:tcPr>
            <w:tcW w:w="1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Settlements and curtailments</w:t>
            </w:r>
          </w:p>
        </w:tc>
        <w:tc>
          <w:tcPr>
            <w:tcW w:w="1340" w:type="dxa"/>
            <w:vAlign w:val="bottom"/>
          </w:tcPr>
          <w:p>
            <w:pPr>
              <w:jc w:val="right"/>
              <w:spacing w:after="0"/>
              <w:rPr>
                <w:sz w:val="20"/>
                <w:szCs w:val="20"/>
                <w:color w:val="auto"/>
              </w:rPr>
            </w:pPr>
            <w:r>
              <w:rPr>
                <w:rFonts w:ascii="Arial" w:cs="Arial" w:eastAsia="Arial" w:hAnsi="Arial"/>
                <w:sz w:val="18"/>
                <w:szCs w:val="18"/>
                <w:color w:val="auto"/>
              </w:rPr>
              <w:t>(831)</w:t>
            </w:r>
          </w:p>
        </w:tc>
        <w:tc>
          <w:tcPr>
            <w:tcW w:w="1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 foreign exchange rate changes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Benefit Obligation at 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56,355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period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Actual return of plan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Settlements and curtailments</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 foreign exchange rate changes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Status of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(52,416)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1340" w:type="dxa"/>
            <w:vAlign w:val="bottom"/>
          </w:tcPr>
          <w:p>
            <w:pPr>
              <w:jc w:val="right"/>
              <w:spacing w:after="0"/>
              <w:rPr>
                <w:sz w:val="20"/>
                <w:szCs w:val="20"/>
                <w:color w:val="auto"/>
              </w:rPr>
            </w:pPr>
            <w:r>
              <w:rPr>
                <w:rFonts w:ascii="Arial" w:cs="Arial" w:eastAsia="Arial" w:hAnsi="Arial"/>
                <w:sz w:val="18"/>
                <w:szCs w:val="18"/>
                <w:color w:val="auto"/>
              </w:rPr>
              <w:t>721</w:t>
            </w:r>
          </w:p>
        </w:tc>
        <w:tc>
          <w:tcPr>
            <w:tcW w:w="1360" w:type="dxa"/>
            <w:vAlign w:val="bottom"/>
          </w:tcPr>
          <w:p>
            <w:pPr>
              <w:jc w:val="right"/>
              <w:spacing w:after="0"/>
              <w:rPr>
                <w:sz w:val="20"/>
                <w:szCs w:val="20"/>
                <w:color w:val="auto"/>
              </w:rPr>
            </w:pPr>
            <w:r>
              <w:rPr>
                <w:rFonts w:ascii="Arial" w:cs="Arial" w:eastAsia="Arial" w:hAnsi="Arial"/>
                <w:sz w:val="18"/>
                <w:szCs w:val="18"/>
                <w:color w:val="auto"/>
              </w:rPr>
              <w:t>1,323</w:t>
            </w:r>
          </w:p>
        </w:tc>
        <w:tc>
          <w:tcPr>
            <w:tcW w:w="1220" w:type="dxa"/>
            <w:vAlign w:val="bottom"/>
          </w:tcPr>
          <w:p>
            <w:pPr>
              <w:jc w:val="right"/>
              <w:spacing w:after="0"/>
              <w:rPr>
                <w:sz w:val="20"/>
                <w:szCs w:val="20"/>
                <w:color w:val="auto"/>
              </w:rPr>
            </w:pPr>
            <w:r>
              <w:rPr>
                <w:rFonts w:ascii="Arial" w:cs="Arial" w:eastAsia="Arial" w:hAnsi="Arial"/>
                <w:sz w:val="18"/>
                <w:szCs w:val="18"/>
                <w:color w:val="auto"/>
              </w:rPr>
              <w:t>3,541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Minimum pension liability</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Amount recognized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(51,350)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(51,287)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on balance sheet consist of:</w:t>
            </w: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Prepaid benefit cost</w:t>
            </w:r>
          </w:p>
        </w:tc>
        <w:tc>
          <w:tcPr>
            <w:tcW w:w="1340" w:type="dxa"/>
            <w:vAlign w:val="bottom"/>
          </w:tcPr>
          <w:p>
            <w:pPr>
              <w:jc w:val="right"/>
              <w:spacing w:after="0"/>
              <w:rPr>
                <w:sz w:val="20"/>
                <w:szCs w:val="20"/>
                <w:color w:val="auto"/>
              </w:rPr>
            </w:pPr>
            <w:r>
              <w:rPr>
                <w:rFonts w:ascii="Arial" w:cs="Arial" w:eastAsia="Arial" w:hAnsi="Arial"/>
                <w:sz w:val="18"/>
                <w:szCs w:val="18"/>
                <w:color w:val="auto"/>
              </w:rPr>
              <w:t>337</w:t>
            </w:r>
          </w:p>
        </w:tc>
        <w:tc>
          <w:tcPr>
            <w:tcW w:w="1360" w:type="dxa"/>
            <w:vAlign w:val="bottom"/>
          </w:tcPr>
          <w:p>
            <w:pPr>
              <w:jc w:val="right"/>
              <w:spacing w:after="0"/>
              <w:rPr>
                <w:sz w:val="20"/>
                <w:szCs w:val="20"/>
                <w:color w:val="auto"/>
              </w:rPr>
            </w:pPr>
            <w:r>
              <w:rPr>
                <w:rFonts w:ascii="Arial" w:cs="Arial" w:eastAsia="Arial" w:hAnsi="Arial"/>
                <w:sz w:val="18"/>
                <w:szCs w:val="18"/>
                <w:color w:val="auto"/>
              </w:rPr>
              <w:t>330</w:t>
            </w:r>
          </w:p>
        </w:tc>
        <w:tc>
          <w:tcPr>
            <w:tcW w:w="122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liability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amount recognized under FAS 132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(51,350)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(51,287)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Jubilee Reserve (Germany &amp; France)</w:t>
            </w:r>
          </w:p>
        </w:tc>
        <w:tc>
          <w:tcPr>
            <w:tcW w:w="1340" w:type="dxa"/>
            <w:vAlign w:val="bottom"/>
          </w:tcPr>
          <w:p>
            <w:pPr>
              <w:jc w:val="right"/>
              <w:spacing w:after="0"/>
              <w:rPr>
                <w:sz w:val="20"/>
                <w:szCs w:val="20"/>
                <w:color w:val="auto"/>
              </w:rPr>
            </w:pPr>
            <w:r>
              <w:rPr>
                <w:rFonts w:ascii="Arial" w:cs="Arial" w:eastAsia="Arial" w:hAnsi="Arial"/>
                <w:sz w:val="18"/>
                <w:szCs w:val="18"/>
                <w:color w:val="auto"/>
              </w:rPr>
              <w:t>(1,009)</w:t>
            </w:r>
          </w:p>
        </w:tc>
        <w:tc>
          <w:tcPr>
            <w:tcW w:w="1360" w:type="dxa"/>
            <w:vAlign w:val="bottom"/>
          </w:tcPr>
          <w:p>
            <w:pPr>
              <w:jc w:val="right"/>
              <w:spacing w:after="0"/>
              <w:rPr>
                <w:sz w:val="20"/>
                <w:szCs w:val="20"/>
                <w:color w:val="auto"/>
              </w:rPr>
            </w:pPr>
            <w:r>
              <w:rPr>
                <w:rFonts w:ascii="Arial" w:cs="Arial" w:eastAsia="Arial" w:hAnsi="Arial"/>
                <w:sz w:val="18"/>
                <w:szCs w:val="18"/>
                <w:color w:val="auto"/>
              </w:rPr>
              <w:t>(999)</w:t>
            </w:r>
          </w:p>
        </w:tc>
        <w:tc>
          <w:tcPr>
            <w:tcW w:w="1220" w:type="dxa"/>
            <w:vAlign w:val="bottom"/>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assets reported in other Long Term Assets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Compensation reported in the Balance Sheet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(55,530)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(55,232)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(51,333)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our defined benefit pension plans was €52.9 million and €53.7 million at December 31, 2006 and 2005, respectively.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Net periodic pension benefit costs for the Company’s plans include the following components: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Period ended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 31, 2006</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 31, 2005</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July 31, 2005</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Dec 31, 2004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Predecessor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Basis</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Basis</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Basis</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3"/>
              </w:rPr>
              <w:t>Basis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(In € thousands)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Interest cost</w:t>
            </w:r>
          </w:p>
        </w:tc>
        <w:tc>
          <w:tcPr>
            <w:tcW w:w="4540" w:type="dxa"/>
            <w:vAlign w:val="bottom"/>
            <w:gridSpan w:val="3"/>
          </w:tcPr>
          <w:p>
            <w:pPr>
              <w:jc w:val="right"/>
              <w:ind w:right="100"/>
              <w:spacing w:after="0"/>
              <w:rPr>
                <w:sz w:val="20"/>
                <w:szCs w:val="20"/>
                <w:color w:val="auto"/>
              </w:rPr>
            </w:pPr>
            <w:r>
              <w:rPr>
                <w:rFonts w:ascii="Arial" w:cs="Arial" w:eastAsia="Arial" w:hAnsi="Arial"/>
                <w:sz w:val="18"/>
                <w:szCs w:val="18"/>
                <w:color w:val="auto"/>
              </w:rPr>
              <w:t>2,263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c>
          <w:tcPr>
            <w:tcW w:w="1140" w:type="dxa"/>
            <w:vAlign w:val="bottom"/>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87"/>
              </w:rPr>
              <w:t>Expected return on plan assets</w:t>
            </w:r>
          </w:p>
        </w:tc>
        <w:tc>
          <w:tcPr>
            <w:tcW w:w="4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6"/>
              </w:rPr>
              <w:t>Amortization of prior service</w:t>
            </w:r>
          </w:p>
        </w:tc>
        <w:tc>
          <w:tcPr>
            <w:tcW w:w="4540" w:type="dxa"/>
            <w:vAlign w:val="bottom"/>
            <w:gridSpan w:val="3"/>
          </w:tcPr>
          <w:p>
            <w:pPr>
              <w:spacing w:after="0"/>
              <w:rPr>
                <w:sz w:val="20"/>
                <w:szCs w:val="20"/>
                <w:color w:val="auto"/>
              </w:rPr>
            </w:pPr>
            <w:r>
              <w:rPr>
                <w:rFonts w:ascii="Arial" w:cs="Arial" w:eastAsia="Arial" w:hAnsi="Arial"/>
                <w:sz w:val="18"/>
                <w:szCs w:val="18"/>
                <w:color w:val="auto"/>
              </w:rPr>
              <w:t>cost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actuarial losses (gains)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3"/>
              </w:rPr>
              <w:t>Settlements and curtailments</w:t>
            </w:r>
          </w:p>
        </w:tc>
        <w:tc>
          <w:tcPr>
            <w:tcW w:w="3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3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1,976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actuarial weighted average assumptions used in determining the benefit obligations and net periodic benefit cost for the Company’s benefit plans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ind w:left="760"/>
              <w:spacing w:after="0"/>
              <w:rPr>
                <w:sz w:val="20"/>
                <w:szCs w:val="20"/>
                <w:color w:val="auto"/>
              </w:rPr>
            </w:pPr>
            <w:r>
              <w:rPr>
                <w:rFonts w:ascii="Arial" w:cs="Arial" w:eastAsia="Arial" w:hAnsi="Arial"/>
                <w:sz w:val="18"/>
                <w:szCs w:val="18"/>
                <w:b w:val="1"/>
                <w:bCs w:val="1"/>
                <w:color w:val="auto"/>
              </w:rPr>
              <w:t>Period ended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1"/>
        </w:trPr>
        <w:tc>
          <w:tcPr>
            <w:tcW w:w="61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 31, 2006</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Dec 31, 2005</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July 31, 2005</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Dec 31, 2004</w:t>
            </w:r>
          </w:p>
        </w:tc>
      </w:tr>
      <w:tr>
        <w:trPr>
          <w:trHeight w:val="198"/>
        </w:trPr>
        <w:tc>
          <w:tcPr>
            <w:tcW w:w="6160" w:type="dxa"/>
            <w:vAlign w:val="bottom"/>
          </w:tcPr>
          <w:p>
            <w:pPr>
              <w:spacing w:after="0"/>
              <w:rPr>
                <w:sz w:val="17"/>
                <w:szCs w:val="17"/>
                <w:color w:val="auto"/>
              </w:rPr>
            </w:pPr>
          </w:p>
        </w:tc>
        <w:tc>
          <w:tcPr>
            <w:tcW w:w="12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3"/>
              </w:rPr>
              <w:t>Successor Basis</w:t>
            </w:r>
          </w:p>
        </w:tc>
        <w:tc>
          <w:tcPr>
            <w:tcW w:w="12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1"/>
              </w:rPr>
              <w:t>Successor Basis</w:t>
            </w:r>
          </w:p>
        </w:tc>
        <w:tc>
          <w:tcPr>
            <w:tcW w:w="1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17"/>
                <w:szCs w:val="17"/>
                <w:color w:val="auto"/>
              </w:rPr>
            </w:pPr>
          </w:p>
        </w:tc>
        <w:tc>
          <w:tcPr>
            <w:tcW w:w="12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5"/>
              </w:rPr>
              <w:t>Predecessor</w:t>
            </w:r>
          </w:p>
        </w:tc>
      </w:tr>
      <w:tr>
        <w:trPr>
          <w:trHeight w:val="234"/>
        </w:trPr>
        <w:tc>
          <w:tcPr>
            <w:tcW w:w="6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3"/>
              </w:rPr>
              <w:t>Basis</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Basis</w:t>
            </w:r>
          </w:p>
        </w:tc>
      </w:tr>
      <w:tr>
        <w:trPr>
          <w:trHeight w:val="432"/>
        </w:trPr>
        <w:tc>
          <w:tcPr>
            <w:tcW w:w="6160" w:type="dxa"/>
            <w:vAlign w:val="bottom"/>
          </w:tcPr>
          <w:p>
            <w:pPr>
              <w:spacing w:after="0"/>
              <w:rPr>
                <w:sz w:val="20"/>
                <w:szCs w:val="20"/>
                <w:color w:val="auto"/>
              </w:rPr>
            </w:pPr>
            <w:r>
              <w:rPr>
                <w:rFonts w:ascii="Arial" w:cs="Arial" w:eastAsia="Arial" w:hAnsi="Arial"/>
                <w:sz w:val="18"/>
                <w:szCs w:val="18"/>
                <w:b w:val="1"/>
                <w:bCs w:val="1"/>
                <w:color w:val="auto"/>
                <w:w w:val="92"/>
              </w:rPr>
              <w:t>Actuarial assumptions used to determine benefit obligations at end of period:</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4.40%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4.34%</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4.45%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4.62%</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annual rate of compensation increase</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3.14%</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2.68%</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2.66%</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2.64%</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Actuarial assumptions used to determine net periodic benefit cost for the period:</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Discount rate</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4.34%</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4.45%</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4.62%</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5.48%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rate of return on plan assets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3.81%</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4.32%</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4.31%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4.29%</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Expected annual rate of compensation increase</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3.14%</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2.68%</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2.66%</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2.64%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rates used to calculate the obligation are based on underlying indices as follows:</w:t>
      </w:r>
    </w:p>
    <w:p>
      <w:pPr>
        <w:spacing w:after="0" w:line="252" w:lineRule="exact"/>
        <w:rPr>
          <w:sz w:val="20"/>
          <w:szCs w:val="20"/>
          <w:color w:val="auto"/>
        </w:rPr>
      </w:pPr>
    </w:p>
    <w:p>
      <w:pPr>
        <w:ind w:right="20" w:firstLine="8"/>
        <w:spacing w:after="0" w:line="258"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Central discount rates for retirement benefit plans labeled in euro were selected using the Merrill Lynch (ML) Euro Corp yield curve data. The central rate was determined by taking the yield at a duration corresponding to the duration of the plan liabilities;</w:t>
      </w:r>
    </w:p>
    <w:p>
      <w:pPr>
        <w:spacing w:after="0" w:line="1" w:lineRule="exact"/>
        <w:rPr>
          <w:rFonts w:ascii="Arial" w:cs="Arial" w:eastAsia="Arial" w:hAnsi="Arial"/>
          <w:sz w:val="18"/>
          <w:szCs w:val="18"/>
          <w:color w:val="auto"/>
        </w:rPr>
      </w:pPr>
    </w:p>
    <w:p>
      <w:pPr>
        <w:ind w:firstLine="8"/>
        <w:spacing w:after="0" w:line="261"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Central discount rates for retirement benefit plans labeled in another currency were selected using a similar methodology applied on high quality corporate bonds yield data labeled in that currency.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expected rates of return on plan assets assumption was determined based on plan asset allocations, a review of historic plan asset returns over varying long-term periods, and a forecast of future asset returns. The expected rate of return is an estimate and assumption of returns over a long-term. Actuarial gains and losses in excess of 10 percent of the greater of the fair value of plan assets or the plans projected benefit obligation are amortized over the expected remaining service period of the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Pension plans with accumulated benefit obligations exceeding the fair value of plan assets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420"/>
              <w:spacing w:after="0"/>
              <w:rPr>
                <w:sz w:val="20"/>
                <w:szCs w:val="20"/>
                <w:color w:val="auto"/>
              </w:rPr>
            </w:pPr>
            <w:r>
              <w:rPr>
                <w:rFonts w:ascii="Arial" w:cs="Arial" w:eastAsia="Arial" w:hAnsi="Arial"/>
                <w:sz w:val="18"/>
                <w:szCs w:val="18"/>
                <w:b w:val="1"/>
                <w:bCs w:val="1"/>
                <w:color w:val="auto"/>
              </w:rPr>
              <w:t>At</w:t>
            </w:r>
          </w:p>
        </w:tc>
        <w:tc>
          <w:tcPr>
            <w:tcW w:w="1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Dec 31, 2006</w:t>
            </w:r>
          </w:p>
        </w:tc>
        <w:tc>
          <w:tcPr>
            <w:tcW w:w="80" w:type="dxa"/>
            <w:vAlign w:val="bottom"/>
          </w:tcPr>
          <w:p>
            <w:pPr>
              <w:spacing w:after="0"/>
              <w:rPr>
                <w:sz w:val="20"/>
                <w:szCs w:val="20"/>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 31, 2005</w:t>
            </w:r>
          </w:p>
        </w:tc>
        <w:tc>
          <w:tcPr>
            <w:tcW w:w="336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89"/>
              </w:rPr>
              <w:t>July 31, 2005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Predecessor</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3"/>
              </w:rPr>
              <w:t>Basis</w:t>
            </w:r>
          </w:p>
        </w:tc>
        <w:tc>
          <w:tcPr>
            <w:tcW w:w="8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3"/>
              </w:rPr>
              <w:t>Basis</w:t>
            </w:r>
          </w:p>
        </w:tc>
        <w:tc>
          <w:tcPr>
            <w:tcW w:w="336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83"/>
              </w:rPr>
              <w:t>Basis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(In € thousands)</w:t>
            </w: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55,207</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55,523</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51,917</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52,657</w:t>
            </w: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49,154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20" w:type="dxa"/>
            <w:vAlign w:val="bottom"/>
            <w:gridSpan w:val="2"/>
          </w:tcPr>
          <w:p>
            <w:pPr>
              <w:jc w:val="right"/>
              <w:ind w:right="91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94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allocation of the fair value of plan assets and target allocation for our pension plans assets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Dec 31, 2006</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 31, 2005</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July 31, 2005</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Long Term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3"/>
              </w:rPr>
              <w:t>Successor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5"/>
              </w:rPr>
              <w:t>Predecessor</w:t>
            </w:r>
          </w:p>
        </w:tc>
        <w:tc>
          <w:tcPr>
            <w:tcW w:w="1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Target</w:t>
            </w:r>
          </w:p>
        </w:tc>
        <w:tc>
          <w:tcPr>
            <w:tcW w:w="0" w:type="dxa"/>
            <w:vAlign w:val="bottom"/>
          </w:tcPr>
          <w:p>
            <w:pPr>
              <w:spacing w:after="0"/>
              <w:rPr>
                <w:sz w:val="1"/>
                <w:szCs w:val="1"/>
                <w:color w:val="auto"/>
              </w:rPr>
            </w:pPr>
          </w:p>
        </w:tc>
      </w:tr>
      <w:tr>
        <w:trPr>
          <w:trHeight w:val="234"/>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category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Basis</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3"/>
              </w:rPr>
              <w:t>Basis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3"/>
              </w:rPr>
              <w:t>Basis</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allocation</w:t>
            </w:r>
          </w:p>
        </w:tc>
        <w:tc>
          <w:tcPr>
            <w:tcW w:w="0" w:type="dxa"/>
            <w:vAlign w:val="bottom"/>
          </w:tcPr>
          <w:p>
            <w:pPr>
              <w:spacing w:after="0"/>
              <w:rPr>
                <w:sz w:val="1"/>
                <w:szCs w:val="1"/>
                <w:color w:val="auto"/>
              </w:rPr>
            </w:pPr>
          </w:p>
        </w:tc>
      </w:tr>
      <w:tr>
        <w:trPr>
          <w:trHeight w:val="216"/>
        </w:trPr>
        <w:tc>
          <w:tcPr>
            <w:tcW w:w="600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 term investments and cash</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1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6%</w:t>
            </w:r>
          </w:p>
        </w:tc>
        <w:tc>
          <w:tcPr>
            <w:tcW w:w="128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2"/>
              </w:rPr>
              <w:t>5%</w:t>
            </w:r>
          </w:p>
        </w:tc>
        <w:tc>
          <w:tcPr>
            <w:tcW w:w="1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Insurance funds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93%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94%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95%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Most of the plan assets are invested in insurance funds which allow a balanced mix between risk and return.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general funding policy for qualified pension plans is governed by requirement of regulatory funding standards. Assuming that actual plan asset returns are consistent with our expected rate of return in 2007 and beyond, and that interest rates remain constant, the Company expects to contribute approximately €309,000 in 2007 to our non-U.S. defined benefit pension plans. These contributions do not reflect benefits to be paid directly from Company assets.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Benefit payments, including amounts to be paid from Company assets, and reflecting expected future service, as appropriate, are expected to be paid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2560" w:type="dxa"/>
            <w:vAlign w:val="bottom"/>
            <w:gridSpan w:val="2"/>
          </w:tcPr>
          <w:p>
            <w:pPr>
              <w:ind w:left="1160"/>
              <w:spacing w:after="0"/>
              <w:rPr>
                <w:sz w:val="20"/>
                <w:szCs w:val="20"/>
                <w:color w:val="auto"/>
              </w:rPr>
            </w:pPr>
            <w:r>
              <w:rPr>
                <w:rFonts w:ascii="Arial" w:cs="Arial" w:eastAsia="Arial" w:hAnsi="Arial"/>
                <w:sz w:val="18"/>
                <w:szCs w:val="18"/>
                <w:b w:val="1"/>
                <w:bCs w:val="1"/>
                <w:color w:val="auto"/>
                <w:w w:val="95"/>
              </w:rPr>
              <w:t>(In €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2008</w:t>
            </w:r>
          </w:p>
        </w:tc>
        <w:tc>
          <w:tcPr>
            <w:tcW w:w="2540" w:type="dxa"/>
            <w:vAlign w:val="bottom"/>
          </w:tcPr>
          <w:p>
            <w:pPr>
              <w:jc w:val="right"/>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2010</w:t>
            </w:r>
          </w:p>
        </w:tc>
        <w:tc>
          <w:tcPr>
            <w:tcW w:w="2540" w:type="dxa"/>
            <w:vAlign w:val="bottom"/>
          </w:tcPr>
          <w:p>
            <w:pPr>
              <w:jc w:val="right"/>
              <w:spacing w:after="0"/>
              <w:rPr>
                <w:sz w:val="20"/>
                <w:szCs w:val="20"/>
                <w:color w:val="auto"/>
              </w:rPr>
            </w:pPr>
            <w:r>
              <w:rPr>
                <w:rFonts w:ascii="Arial" w:cs="Arial" w:eastAsia="Arial" w:hAnsi="Arial"/>
                <w:sz w:val="18"/>
                <w:szCs w:val="18"/>
                <w:color w:val="auto"/>
              </w:rPr>
              <w:t>2,097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2012 - 2016</w:t>
            </w:r>
          </w:p>
        </w:tc>
        <w:tc>
          <w:tcPr>
            <w:tcW w:w="2540" w:type="dxa"/>
            <w:vAlign w:val="bottom"/>
          </w:tcPr>
          <w:p>
            <w:pPr>
              <w:jc w:val="right"/>
              <w:spacing w:after="0"/>
              <w:rPr>
                <w:sz w:val="20"/>
                <w:szCs w:val="20"/>
                <w:color w:val="auto"/>
              </w:rPr>
            </w:pPr>
            <w:r>
              <w:rPr>
                <w:rFonts w:ascii="Arial" w:cs="Arial" w:eastAsia="Arial" w:hAnsi="Arial"/>
                <w:sz w:val="18"/>
                <w:szCs w:val="18"/>
                <w:color w:val="auto"/>
              </w:rPr>
              <w:t>15,348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employer contribution paid into the defined contribution schemes: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Period ended</w:t>
            </w: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41"/>
        </w:trPr>
        <w:tc>
          <w:tcPr>
            <w:tcW w:w="4500" w:type="dxa"/>
            <w:vAlign w:val="bottom"/>
          </w:tcPr>
          <w:p>
            <w:pPr>
              <w:spacing w:after="0"/>
              <w:rPr>
                <w:sz w:val="20"/>
                <w:szCs w:val="20"/>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Dec 31, 2006</w:t>
            </w:r>
          </w:p>
        </w:tc>
        <w:tc>
          <w:tcPr>
            <w:tcW w:w="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Dec 31, 2005</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July 31, 2005</w:t>
            </w:r>
          </w:p>
        </w:tc>
        <w:tc>
          <w:tcPr>
            <w:tcW w:w="338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90"/>
              </w:rPr>
              <w:t>Dec 31, 2004</w:t>
            </w:r>
          </w:p>
        </w:tc>
      </w:tr>
      <w:tr>
        <w:trPr>
          <w:trHeight w:val="198"/>
        </w:trPr>
        <w:tc>
          <w:tcPr>
            <w:tcW w:w="450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1"/>
              </w:rPr>
              <w:t>Successor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Predecessor</w:t>
            </w:r>
          </w:p>
        </w:tc>
        <w:tc>
          <w:tcPr>
            <w:tcW w:w="8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Predecessor</w:t>
            </w:r>
          </w:p>
        </w:tc>
        <w:tc>
          <w:tcPr>
            <w:tcW w:w="2280" w:type="dxa"/>
            <w:vAlign w:val="bottom"/>
          </w:tcPr>
          <w:p>
            <w:pPr>
              <w:spacing w:after="0"/>
              <w:rPr>
                <w:sz w:val="17"/>
                <w:szCs w:val="17"/>
                <w:color w:val="auto"/>
              </w:rPr>
            </w:pPr>
          </w:p>
        </w:tc>
      </w:tr>
      <w:tr>
        <w:trPr>
          <w:trHeight w:val="216"/>
        </w:trPr>
        <w:tc>
          <w:tcPr>
            <w:tcW w:w="450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3"/>
              </w:rPr>
              <w:t>Basis</w:t>
            </w:r>
          </w:p>
        </w:tc>
        <w:tc>
          <w:tcPr>
            <w:tcW w:w="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Basis</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Basis</w:t>
            </w:r>
          </w:p>
        </w:tc>
        <w:tc>
          <w:tcPr>
            <w:tcW w:w="338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83"/>
              </w:rPr>
              <w:t>Basis</w:t>
            </w:r>
          </w:p>
        </w:tc>
      </w:tr>
      <w:tr>
        <w:trPr>
          <w:trHeight w:val="234"/>
        </w:trPr>
        <w:tc>
          <w:tcPr>
            <w:tcW w:w="4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(In € Thousands)</w:t>
            </w: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28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U.S.A</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184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c>
          <w:tcPr>
            <w:tcW w:w="22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28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Brazil</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22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80" w:type="dxa"/>
            <w:vAlign w:val="bottom"/>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Belgium</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80" w:type="dxa"/>
            <w:vAlign w:val="bottom"/>
          </w:tcPr>
          <w:p>
            <w:pPr>
              <w:spacing w:after="0"/>
              <w:rPr>
                <w:sz w:val="19"/>
                <w:szCs w:val="19"/>
                <w:color w:val="auto"/>
              </w:rPr>
            </w:pPr>
          </w:p>
        </w:tc>
      </w:tr>
      <w:tr>
        <w:trPr>
          <w:trHeight w:val="223"/>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1,184</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1,497</w:t>
            </w:r>
          </w:p>
        </w:tc>
        <w:tc>
          <w:tcPr>
            <w:tcW w:w="2280" w:type="dxa"/>
            <w:vAlign w:val="bottom"/>
          </w:tcPr>
          <w:p>
            <w:pPr>
              <w:spacing w:after="0"/>
              <w:rPr>
                <w:sz w:val="19"/>
                <w:szCs w:val="19"/>
                <w:color w:val="auto"/>
              </w:rPr>
            </w:pPr>
          </w:p>
        </w:tc>
      </w:tr>
      <w:tr>
        <w:trPr>
          <w:trHeight w:val="407"/>
        </w:trPr>
        <w:tc>
          <w:tcPr>
            <w:tcW w:w="4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tcPr>
          <w:p>
            <w:pPr>
              <w:jc w:val="right"/>
              <w:ind w:right="910"/>
              <w:spacing w:after="0"/>
              <w:rPr>
                <w:sz w:val="20"/>
                <w:szCs w:val="20"/>
                <w:color w:val="auto"/>
              </w:rPr>
            </w:pPr>
            <w:r>
              <w:rPr>
                <w:rFonts w:ascii="Arial" w:cs="Arial" w:eastAsia="Arial" w:hAnsi="Arial"/>
                <w:sz w:val="14"/>
                <w:szCs w:val="14"/>
                <w:color w:val="auto"/>
                <w:w w:val="89"/>
              </w:rPr>
              <w:t>15</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3"/>
        </w:trPr>
        <w:tc>
          <w:tcPr>
            <w:tcW w:w="45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u w:val="single" w:color="auto"/>
          <w:color w:val="auto"/>
        </w:rPr>
        <w:t>RESTRUCTURING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a strategy to optimize utilization of its industrial sites, the Company undertook a restructuring plan in December 2004. This plan was further developed by the successor as discussed in Note 3. The plan incorporates major restructuring in Western Europe and the restructuring accruals recorded, include costs primarily associated with workforce reduction as well as other costs associated with exit of an activity.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This liability is reflected on the accompanying consolidated balance sheet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(In €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Restructuring reserve as at December 31, 2004</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10,861</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240"/>
              <w:spacing w:after="0"/>
              <w:rPr>
                <w:sz w:val="20"/>
                <w:szCs w:val="20"/>
                <w:color w:val="auto"/>
              </w:rPr>
            </w:pPr>
            <w:r>
              <w:rPr>
                <w:rFonts w:ascii="Arial" w:cs="Arial" w:eastAsia="Arial" w:hAnsi="Arial"/>
                <w:sz w:val="18"/>
                <w:szCs w:val="18"/>
                <w:color w:val="auto"/>
              </w:rPr>
              <w:t>Additions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Payments</w:t>
            </w: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Restructuring reserve as at July 31, 2005</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Acquisition related restructuring costs</w:t>
            </w: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Restructuring reserve as at August 1, 2005</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13,288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Additions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40"/>
              <w:spacing w:after="0"/>
              <w:rPr>
                <w:sz w:val="20"/>
                <w:szCs w:val="20"/>
                <w:color w:val="auto"/>
              </w:rPr>
            </w:pPr>
            <w:r>
              <w:rPr>
                <w:rFonts w:ascii="Arial" w:cs="Arial" w:eastAsia="Arial" w:hAnsi="Arial"/>
                <w:sz w:val="18"/>
                <w:szCs w:val="18"/>
                <w:color w:val="auto"/>
              </w:rPr>
              <w:t>Payments</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Restructuring reserve as at December 31, 2005</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240"/>
              <w:spacing w:after="0"/>
              <w:rPr>
                <w:sz w:val="20"/>
                <w:szCs w:val="20"/>
                <w:color w:val="auto"/>
              </w:rPr>
            </w:pPr>
            <w:r>
              <w:rPr>
                <w:rFonts w:ascii="Arial" w:cs="Arial" w:eastAsia="Arial" w:hAnsi="Arial"/>
                <w:sz w:val="18"/>
                <w:szCs w:val="18"/>
                <w:color w:val="auto"/>
              </w:rPr>
              <w:t>Additions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Payments</w:t>
            </w: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Restructuring reserve as at December 31, 2006</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6,168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2006</w:t>
            </w:r>
          </w:p>
        </w:tc>
        <w:tc>
          <w:tcPr>
            <w:tcW w:w="26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(In €</w:t>
            </w: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w w:val="72"/>
              </w:rPr>
              <w:t>thousands)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restructuring reserve</w:t>
            </w: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5,490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Restructuring reserve, less current portion</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6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6,168</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9,378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u w:val="single" w:color="auto"/>
          <w:color w:val="auto"/>
        </w:rPr>
        <w:t>WARRANTY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248"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00" w:type="dxa"/>
            <w:vAlign w:val="bottom"/>
            <w:gridSpan w:val="2"/>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2005</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(In €</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78"/>
              </w:rPr>
              <w:t>thousands)</w:t>
            </w:r>
          </w:p>
        </w:tc>
        <w:tc>
          <w:tcPr>
            <w:tcW w:w="9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8,972</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New product warranties</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1,227</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3,290</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changes/Adjustments to warranties</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Claim activity</w:t>
            </w:r>
          </w:p>
        </w:tc>
        <w:tc>
          <w:tcPr>
            <w:tcW w:w="9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w w:val="87"/>
              </w:rPr>
              <w:t>(3,663)</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(1,271)</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6,439</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8,972</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warranty</w:t>
            </w: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3,220</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Long term warranty</w:t>
            </w:r>
          </w:p>
        </w:tc>
        <w:tc>
          <w:tcPr>
            <w:tcW w:w="900" w:type="dxa"/>
            <w:vAlign w:val="bottom"/>
          </w:tcPr>
          <w:p>
            <w:pPr>
              <w:spacing w:after="0"/>
              <w:rPr>
                <w:sz w:val="20"/>
                <w:szCs w:val="20"/>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3,219</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4,486</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4"/>
                <w:szCs w:val="14"/>
                <w:color w:val="auto"/>
              </w:rPr>
              <w:t>16</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tabs>
          <w:tab w:leader="none" w:pos="9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u w:val="single" w:color="auto"/>
          <w:color w:val="auto"/>
        </w:rPr>
        <w:t>SHAREHOLDER CONVERTIBLE NOTES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28 2005, the Company issued shareholder convertible notes with a nominal value of € 25 each in four series, two which bear interest at Euribor 12 months plus 3,.86 %, and two which are non-interest bearing. Net proceeds of approximately € 161.4 million from the issuance were used to finance the acquisition. Each of the bonds was convertible into one share of common stock at the option of the holder or Company. Additionally, the bonds were redeemable either on demand or at the maturity date at the option of the holder or Company subject to (i) the repayment of all outstanding debt and (ii) the bonds not having been converted. For purposes of redemption (either early or at maturity), the redemption amount was not fixed but equal to the residual equity value of the Company. Accordingly, these have been treated as redeemable residual equity interests and accounted for under EITF Topic D-98 and ASR 268, which requires classification of redeemable securities that would otherwise not represent obligations under SFAS 150, and are redeemable only if specified events occur, at their initial carrying amount outside of permanent equity.</w:t>
      </w:r>
    </w:p>
    <w:p>
      <w:pPr>
        <w:spacing w:after="0" w:line="20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interest bearing bonds, 2.016.336 units in A1 and 3.461.136 units in B1 had a final maturity date of July 28th, 2080 and July 28th, 2020, respectively. In accordance with the terms of the A1 and B1 bonds, all interests have been accrued and deferred until future redemption. The total amount accrued within the total shareholder convertible notes balance amounts to € 4.0 million per December 31, 2005 and € 13.3 million per December 31, 2006.</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non-interest bearing shareholder convertible notes, 360.060 units of A2, and 618.060 units of B2 had a final maturity date on July 28, 2080 and July 28, 2020, respectively. The non-interest bearing bonds had been discounted using a 4.02% interest rate equivalent to the long term European bonds rate.</w:t>
      </w:r>
    </w:p>
    <w:p>
      <w:pPr>
        <w:spacing w:after="0" w:line="14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€ 1.63 million of shares of Actaris Metering Systems SA are composed of 64,408 ordinary shares with a nominal value of € 25 each and are pledged in favor of Mizuho Corporate Bank Ltd. and Preferred Shares (€ 20.0 thousand) giving rights for a preferred dividend. Preferred Shares are divided into 800 preferred shares with a nominal value of € 25 each.</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Company reports a net profit for the year, Luxembourg law requires the appropriation of an amount equal to at least 5% of the annual net income to a legal reserve until such reserve equals 10% of the issued share capital. This reserve is not available for dividend distribution.</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u w:val="single" w:color="auto"/>
          <w:color w:val="auto"/>
        </w:rPr>
        <w:t>CONTINGENT AND OTHER NON-CURRENT LIABILITIES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claims and other contingencies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 defendant in a number of legal proceedings arising in the ordinary course of business and has various unresolved claims pending including, amongst others, tax litigations in several different jurisdictions where tax losses, tax incentives and deductibility of certain expenses are challenged. Management has recorded a € 8.7 million provision, out of a total risk of € 15.3 million, in relation with the above cases. The outcome of these lawsuits and claims is not known at this time. Management defends all of these lawsuits vigorously.</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been sued by the minority shareholder of an affiliate (together with the shareholder prior to the 2001 acquisition of the worldwide business) for breach of an alleged preemptive right. Courts have condemned the defendants to pay material compensation damages of about € 10.6 million. All defendants have appealed and, based on independent legal advice, management believes there is no legal reason for this claim and consequently only accrued approximately € 1 million for legal and other related fees.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metals, solvents and similar materials that are stored on-site. The waste created by use of these materials is transported off-site on a regular basis by an unaffiliated waste hauler and is processed by an unaffiliated contractor or vendor. The Company has made a concerted effort to reduce or eliminate the use of mercury and other hazardous materials in its products. The Company believes it is in compliance with regulations relating to the storage, discharge, handling, emission, generation, manufacture and disposal of, or exposure to, toxic or other hazardous substances, except for a trichloroethylene (TCE) soil and groundwater contamination which exists in Frosinone, Italy. At December 31, 2006, the Company has an accrual for environmental remediation amounting to € 0.7 million for environmental remediation works in Frosinone, Italy. The liability for these costs arose when the site was owned by a former operator, Schlumberger. However, the Company believes that it is indemnified against exposure to these costs by Schlumberger and as such the Company will pursue reimbursement as clean-up costs are incurred. Reimbursed amounts are recorded against the receivable when received. The provision for the remediation is included with the warranties and litigations reserve.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both"/>
        <w:spacing w:after="0" w:line="288" w:lineRule="auto"/>
        <w:rPr>
          <w:sz w:val="20"/>
          <w:szCs w:val="20"/>
          <w:color w:val="auto"/>
        </w:rPr>
      </w:pPr>
      <w:r>
        <w:rPr>
          <w:rFonts w:ascii="Arial" w:cs="Arial" w:eastAsia="Arial" w:hAnsi="Arial"/>
          <w:sz w:val="16"/>
          <w:szCs w:val="16"/>
          <w:color w:val="auto"/>
        </w:rPr>
        <w:t>The European Union (EU) has enacted the Waste Electrical and Electronic Equipment Directive (“WEEE”), which makes producers of certain types of electrical equipment financially responsible for specified collection, recycling, treatment and disposal of past and future covered products. The deadline for the individual member states of the EU to enact the directive in their respective countries was August 13, 2004 (such legislation, together with the directive is referred to as the WEEE Legislation). Producers participating in the market were financially responsible for implementing these responsibilities under the WEEE Legislation beginning in August 2005. Implementation in certain of the member states has been delayed into 2007. Similar legislation has been or may be enacted in other jurisdictions, including in the United States, Canada, Mexico, China and Japan. China has passed similar legislation, which will take effect March 1, 2007. The liability for such environmental costs is accrued when considered probable and the costs can be reasonably estimated. The Company has determined the liability for our responsibilities under the WEEE Legislation to be immaterial to its operations and financial position at December 31, 2006 and does not currently anticipate material capital expenditures for environmental control facilities. The Company is continuing to evaluate the impact of the WEEE Legislation and similar legislation in other jurisdictions as individual countries issue their implementation guidance.</w:t>
      </w:r>
    </w:p>
    <w:p>
      <w:pPr>
        <w:spacing w:after="0" w:line="1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u w:val="single" w:color="auto"/>
          <w:color w:val="auto"/>
        </w:rPr>
        <w:t>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Total rental expense for operating leases was € 5.2 million for the period ended December 31, 2006 compared to € 5.0 million at the end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2005. Future minimum rental commitments under non-cancelable operating leases are as follows: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 €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2008</w:t>
            </w:r>
          </w:p>
        </w:tc>
        <w:tc>
          <w:tcPr>
            <w:tcW w:w="1660" w:type="dxa"/>
            <w:vAlign w:val="bottom"/>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2010</w:t>
            </w:r>
          </w:p>
        </w:tc>
        <w:tc>
          <w:tcPr>
            <w:tcW w:w="1660" w:type="dxa"/>
            <w:vAlign w:val="bottom"/>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Thereafter</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leases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2006, guarantees issued to local banks in the form of letters of credit for performance and bid bonds were € 22.3 million (€ 17.0 million secured by Mizuho Corporate Bank Ltd and € 5.3 million unsecured) compared to € 23.6 million (€ 18.0 million secured by Mizuho Corporate Bank Ltd and € 5.6 million unsecured) at December 31, 2005.</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accrued in its books a warranty reserve (Note 17) to cover potential manufacturing repair costs. This reserve is based on the expected average return rate of meters that are covered by warranty contractual obligations. Warranties granted by affiliates have, when justified, been supported by Parent Company Guarantees.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2006, The Company has commitments on the sale of one discontinued businesses in the UK, which took place in 2003 for a total of € 1.3 million. These commitments, related to the tax statute of limitations, as per the contract, will expire in 2009.</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satisfactory title to all assets appearing in its balance sheet. No security has been executed under the provisions of the Uniform Commercial Code, and there are no liens or encumbrances on assets, nor has any asset been pledge except:</w:t>
      </w:r>
    </w:p>
    <w:p>
      <w:pPr>
        <w:spacing w:after="0" w:line="197" w:lineRule="exact"/>
        <w:rPr>
          <w:sz w:val="20"/>
          <w:szCs w:val="20"/>
          <w:color w:val="auto"/>
        </w:rPr>
      </w:pPr>
    </w:p>
    <w:p>
      <w:pPr>
        <w:ind w:left="1300" w:hanging="14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pledge of shares in favor of Mizuho Corporate Bank Ltd.</w:t>
      </w:r>
    </w:p>
    <w:p>
      <w:pPr>
        <w:spacing w:after="0" w:line="23" w:lineRule="exact"/>
        <w:rPr>
          <w:rFonts w:ascii="Arial" w:cs="Arial" w:eastAsia="Arial" w:hAnsi="Arial"/>
          <w:sz w:val="18"/>
          <w:szCs w:val="18"/>
          <w:color w:val="auto"/>
        </w:rPr>
      </w:pPr>
    </w:p>
    <w:p>
      <w:pPr>
        <w:ind w:left="1300" w:hanging="145"/>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Mecoindo, the 95% held Indonesian affiliate, where a civil court has decided on February 1, 2006 to forbid the sale or pledge of that affiliate real property and shares.</w:t>
      </w:r>
    </w:p>
    <w:p>
      <w:pPr>
        <w:ind w:left="1300" w:hanging="14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pledge of assets related to the tax claim in Portugal.</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computes income taxes in accordance with the applicable tax rules and regulations in the numerous jurisdictions where its income is earned.</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 is provided on temporary differences between the tax values of assets and liabilities and their carrying amounts in the consolidated financial statements. The tax effect of temporary differences is computed using the tax rate enacted at the balance sheet date and the rate expected to apply when the related deferred income tax assets is realized or the deferred income tax liability is settled.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 reconciliation of income taxes at a weighted average statutory rate to the consolidated actual tax rate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Period ended</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 31, 2006</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 31, 2005</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July 31, 2005</w:t>
            </w:r>
          </w:p>
        </w:tc>
        <w:tc>
          <w:tcPr>
            <w:tcW w:w="23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Dec 31,2004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1"/>
              </w:rPr>
              <w:t>Successor</w:t>
            </w:r>
          </w:p>
        </w:tc>
        <w:tc>
          <w:tcPr>
            <w:tcW w:w="80" w:type="dxa"/>
            <w:vAlign w:val="bottom"/>
          </w:tcPr>
          <w:p>
            <w:pPr>
              <w:spacing w:after="0"/>
              <w:rPr>
                <w:sz w:val="17"/>
                <w:szCs w:val="17"/>
                <w:color w:val="auto"/>
              </w:rPr>
            </w:pPr>
          </w:p>
        </w:tc>
        <w:tc>
          <w:tcPr>
            <w:tcW w:w="11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Predecessor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Basis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Basis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Basis</w:t>
            </w:r>
          </w:p>
        </w:tc>
        <w:tc>
          <w:tcPr>
            <w:tcW w:w="23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3"/>
              </w:rPr>
              <w:t>Basis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(In € thousands)</w:t>
            </w: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Foreign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43,389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(11,757)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29,179</w:t>
            </w:r>
          </w:p>
        </w:tc>
        <w:tc>
          <w:tcPr>
            <w:tcW w:w="1160" w:type="dxa"/>
            <w:vAlign w:val="bottom"/>
          </w:tcPr>
          <w:p>
            <w:pPr>
              <w:jc w:val="right"/>
              <w:spacing w:after="0"/>
              <w:rPr>
                <w:sz w:val="20"/>
                <w:szCs w:val="20"/>
                <w:color w:val="auto"/>
              </w:rPr>
            </w:pPr>
            <w:r>
              <w:rPr>
                <w:rFonts w:ascii="Arial" w:cs="Arial" w:eastAsia="Arial" w:hAnsi="Arial"/>
                <w:sz w:val="18"/>
                <w:szCs w:val="18"/>
                <w:color w:val="auto"/>
              </w:rPr>
              <w:t>27,403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(loss) before income taxes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34,019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(10,434)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29,601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29,980</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statutory rate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Expected income tax provision (benefit)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10,512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(3,651)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9,561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9,332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w w:val="95"/>
              </w:rPr>
              <w:t>Effect of Utilization of deferred tax asset not recognized in earlier years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c>
          <w:tcPr>
            <w:tcW w:w="1160" w:type="dxa"/>
            <w:vAlign w:val="bottom"/>
          </w:tcPr>
          <w:p>
            <w:pPr>
              <w:jc w:val="right"/>
              <w:spacing w:after="0"/>
              <w:rPr>
                <w:sz w:val="20"/>
                <w:szCs w:val="20"/>
                <w:color w:val="auto"/>
              </w:rPr>
            </w:pPr>
            <w:r>
              <w:rPr>
                <w:rFonts w:ascii="Arial" w:cs="Arial" w:eastAsia="Arial" w:hAnsi="Arial"/>
                <w:sz w:val="18"/>
                <w:szCs w:val="18"/>
                <w:color w:val="auto"/>
              </w:rPr>
              <w:t>(2,050)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Effect of unrecognized deferred tax asset during the period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Prior Years adjustments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Interests expenses not deductible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574</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Financing Fees amortization</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Step Up investment value (Sewa Germany)</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Tax on capital gain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(1,424)</w:t>
            </w:r>
          </w:p>
        </w:tc>
        <w:tc>
          <w:tcPr>
            <w:tcW w:w="11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Adjustment following Tax audit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Irap tax (Italy)</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1160" w:type="dxa"/>
            <w:vAlign w:val="bottom"/>
          </w:tcPr>
          <w:p>
            <w:pPr>
              <w:jc w:val="right"/>
              <w:spacing w:after="0"/>
              <w:rPr>
                <w:sz w:val="20"/>
                <w:szCs w:val="20"/>
                <w:color w:val="auto"/>
              </w:rPr>
            </w:pPr>
            <w:r>
              <w:rPr>
                <w:rFonts w:ascii="Arial" w:cs="Arial" w:eastAsia="Arial" w:hAnsi="Arial"/>
                <w:sz w:val="18"/>
                <w:szCs w:val="18"/>
                <w:color w:val="auto"/>
              </w:rPr>
              <w:t>322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provision (benefit) for income taxes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14,399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(1,882)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11,484</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6,106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w w:val="95"/>
              </w:rPr>
              <w:t>Tax provision (benefit) for income taxes consists of the following:</w:t>
            </w: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Period ended</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 31, 2006</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 31, 2005</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July 31, 2005</w:t>
            </w:r>
          </w:p>
        </w:tc>
        <w:tc>
          <w:tcPr>
            <w:tcW w:w="23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Dec 31,2004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1"/>
              </w:rPr>
              <w:t>Successor</w:t>
            </w:r>
          </w:p>
        </w:tc>
        <w:tc>
          <w:tcPr>
            <w:tcW w:w="80" w:type="dxa"/>
            <w:vAlign w:val="bottom"/>
          </w:tcPr>
          <w:p>
            <w:pPr>
              <w:spacing w:after="0"/>
              <w:rPr>
                <w:sz w:val="17"/>
                <w:szCs w:val="17"/>
                <w:color w:val="auto"/>
              </w:rPr>
            </w:pPr>
          </w:p>
        </w:tc>
        <w:tc>
          <w:tcPr>
            <w:tcW w:w="11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3"/>
              </w:rPr>
              <w:t>Predecessor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Basis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Basis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Basis</w:t>
            </w:r>
          </w:p>
        </w:tc>
        <w:tc>
          <w:tcPr>
            <w:tcW w:w="23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3"/>
              </w:rPr>
              <w:t>Basis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(In € thousands)</w:t>
            </w: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Foreign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18,467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4,916</w:t>
            </w:r>
          </w:p>
        </w:tc>
        <w:tc>
          <w:tcPr>
            <w:tcW w:w="1160" w:type="dxa"/>
            <w:vAlign w:val="bottom"/>
          </w:tcPr>
          <w:p>
            <w:pPr>
              <w:jc w:val="right"/>
              <w:spacing w:after="0"/>
              <w:rPr>
                <w:sz w:val="20"/>
                <w:szCs w:val="20"/>
                <w:color w:val="auto"/>
              </w:rPr>
            </w:pPr>
            <w:r>
              <w:rPr>
                <w:rFonts w:ascii="Arial" w:cs="Arial" w:eastAsia="Arial" w:hAnsi="Arial"/>
                <w:sz w:val="18"/>
                <w:szCs w:val="18"/>
                <w:color w:val="auto"/>
              </w:rPr>
              <w:t>9,744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18,594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5,101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Domestic</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1,458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Deferred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(3,166)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(6,983)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provision (benefit) for income taxes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14,399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(1,882)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11,484</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6,106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120" w:type="dxa"/>
            <w:vAlign w:val="bottom"/>
            <w:tcBorders>
              <w:top w:val="single" w:sz="8" w:color="auto"/>
            </w:tcBorders>
          </w:tcPr>
          <w:p>
            <w:pPr>
              <w:jc w:val="right"/>
              <w:ind w:right="671"/>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Net deferred income tax consists of the following:</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9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7"/>
              </w:rPr>
              <w:t>Period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 31, 2006</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 31, 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9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(In € thousands)</w:t>
            </w:r>
          </w:p>
        </w:tc>
        <w:tc>
          <w:tcPr>
            <w:tcW w:w="0" w:type="dxa"/>
            <w:vAlign w:val="bottom"/>
          </w:tcPr>
          <w:p>
            <w:pPr>
              <w:spacing w:after="0"/>
              <w:rPr>
                <w:sz w:val="1"/>
                <w:szCs w:val="1"/>
                <w:color w:val="auto"/>
              </w:rPr>
            </w:pPr>
          </w:p>
        </w:tc>
      </w:tr>
      <w:tr>
        <w:trPr>
          <w:trHeight w:val="39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 resulting from expected future deductibility of existing reserves:</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Pension Reserves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Litigation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1,670</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Accrued Interests (not paid)</w:t>
            </w:r>
          </w:p>
        </w:tc>
        <w:tc>
          <w:tcPr>
            <w:tcW w:w="1380" w:type="dxa"/>
            <w:vAlign w:val="bottom"/>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 Deferred tax assets on deductibility of reserves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15,054</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related to Tax loss carry forwards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20,843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Valuation allowance on deferred tax assets related to tax loss carry forwards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(16,132)</w:t>
            </w:r>
          </w:p>
        </w:tc>
        <w:tc>
          <w:tcPr>
            <w:tcW w:w="1420" w:type="dxa"/>
            <w:vAlign w:val="bottom"/>
          </w:tcPr>
          <w:p>
            <w:pPr>
              <w:jc w:val="right"/>
              <w:spacing w:after="0"/>
              <w:rPr>
                <w:sz w:val="20"/>
                <w:szCs w:val="20"/>
                <w:color w:val="auto"/>
              </w:rPr>
            </w:pPr>
            <w:r>
              <w:rPr>
                <w:rFonts w:ascii="Arial" w:cs="Arial" w:eastAsia="Arial" w:hAnsi="Arial"/>
                <w:sz w:val="18"/>
                <w:szCs w:val="18"/>
                <w:color w:val="auto"/>
              </w:rPr>
              <w:t>(15,343)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 (Net of valuation allowance)</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19,765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Deferred tax liabilities resulting from timing differences (inclusive of impact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of purchase accounting fair valuation) on:</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(19,622)</w:t>
            </w:r>
          </w:p>
        </w:tc>
        <w:tc>
          <w:tcPr>
            <w:tcW w:w="1420" w:type="dxa"/>
            <w:vAlign w:val="bottom"/>
          </w:tcPr>
          <w:p>
            <w:pPr>
              <w:jc w:val="right"/>
              <w:spacing w:after="0"/>
              <w:rPr>
                <w:sz w:val="20"/>
                <w:szCs w:val="20"/>
                <w:color w:val="auto"/>
              </w:rPr>
            </w:pPr>
            <w:r>
              <w:rPr>
                <w:rFonts w:ascii="Arial" w:cs="Arial" w:eastAsia="Arial" w:hAnsi="Arial"/>
                <w:sz w:val="18"/>
                <w:szCs w:val="18"/>
                <w:color w:val="auto"/>
              </w:rPr>
              <w:t>(21,386)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Intangibles (Technology, Customer relationship, Intellectual Property, Trademark,</w:t>
            </w: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Purchased Software and Financing Fees)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(59,352)</w:t>
            </w:r>
          </w:p>
        </w:tc>
        <w:tc>
          <w:tcPr>
            <w:tcW w:w="1420" w:type="dxa"/>
            <w:vAlign w:val="bottom"/>
          </w:tcPr>
          <w:p>
            <w:pPr>
              <w:jc w:val="right"/>
              <w:spacing w:after="0"/>
              <w:rPr>
                <w:sz w:val="20"/>
                <w:szCs w:val="20"/>
                <w:color w:val="auto"/>
              </w:rPr>
            </w:pPr>
            <w:r>
              <w:rPr>
                <w:rFonts w:ascii="Arial" w:cs="Arial" w:eastAsia="Arial" w:hAnsi="Arial"/>
                <w:sz w:val="18"/>
                <w:szCs w:val="18"/>
                <w:color w:val="auto"/>
              </w:rPr>
              <w:t>(64,800)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 deferred tax liability</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(82,841)</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(88,250)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2006, the total tax loss carry-forwards amounts to € 70 million of which € 61 million have no expiration date. The remaining € 9 million will expire beyond 2008. The corresponding tax credits amount to € 20.8 million against which a valuation allowance of € 16.1 million was provided for as a result of the uncertainty of offsetting these credits against future taxable income. These tax credits, net of allowance, and carried forward indefinitely are predominantly related to the Company’s operations in France, Austria and Germany.</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8"/>
          <w:szCs w:val="18"/>
          <w:b w:val="1"/>
          <w:bCs w:val="1"/>
          <w:u w:val="single" w:color="auto"/>
          <w:color w:val="auto"/>
        </w:rPr>
        <w:t>LONG TERM INVESTMENTS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investments in entities over which it exercises control. It accounts for these investments following the equity method. The following tables describe the various investments accounted for under the equity method as well as how the investments and related equity in earnings of the related investees is reflected in the Consolidated Balance Sheet and Income Statement as of and for the years ended December 31, 2006 and 2005: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Name of the Company</w:t>
            </w:r>
          </w:p>
        </w:tc>
        <w:tc>
          <w:tcPr>
            <w:tcW w:w="1520" w:type="dxa"/>
            <w:vAlign w:val="bottom"/>
            <w:gridSpan w:val="3"/>
          </w:tcPr>
          <w:p>
            <w:pPr>
              <w:ind w:left="400"/>
              <w:spacing w:after="0"/>
              <w:rPr>
                <w:sz w:val="20"/>
                <w:szCs w:val="20"/>
                <w:color w:val="auto"/>
              </w:rPr>
            </w:pPr>
            <w:r>
              <w:rPr>
                <w:rFonts w:ascii="Arial" w:cs="Arial" w:eastAsia="Arial" w:hAnsi="Arial"/>
                <w:sz w:val="18"/>
                <w:szCs w:val="18"/>
                <w:b w:val="1"/>
                <w:bCs w:val="1"/>
                <w:color w:val="auto"/>
              </w:rPr>
              <w:t>Country</w:t>
            </w:r>
          </w:p>
        </w:tc>
        <w:tc>
          <w:tcPr>
            <w:tcW w:w="220" w:type="dxa"/>
            <w:vAlign w:val="bottom"/>
          </w:tcPr>
          <w:p>
            <w:pPr>
              <w:spacing w:after="0"/>
              <w:rPr>
                <w:sz w:val="18"/>
                <w:szCs w:val="18"/>
                <w:color w:val="auto"/>
              </w:rPr>
            </w:pPr>
          </w:p>
        </w:tc>
        <w:tc>
          <w:tcPr>
            <w:tcW w:w="6260" w:type="dxa"/>
            <w:vAlign w:val="bottom"/>
            <w:gridSpan w:val="4"/>
          </w:tcPr>
          <w:p>
            <w:pPr>
              <w:ind w:left="360"/>
              <w:spacing w:after="0"/>
              <w:rPr>
                <w:sz w:val="20"/>
                <w:szCs w:val="20"/>
                <w:color w:val="auto"/>
              </w:rPr>
            </w:pPr>
            <w:r>
              <w:rPr>
                <w:rFonts w:ascii="Arial" w:cs="Arial" w:eastAsia="Arial" w:hAnsi="Arial"/>
                <w:sz w:val="18"/>
                <w:szCs w:val="18"/>
                <w:b w:val="1"/>
                <w:bCs w:val="1"/>
                <w:color w:val="auto"/>
              </w:rPr>
              <w:t>Ownership and Voting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6"/>
              </w:rPr>
              <w:t>Percentage</w:t>
            </w:r>
          </w:p>
        </w:tc>
        <w:tc>
          <w:tcPr>
            <w:tcW w:w="6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SERD</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France</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33.85%</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Flogiston</w:t>
            </w:r>
          </w:p>
        </w:tc>
        <w:tc>
          <w:tcPr>
            <w:tcW w:w="1520" w:type="dxa"/>
            <w:vAlign w:val="bottom"/>
            <w:gridSpan w:val="3"/>
          </w:tcPr>
          <w:p>
            <w:pPr>
              <w:ind w:left="400"/>
              <w:spacing w:after="0"/>
              <w:rPr>
                <w:sz w:val="20"/>
                <w:szCs w:val="20"/>
                <w:color w:val="auto"/>
              </w:rPr>
            </w:pPr>
            <w:r>
              <w:rPr>
                <w:rFonts w:ascii="Arial" w:cs="Arial" w:eastAsia="Arial" w:hAnsi="Arial"/>
                <w:sz w:val="18"/>
                <w:szCs w:val="18"/>
                <w:color w:val="auto"/>
              </w:rPr>
              <w:t>Hungary</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33.00%</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Uromgas</w:t>
            </w:r>
          </w:p>
        </w:tc>
        <w:tc>
          <w:tcPr>
            <w:tcW w:w="1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Hungary</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38.68%</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Maghreb Compteurs</w:t>
            </w:r>
          </w:p>
        </w:tc>
        <w:tc>
          <w:tcPr>
            <w:tcW w:w="940" w:type="dxa"/>
            <w:vAlign w:val="bottom"/>
          </w:tcPr>
          <w:p>
            <w:pPr>
              <w:ind w:left="400"/>
              <w:spacing w:after="0"/>
              <w:rPr>
                <w:sz w:val="20"/>
                <w:szCs w:val="20"/>
                <w:color w:val="auto"/>
              </w:rPr>
            </w:pPr>
            <w:r>
              <w:rPr>
                <w:rFonts w:ascii="Arial" w:cs="Arial" w:eastAsia="Arial" w:hAnsi="Arial"/>
                <w:sz w:val="18"/>
                <w:szCs w:val="18"/>
                <w:color w:val="auto"/>
                <w:w w:val="89"/>
              </w:rPr>
              <w:t>Tunisia</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36.35%</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5"/>
          </w:tcPr>
          <w:p>
            <w:pPr>
              <w:ind w:left="40"/>
              <w:spacing w:after="0"/>
              <w:rPr>
                <w:sz w:val="20"/>
                <w:szCs w:val="20"/>
                <w:color w:val="auto"/>
              </w:rPr>
            </w:pPr>
            <w:r>
              <w:rPr>
                <w:rFonts w:ascii="Arial" w:cs="Arial" w:eastAsia="Arial" w:hAnsi="Arial"/>
                <w:sz w:val="18"/>
                <w:szCs w:val="18"/>
                <w:b w:val="1"/>
                <w:bCs w:val="1"/>
                <w:color w:val="auto"/>
              </w:rPr>
              <w:t>Equity in earnings for the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At December 31,</w:t>
            </w:r>
          </w:p>
        </w:tc>
        <w:tc>
          <w:tcPr>
            <w:tcW w:w="220" w:type="dxa"/>
            <w:vAlign w:val="bottom"/>
          </w:tcPr>
          <w:p>
            <w:pPr>
              <w:spacing w:after="0"/>
              <w:rPr>
                <w:sz w:val="18"/>
                <w:szCs w:val="18"/>
                <w:color w:val="auto"/>
              </w:rPr>
            </w:pPr>
          </w:p>
        </w:tc>
        <w:tc>
          <w:tcPr>
            <w:tcW w:w="6260" w:type="dxa"/>
            <w:vAlign w:val="bottom"/>
            <w:gridSpan w:val="4"/>
          </w:tcPr>
          <w:p>
            <w:pPr>
              <w:ind w:left="200"/>
              <w:spacing w:after="0"/>
              <w:rPr>
                <w:sz w:val="20"/>
                <w:szCs w:val="20"/>
                <w:color w:val="auto"/>
              </w:rPr>
            </w:pPr>
            <w:r>
              <w:rPr>
                <w:rFonts w:ascii="Arial" w:cs="Arial" w:eastAsia="Arial" w:hAnsi="Arial"/>
                <w:sz w:val="18"/>
                <w:szCs w:val="18"/>
                <w:b w:val="1"/>
                <w:bCs w:val="1"/>
                <w:color w:val="auto"/>
              </w:rPr>
              <w:t>ended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w w:val="84"/>
              </w:rPr>
              <w:t>2005</w:t>
            </w:r>
          </w:p>
        </w:tc>
        <w:tc>
          <w:tcPr>
            <w:tcW w:w="20" w:type="dxa"/>
            <w:vAlign w:val="bottom"/>
          </w:tcPr>
          <w:p>
            <w:pPr>
              <w:spacing w:after="0"/>
              <w:rPr>
                <w:sz w:val="20"/>
                <w:szCs w:val="20"/>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2004</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w:t>
            </w: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w w:val="80"/>
              </w:rPr>
              <w:t>thousands)</w:t>
            </w:r>
          </w:p>
        </w:tc>
        <w:tc>
          <w:tcPr>
            <w:tcW w:w="600" w:type="dxa"/>
            <w:vAlign w:val="bottom"/>
            <w:tcBorders>
              <w:top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SERD</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2,352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Flogiston</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344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Uromgas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Maghreb Compteurs</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4"/>
                <w:szCs w:val="14"/>
                <w:color w:val="auto"/>
              </w:rPr>
              <w:t>20</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both"/>
        <w:spacing w:after="0" w:line="308" w:lineRule="auto"/>
        <w:rPr>
          <w:sz w:val="20"/>
          <w:szCs w:val="20"/>
          <w:color w:val="auto"/>
        </w:rPr>
      </w:pPr>
      <w:r>
        <w:rPr>
          <w:rFonts w:ascii="Arial" w:cs="Arial" w:eastAsia="Arial" w:hAnsi="Arial"/>
          <w:sz w:val="17"/>
          <w:szCs w:val="17"/>
          <w:color w:val="auto"/>
        </w:rPr>
        <w:t>The Company has an option for SERD to repurchase the Company’s shares in SERD at cost in 2009. The Company has not provided any guarantees or pledges on behalf of these investees. During 2006, the Company sold its investment in Uromgas for a total consideration of € 0.4 million.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investments in three companies in which the ownership and voting percentages are each less than 20%, and which the Company does not exercise significant influence. As such, these investments are accounted for under the cost method of accounting.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rPr>
              <w:t>Name of the Company</w:t>
            </w:r>
          </w:p>
        </w:tc>
        <w:tc>
          <w:tcPr>
            <w:tcW w:w="1700" w:type="dxa"/>
            <w:vAlign w:val="bottom"/>
          </w:tcPr>
          <w:p>
            <w:pPr>
              <w:ind w:left="560"/>
              <w:spacing w:after="0"/>
              <w:rPr>
                <w:sz w:val="20"/>
                <w:szCs w:val="20"/>
                <w:color w:val="auto"/>
              </w:rPr>
            </w:pPr>
            <w:r>
              <w:rPr>
                <w:rFonts w:ascii="Arial" w:cs="Arial" w:eastAsia="Arial" w:hAnsi="Arial"/>
                <w:sz w:val="18"/>
                <w:szCs w:val="18"/>
                <w:b w:val="1"/>
                <w:bCs w:val="1"/>
                <w:color w:val="auto"/>
              </w:rPr>
              <w:t>Country</w:t>
            </w:r>
          </w:p>
        </w:tc>
        <w:tc>
          <w:tcPr>
            <w:tcW w:w="238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Ownership and Voting</w:t>
            </w:r>
          </w:p>
        </w:tc>
      </w:tr>
      <w:tr>
        <w:trPr>
          <w:trHeight w:val="234"/>
        </w:trPr>
        <w:tc>
          <w:tcPr>
            <w:tcW w:w="3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80" w:type="dxa"/>
            <w:vAlign w:val="bottom"/>
          </w:tcPr>
          <w:p>
            <w:pPr>
              <w:jc w:val="center"/>
              <w:ind w:left="21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Abfar Industrial Corporation</w:t>
            </w:r>
          </w:p>
        </w:tc>
        <w:tc>
          <w:tcPr>
            <w:tcW w:w="1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Iran</w:t>
            </w:r>
          </w:p>
        </w:tc>
        <w:tc>
          <w:tcPr>
            <w:tcW w:w="23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1"/>
              </w:rPr>
              <w:t>10.00%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Sharkatesahami Kontorsazi SKI</w:t>
            </w:r>
          </w:p>
        </w:tc>
        <w:tc>
          <w:tcPr>
            <w:tcW w:w="1700" w:type="dxa"/>
            <w:vAlign w:val="bottom"/>
          </w:tcPr>
          <w:p>
            <w:pPr>
              <w:ind w:left="560"/>
              <w:spacing w:after="0"/>
              <w:rPr>
                <w:sz w:val="20"/>
                <w:szCs w:val="20"/>
                <w:color w:val="auto"/>
              </w:rPr>
            </w:pPr>
            <w:r>
              <w:rPr>
                <w:rFonts w:ascii="Arial" w:cs="Arial" w:eastAsia="Arial" w:hAnsi="Arial"/>
                <w:sz w:val="18"/>
                <w:szCs w:val="18"/>
                <w:color w:val="auto"/>
              </w:rPr>
              <w:t>Iran</w:t>
            </w:r>
          </w:p>
        </w:tc>
        <w:tc>
          <w:tcPr>
            <w:tcW w:w="2380" w:type="dxa"/>
            <w:vAlign w:val="bottom"/>
          </w:tcPr>
          <w:p>
            <w:pPr>
              <w:jc w:val="center"/>
              <w:ind w:left="250"/>
              <w:spacing w:after="0"/>
              <w:rPr>
                <w:sz w:val="20"/>
                <w:szCs w:val="20"/>
                <w:color w:val="auto"/>
              </w:rPr>
            </w:pPr>
            <w:r>
              <w:rPr>
                <w:rFonts w:ascii="Arial" w:cs="Arial" w:eastAsia="Arial" w:hAnsi="Arial"/>
                <w:sz w:val="18"/>
                <w:szCs w:val="18"/>
                <w:color w:val="auto"/>
                <w:w w:val="93"/>
              </w:rPr>
              <w:t>8.00%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Societe Marocaine des Compteurs Vincent SA</w:t>
            </w:r>
          </w:p>
        </w:tc>
        <w:tc>
          <w:tcPr>
            <w:tcW w:w="1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Morocco</w:t>
            </w:r>
          </w:p>
        </w:tc>
        <w:tc>
          <w:tcPr>
            <w:tcW w:w="23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1"/>
              </w:rPr>
              <w:t>12.00%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total of the investment in these companies is recorded as a long-term investment on the Consolidated Balance Sheet at December 31, 2006.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00" w:type="dxa"/>
            <w:vAlign w:val="bottom"/>
            <w:gridSpan w:val="4"/>
          </w:tcPr>
          <w:p>
            <w:pPr>
              <w:ind w:left="100"/>
              <w:spacing w:after="0"/>
              <w:rPr>
                <w:sz w:val="20"/>
                <w:szCs w:val="20"/>
                <w:color w:val="auto"/>
              </w:rPr>
            </w:pPr>
            <w:r>
              <w:rPr>
                <w:rFonts w:ascii="Arial" w:cs="Arial" w:eastAsia="Arial" w:hAnsi="Arial"/>
                <w:sz w:val="18"/>
                <w:szCs w:val="18"/>
                <w:b w:val="1"/>
                <w:bCs w:val="1"/>
                <w:color w:val="auto"/>
                <w:w w:val="92"/>
              </w:rPr>
              <w:t>Earnings received for the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At December 31,</w:t>
            </w:r>
          </w:p>
        </w:tc>
        <w:tc>
          <w:tcPr>
            <w:tcW w:w="240" w:type="dxa"/>
            <w:vAlign w:val="bottom"/>
          </w:tcPr>
          <w:p>
            <w:pPr>
              <w:spacing w:after="0"/>
              <w:rPr>
                <w:sz w:val="18"/>
                <w:szCs w:val="18"/>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b w:val="1"/>
                <w:bCs w:val="1"/>
                <w:color w:val="auto"/>
              </w:rPr>
              <w:t>ended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2005</w:t>
            </w:r>
          </w:p>
        </w:tc>
        <w:tc>
          <w:tcPr>
            <w:tcW w:w="1120" w:type="dxa"/>
            <w:vAlign w:val="bottom"/>
            <w:gridSpan w:val="2"/>
          </w:tcPr>
          <w:p>
            <w:pPr>
              <w:ind w:left="440"/>
              <w:spacing w:after="0"/>
              <w:rPr>
                <w:sz w:val="20"/>
                <w:szCs w:val="20"/>
                <w:color w:val="auto"/>
              </w:rPr>
            </w:pPr>
            <w:r>
              <w:rPr>
                <w:rFonts w:ascii="Arial" w:cs="Arial" w:eastAsia="Arial" w:hAnsi="Arial"/>
                <w:sz w:val="18"/>
                <w:szCs w:val="18"/>
                <w:b w:val="1"/>
                <w:bCs w:val="1"/>
                <w:color w:val="auto"/>
              </w:rPr>
              <w:t>2006</w:t>
            </w: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2005</w:t>
            </w: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w w:val="81"/>
              </w:rPr>
              <w:t>(In</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8"/>
              </w:rPr>
              <w:t>thousands)</w:t>
            </w:r>
          </w:p>
        </w:tc>
        <w:tc>
          <w:tcPr>
            <w:tcW w:w="6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Abfar Industrial Corporation</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Sharkatesahami Kontorsazi SKI</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Societe Marocaine des Compteurs Vincent SA</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274</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7"/>
          <w:szCs w:val="17"/>
          <w:b w:val="1"/>
          <w:bCs w:val="1"/>
          <w:u w:val="single" w:color="auto"/>
          <w:color w:val="auto"/>
        </w:rPr>
        <w:t>RELATED PARTIES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per contract, dated November 1, 2005, between the Company and AMS Industries S.A., an investment vehicle of one of Actaris’ shareholders, AMS Industries S.A. was paid € 1.3 million in 2006 for strategic consulting services rendered including advice regarding reparation of projected development plans, long-term market positioning, international development, external growth strategy including advice on acquisition projects that could occur.</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25.</w:t>
      </w:r>
      <w:r>
        <w:rPr>
          <w:sz w:val="20"/>
          <w:szCs w:val="20"/>
          <w:color w:val="auto"/>
        </w:rPr>
        <w:tab/>
      </w:r>
      <w:r>
        <w:rPr>
          <w:rFonts w:ascii="Arial" w:cs="Arial" w:eastAsia="Arial" w:hAnsi="Arial"/>
          <w:sz w:val="18"/>
          <w:szCs w:val="18"/>
          <w:b w:val="1"/>
          <w:bCs w:val="1"/>
          <w:u w:val="single" w:color="auto"/>
          <w:color w:val="auto"/>
        </w:rPr>
        <w:t>NEW ACCOUNTING PRONOUNCEMENTS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2006, the Financial Accounting Standards Board (FASB) issued FIN 48 - an interpretation of SFAS 109 - to clarify the accounting for uncertainty in income tax recognized in financial statements in accordance with SFAS 109. This interpretation prescribes a recognition threshold (50% likely to be realized upon ultimate settlement) for the financial statement recognition. FIN 48 is effective for fiscal years beginning after December 15, 2006. The Company has not yet elected for FIN 48 but does not expect its adoption to have material effect on its 2007 consolidated financial statements.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2006, the SEC released SAB 108, Considering the Effects of Prior Year Misstatements when Quantifying Misstatements in Current Year Financial Statements (SAB 108), regarding the process of quantifying the financial statement effects of misstatements, applying both techniques “rollover” and “iron curtain”, and specifically, how the effects of prior year uncorrected errors must be considered in quantifying misstatements in the current year financial statements. SAB 108 is effective for years ending after November 15, 2006. The adoption of SAB No. 108 by our Company in 2006 did not have any impact on our consolidated financial statements.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2006, the FASB issued SFAS No. 157, "Fair Value Measurements." This Statement defines fair value, establishes a framework for measuring fair value, and expands disclosures about fair value measurements. Where applicable, this Statement simplifies and codifies related guidance within generally accepted accounting principles (GAAP).</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Statement shall be effective for financial statements issued for fiscal years beginning after November 15, 2007. We believe that the adoption of SFAS No. 157 will not have a material impact on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both"/>
        <w:spacing w:after="0" w:line="291" w:lineRule="auto"/>
        <w:rPr>
          <w:sz w:val="20"/>
          <w:szCs w:val="20"/>
          <w:color w:val="auto"/>
        </w:rPr>
      </w:pPr>
      <w:r>
        <w:rPr>
          <w:rFonts w:ascii="Arial" w:cs="Arial" w:eastAsia="Arial" w:hAnsi="Arial"/>
          <w:sz w:val="16"/>
          <w:szCs w:val="16"/>
          <w:color w:val="auto"/>
        </w:rPr>
        <w:t>In September 2006, the FASB issued SFAS 158 “Employers’ accounting for defined Benefit Pension and Other Postretirement Plans “amending FASB Statements 87, 88, 106 and 132. This Statement improves financial reporting by requiring an employer to recognize the over funded or under funded status of a defined benefit postretirement plan (other than a multiemployer plan) as an asset or liability in its statement of financial position and to recognize changes in that funded status in the year in which the changes occur through other comprehensive income. An employer without publicly traded equity securities shall initially apply the requirement to recognize the funded status of a benefit plan and the disclosure requirements as of the end of the fiscal year ending after June 15, 2007. If 2006 assumptions remain constant, the impact on the 2007 Other Comprehensive Income of our consolidated financial statements for adopting SFAS 158 will be a benefit of € 1.2 million. As a result of the acquisition by Itron Inc. (note 23) we will adopt SFAS No. 158 as of June 2007.</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Liabilities—Including an amendment of FASB Statement No. 115." This Statement permits all entities to choose, at specified election dates, to measure eligible items at fair value (the “fair value option”). A business entity shall report unrealized gains and losses on items for which the fair value option has been elected in earnings (or another performance indicator if the business entity does not report earnings) at each subsequent reporting date. Upfront costs and fees related to items for which the fair value option is elected shall be recognized in earnings as incurred and not deferred. SFAS No. 159 shall be effective as of the beginning of each reporting entity’s first fiscal year that begins after November 15, 2007. We are currently evaluating the impact of the adoption of SFAS No. 159 on our consolidated financial statements.</w:t>
      </w: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26.</w:t>
      </w:r>
      <w:r>
        <w:rPr>
          <w:sz w:val="20"/>
          <w:szCs w:val="20"/>
          <w:color w:val="auto"/>
        </w:rPr>
        <w:tab/>
      </w:r>
      <w:r>
        <w:rPr>
          <w:rFonts w:ascii="Arial" w:cs="Arial" w:eastAsia="Arial" w:hAnsi="Arial"/>
          <w:sz w:val="17"/>
          <w:szCs w:val="17"/>
          <w:b w:val="1"/>
          <w:bCs w:val="1"/>
          <w:u w:val="single" w:color="auto"/>
          <w:color w:val="auto"/>
        </w:rPr>
        <w:t>SUBSEQUENT EVENTS (UNAUDITED)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25, 2007, Itron Inc. and the Company entered into a Stock Purchase Agreement which will result in each stockholder of the Company selling, assigning, transferring, conveying or delivering to Itron, Inc. all of the outstanding residual equity of the Company. The parties closed the transaction on April 18, 2007. The total purchase price of the transaction was € 1.2 billion. In conjunction with the transaction, all amounts owing under the Senior Credit Facility (Note 12), the shareholder convertible notes (Note 18), and Mezzanine Credit Facility (Note 13), were repaid in full and cancelled.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Itron, Inc. is a multinational corporation incorporated in the State of Washington, USA, which is listed on the NASDAQ. In 2006, Itron had global revenues of US$ 644 million. Itron is a technology provider to the electricity, gas, water and heat industries. The three main segments of Itron's business are: (i) meter data collection (handheld computer-based meter data collection systems) and Automatic Meter Reading (AMR); (ii) the supply and manufacture of electricity meters (mainly in the USA); and (iii) software solutions (software and services for electricity, gas, water and heat information management). The focus of each of Itron's business segments is in the United States.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21, 2007 the Company received a letter from the tax administration confirming their claim of € 6.6 million regarding the rejection of tax losses carried forward. Based on independent tax advice, we maintain our position and did not record any additional tax liability.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Actaris Metering Systems SA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2007 and December 31, 2006 and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b w:val="1"/>
          <w:bCs w:val="1"/>
          <w:color w:val="auto"/>
        </w:rPr>
        <w:t>ACTARIS METERING SYSTEMS SA AND SUBSIDIARIES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6560" w:type="dxa"/>
            <w:vAlign w:val="bottom"/>
          </w:tcPr>
          <w:p>
            <w:pPr>
              <w:ind w:left="560"/>
              <w:spacing w:after="0"/>
              <w:rPr>
                <w:sz w:val="20"/>
                <w:szCs w:val="20"/>
                <w:color w:val="auto"/>
              </w:rPr>
            </w:pPr>
            <w:r>
              <w:rPr>
                <w:rFonts w:ascii="Arial" w:cs="Arial" w:eastAsia="Arial" w:hAnsi="Arial"/>
                <w:sz w:val="18"/>
                <w:szCs w:val="18"/>
                <w:b w:val="1"/>
                <w:bCs w:val="1"/>
                <w:color w:val="auto"/>
              </w:rPr>
              <w:t>(In € thousands)</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560"/>
              <w:spacing w:after="0"/>
              <w:rPr>
                <w:sz w:val="20"/>
                <w:szCs w:val="20"/>
                <w:color w:val="auto"/>
              </w:rPr>
            </w:pPr>
            <w:r>
              <w:rPr>
                <w:rFonts w:ascii="Arial" w:cs="Arial" w:eastAsia="Arial" w:hAnsi="Arial"/>
                <w:sz w:val="18"/>
                <w:szCs w:val="18"/>
                <w:b w:val="1"/>
                <w:bCs w:val="1"/>
                <w:color w:val="auto"/>
              </w:rPr>
              <w:t>(unaudited)</w:t>
            </w: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6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216,324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Cost of revenues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149,304</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560"/>
              <w:spacing w:after="0"/>
              <w:rPr>
                <w:sz w:val="20"/>
                <w:szCs w:val="20"/>
                <w:color w:val="auto"/>
              </w:rPr>
            </w:pPr>
            <w:r>
              <w:rPr>
                <w:rFonts w:ascii="Arial" w:cs="Arial" w:eastAsia="Arial" w:hAnsi="Arial"/>
                <w:sz w:val="18"/>
                <w:szCs w:val="18"/>
                <w:color w:val="auto"/>
              </w:rPr>
              <w:t>Research &amp; development</w:t>
            </w:r>
          </w:p>
        </w:tc>
        <w:tc>
          <w:tcPr>
            <w:tcW w:w="1100" w:type="dxa"/>
            <w:vAlign w:val="bottom"/>
          </w:tcPr>
          <w:p>
            <w:pPr>
              <w:jc w:val="right"/>
              <w:spacing w:after="0"/>
              <w:rPr>
                <w:sz w:val="20"/>
                <w:szCs w:val="20"/>
                <w:color w:val="auto"/>
              </w:rPr>
            </w:pPr>
            <w:r>
              <w:rPr>
                <w:rFonts w:ascii="Arial" w:cs="Arial" w:eastAsia="Arial" w:hAnsi="Arial"/>
                <w:sz w:val="18"/>
                <w:szCs w:val="18"/>
                <w:color w:val="auto"/>
              </w:rPr>
              <w:t>6,697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Sales and marketing</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16,491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560"/>
              <w:spacing w:after="0"/>
              <w:rPr>
                <w:sz w:val="20"/>
                <w:szCs w:val="20"/>
                <w:color w:val="auto"/>
              </w:rPr>
            </w:pPr>
            <w:r>
              <w:rPr>
                <w:rFonts w:ascii="Arial" w:cs="Arial" w:eastAsia="Arial" w:hAnsi="Arial"/>
                <w:sz w:val="18"/>
                <w:szCs w:val="18"/>
                <w:color w:val="auto"/>
              </w:rPr>
              <w:t>General and administrative</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12,946</w:t>
            </w:r>
          </w:p>
        </w:tc>
        <w:tc>
          <w:tcPr>
            <w:tcW w:w="1120" w:type="dxa"/>
            <w:vAlign w:val="bottom"/>
          </w:tcPr>
          <w:p>
            <w:pPr>
              <w:jc w:val="right"/>
              <w:spacing w:after="0"/>
              <w:rPr>
                <w:sz w:val="20"/>
                <w:szCs w:val="20"/>
                <w:color w:val="auto"/>
              </w:rPr>
            </w:pPr>
            <w:r>
              <w:rPr>
                <w:rFonts w:ascii="Arial" w:cs="Arial" w:eastAsia="Arial" w:hAnsi="Arial"/>
                <w:sz w:val="18"/>
                <w:szCs w:val="18"/>
                <w:color w:val="auto"/>
              </w:rPr>
              <w:t>11,388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560"/>
              <w:spacing w:after="0"/>
              <w:rPr>
                <w:sz w:val="20"/>
                <w:szCs w:val="20"/>
                <w:color w:val="auto"/>
              </w:rPr>
            </w:pPr>
            <w:r>
              <w:rPr>
                <w:rFonts w:ascii="Arial" w:cs="Arial" w:eastAsia="Arial" w:hAnsi="Arial"/>
                <w:sz w:val="18"/>
                <w:szCs w:val="18"/>
                <w:color w:val="auto"/>
              </w:rPr>
              <w:t>Restructuring</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Total operating expenses</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40,934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26,086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income (expense)</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560"/>
              <w:spacing w:after="0"/>
              <w:rPr>
                <w:sz w:val="20"/>
                <w:szCs w:val="20"/>
                <w:color w:val="auto"/>
              </w:rPr>
            </w:pPr>
            <w:r>
              <w:rPr>
                <w:rFonts w:ascii="Arial" w:cs="Arial" w:eastAsia="Arial" w:hAnsi="Arial"/>
                <w:sz w:val="18"/>
                <w:szCs w:val="18"/>
                <w:color w:val="auto"/>
              </w:rPr>
              <w:t>Interest expense (net)</w:t>
            </w:r>
          </w:p>
        </w:tc>
        <w:tc>
          <w:tcPr>
            <w:tcW w:w="1100" w:type="dxa"/>
            <w:vAlign w:val="bottom"/>
          </w:tcPr>
          <w:p>
            <w:pPr>
              <w:jc w:val="right"/>
              <w:spacing w:after="0"/>
              <w:rPr>
                <w:sz w:val="20"/>
                <w:szCs w:val="20"/>
                <w:color w:val="auto"/>
              </w:rPr>
            </w:pPr>
            <w:r>
              <w:rPr>
                <w:rFonts w:ascii="Arial" w:cs="Arial" w:eastAsia="Arial" w:hAnsi="Arial"/>
                <w:sz w:val="18"/>
                <w:szCs w:val="18"/>
                <w:color w:val="auto"/>
              </w:rPr>
              <w:t>(11,676)</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financial expense (net)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top w:val="single" w:sz="8" w:color="CCEEFF"/>
            </w:tcBorders>
          </w:tcPr>
          <w:p>
            <w:pPr>
              <w:ind w:left="1140"/>
              <w:spacing w:after="0"/>
              <w:rPr>
                <w:sz w:val="20"/>
                <w:szCs w:val="20"/>
                <w:color w:val="auto"/>
              </w:rPr>
            </w:pPr>
            <w:r>
              <w:rPr>
                <w:rFonts w:ascii="Arial" w:cs="Arial" w:eastAsia="Arial" w:hAnsi="Arial"/>
                <w:sz w:val="18"/>
                <w:szCs w:val="18"/>
                <w:color w:val="auto"/>
              </w:rPr>
              <w:t>Total other financial income (expense)</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(11,457)</w:t>
            </w: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(loss) before income taxes and minority interest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14,629</w:t>
            </w:r>
          </w:p>
        </w:tc>
        <w:tc>
          <w:tcPr>
            <w:tcW w:w="1120" w:type="dxa"/>
            <w:vAlign w:val="bottom"/>
          </w:tcPr>
          <w:p>
            <w:pPr>
              <w:jc w:val="right"/>
              <w:spacing w:after="0"/>
              <w:rPr>
                <w:sz w:val="20"/>
                <w:szCs w:val="20"/>
                <w:color w:val="auto"/>
              </w:rPr>
            </w:pPr>
            <w:r>
              <w:rPr>
                <w:rFonts w:ascii="Arial" w:cs="Arial" w:eastAsia="Arial" w:hAnsi="Arial"/>
                <w:sz w:val="18"/>
                <w:szCs w:val="18"/>
                <w:color w:val="auto"/>
              </w:rPr>
              <w:t>9,901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100" w:type="dxa"/>
            <w:vAlign w:val="bottom"/>
          </w:tcPr>
          <w:p>
            <w:pPr>
              <w:jc w:val="right"/>
              <w:spacing w:after="0"/>
              <w:rPr>
                <w:sz w:val="20"/>
                <w:szCs w:val="20"/>
                <w:color w:val="auto"/>
              </w:rPr>
            </w:pPr>
            <w:r>
              <w:rPr>
                <w:rFonts w:ascii="Arial" w:cs="Arial" w:eastAsia="Arial" w:hAnsi="Arial"/>
                <w:sz w:val="18"/>
                <w:szCs w:val="18"/>
                <w:color w:val="auto"/>
              </w:rPr>
              <w:t>(5,205)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ACTARIS METERING SYSTEMS SA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b w:val="1"/>
                <w:bCs w:val="1"/>
                <w:color w:val="auto"/>
              </w:rPr>
              <w:t>(In € thousands)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b w:val="1"/>
                <w:bCs w:val="1"/>
                <w:color w:val="auto"/>
              </w:rPr>
              <w:t>(unaudited)</w:t>
            </w: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At March 31,</w:t>
            </w: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40"/>
              <w:spacing w:after="0"/>
              <w:rPr>
                <w:sz w:val="20"/>
                <w:szCs w:val="20"/>
                <w:color w:val="auto"/>
              </w:rPr>
            </w:pPr>
            <w:r>
              <w:rPr>
                <w:rFonts w:ascii="Arial" w:cs="Arial" w:eastAsia="Arial" w:hAnsi="Arial"/>
                <w:sz w:val="18"/>
                <w:szCs w:val="18"/>
                <w:b w:val="1"/>
                <w:bCs w:val="1"/>
                <w:color w:val="auto"/>
              </w:rPr>
              <w:t>ASSETS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33,218</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color w:val="auto"/>
              </w:rPr>
              <w:t>Accounts receivable, net</w:t>
            </w:r>
          </w:p>
        </w:tc>
        <w:tc>
          <w:tcPr>
            <w:tcW w:w="1360" w:type="dxa"/>
            <w:vAlign w:val="bottom"/>
          </w:tcPr>
          <w:p>
            <w:pPr>
              <w:jc w:val="right"/>
              <w:spacing w:after="0"/>
              <w:rPr>
                <w:sz w:val="20"/>
                <w:szCs w:val="20"/>
                <w:color w:val="auto"/>
              </w:rPr>
            </w:pPr>
            <w:r>
              <w:rPr>
                <w:rFonts w:ascii="Arial" w:cs="Arial" w:eastAsia="Arial" w:hAnsi="Arial"/>
                <w:sz w:val="18"/>
                <w:szCs w:val="18"/>
                <w:color w:val="auto"/>
              </w:rPr>
              <w:t>151,186</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 net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84,589</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color w:val="auto"/>
              </w:rPr>
              <w:t>Current portion of deferred income tax</w:t>
            </w:r>
          </w:p>
        </w:tc>
        <w:tc>
          <w:tcPr>
            <w:tcW w:w="1360" w:type="dxa"/>
            <w:vAlign w:val="bottom"/>
          </w:tcPr>
          <w:p>
            <w:pPr>
              <w:jc w:val="right"/>
              <w:spacing w:after="0"/>
              <w:rPr>
                <w:sz w:val="20"/>
                <w:szCs w:val="20"/>
                <w:color w:val="auto"/>
              </w:rPr>
            </w:pPr>
            <w:r>
              <w:rPr>
                <w:rFonts w:ascii="Arial" w:cs="Arial" w:eastAsia="Arial" w:hAnsi="Arial"/>
                <w:sz w:val="18"/>
                <w:szCs w:val="18"/>
                <w:color w:val="auto"/>
              </w:rPr>
              <w:t>4,565</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25,364</w:t>
            </w:r>
          </w:p>
        </w:tc>
        <w:tc>
          <w:tcPr>
            <w:tcW w:w="3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40"/>
              <w:spacing w:after="0"/>
              <w:rPr>
                <w:sz w:val="20"/>
                <w:szCs w:val="20"/>
                <w:color w:val="auto"/>
              </w:rPr>
            </w:pPr>
            <w:r>
              <w:rPr>
                <w:rFonts w:ascii="Arial" w:cs="Arial" w:eastAsia="Arial" w:hAnsi="Arial"/>
                <w:sz w:val="18"/>
                <w:szCs w:val="18"/>
                <w:color w:val="auto"/>
              </w:rPr>
              <w:t>Total current assets</w:t>
            </w:r>
          </w:p>
        </w:tc>
        <w:tc>
          <w:tcPr>
            <w:tcW w:w="1360" w:type="dxa"/>
            <w:vAlign w:val="bottom"/>
          </w:tcPr>
          <w:p>
            <w:pPr>
              <w:jc w:val="right"/>
              <w:spacing w:after="0"/>
              <w:rPr>
                <w:sz w:val="20"/>
                <w:szCs w:val="20"/>
                <w:color w:val="auto"/>
              </w:rPr>
            </w:pPr>
            <w:r>
              <w:rPr>
                <w:rFonts w:ascii="Arial" w:cs="Arial" w:eastAsia="Arial" w:hAnsi="Arial"/>
                <w:sz w:val="18"/>
                <w:szCs w:val="18"/>
                <w:color w:val="auto"/>
              </w:rPr>
              <w:t>298,922</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Long-term investments</w:t>
            </w:r>
          </w:p>
        </w:tc>
        <w:tc>
          <w:tcPr>
            <w:tcW w:w="1360" w:type="dxa"/>
            <w:vAlign w:val="bottom"/>
          </w:tcPr>
          <w:p>
            <w:pPr>
              <w:jc w:val="right"/>
              <w:spacing w:after="0"/>
              <w:rPr>
                <w:sz w:val="20"/>
                <w:szCs w:val="20"/>
                <w:color w:val="auto"/>
              </w:rPr>
            </w:pPr>
            <w:r>
              <w:rPr>
                <w:rFonts w:ascii="Arial" w:cs="Arial" w:eastAsia="Arial" w:hAnsi="Arial"/>
                <w:sz w:val="18"/>
                <w:szCs w:val="18"/>
                <w:color w:val="auto"/>
              </w:rPr>
              <w:t>3,226</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144,782</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60" w:type="dxa"/>
            <w:vAlign w:val="bottom"/>
          </w:tcPr>
          <w:p>
            <w:pPr>
              <w:jc w:val="right"/>
              <w:spacing w:after="0"/>
              <w:rPr>
                <w:sz w:val="20"/>
                <w:szCs w:val="20"/>
                <w:color w:val="auto"/>
              </w:rPr>
            </w:pPr>
            <w:r>
              <w:rPr>
                <w:rFonts w:ascii="Arial" w:cs="Arial" w:eastAsia="Arial" w:hAnsi="Arial"/>
                <w:sz w:val="18"/>
                <w:szCs w:val="18"/>
                <w:color w:val="auto"/>
              </w:rPr>
              <w:t>194,162</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220,904</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Deferred income tax</w:t>
            </w:r>
          </w:p>
        </w:tc>
        <w:tc>
          <w:tcPr>
            <w:tcW w:w="1360" w:type="dxa"/>
            <w:vAlign w:val="bottom"/>
          </w:tcPr>
          <w:p>
            <w:pPr>
              <w:jc w:val="right"/>
              <w:spacing w:after="0"/>
              <w:rPr>
                <w:sz w:val="20"/>
                <w:szCs w:val="20"/>
                <w:color w:val="auto"/>
              </w:rPr>
            </w:pPr>
            <w:r>
              <w:rPr>
                <w:rFonts w:ascii="Arial" w:cs="Arial" w:eastAsia="Arial" w:hAnsi="Arial"/>
                <w:sz w:val="18"/>
                <w:szCs w:val="18"/>
                <w:color w:val="auto"/>
              </w:rPr>
              <w:t>13,876</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3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40"/>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894,335</w:t>
            </w:r>
          </w:p>
        </w:tc>
        <w:tc>
          <w:tcPr>
            <w:tcW w:w="3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LIABILITIES AND SHAREHOLDERS EQUITY</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360" w:type="dxa"/>
            <w:vAlign w:val="bottom"/>
          </w:tcPr>
          <w:p>
            <w:pPr>
              <w:jc w:val="right"/>
              <w:spacing w:after="0"/>
              <w:rPr>
                <w:sz w:val="20"/>
                <w:szCs w:val="20"/>
                <w:color w:val="auto"/>
              </w:rPr>
            </w:pPr>
            <w:r>
              <w:rPr>
                <w:rFonts w:ascii="Arial" w:cs="Arial" w:eastAsia="Arial" w:hAnsi="Arial"/>
                <w:sz w:val="18"/>
                <w:szCs w:val="18"/>
                <w:color w:val="auto"/>
              </w:rPr>
              <w:t>122,681</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33,891</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color w:val="auto"/>
              </w:rPr>
              <w:t>Wages and benefit payable</w:t>
            </w:r>
          </w:p>
        </w:tc>
        <w:tc>
          <w:tcPr>
            <w:tcW w:w="1360" w:type="dxa"/>
            <w:vAlign w:val="bottom"/>
          </w:tcPr>
          <w:p>
            <w:pPr>
              <w:jc w:val="right"/>
              <w:spacing w:after="0"/>
              <w:rPr>
                <w:sz w:val="20"/>
                <w:szCs w:val="20"/>
                <w:color w:val="auto"/>
              </w:rPr>
            </w:pPr>
            <w:r>
              <w:rPr>
                <w:rFonts w:ascii="Arial" w:cs="Arial" w:eastAsia="Arial" w:hAnsi="Arial"/>
                <w:sz w:val="18"/>
                <w:szCs w:val="18"/>
                <w:color w:val="auto"/>
              </w:rPr>
              <w:t>28,702</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 payable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color w:val="auto"/>
              </w:rPr>
              <w:t>Current portion of debt &amp; overdrafts</w:t>
            </w:r>
          </w:p>
        </w:tc>
        <w:tc>
          <w:tcPr>
            <w:tcW w:w="1360" w:type="dxa"/>
            <w:vAlign w:val="bottom"/>
          </w:tcPr>
          <w:p>
            <w:pPr>
              <w:jc w:val="right"/>
              <w:spacing w:after="0"/>
              <w:rPr>
                <w:sz w:val="20"/>
                <w:szCs w:val="20"/>
                <w:color w:val="auto"/>
              </w:rPr>
            </w:pPr>
            <w:r>
              <w:rPr>
                <w:rFonts w:ascii="Arial" w:cs="Arial" w:eastAsia="Arial" w:hAnsi="Arial"/>
                <w:sz w:val="18"/>
                <w:szCs w:val="18"/>
                <w:color w:val="auto"/>
              </w:rPr>
              <w:t>4,736</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Current portion of warranty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color w:val="auto"/>
              </w:rPr>
              <w:t>Current portion of deferred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Current portion of restructuring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600"/>
              <w:spacing w:after="0"/>
              <w:rPr>
                <w:sz w:val="20"/>
                <w:szCs w:val="20"/>
                <w:color w:val="auto"/>
              </w:rPr>
            </w:pPr>
            <w:r>
              <w:rPr>
                <w:rFonts w:ascii="Arial" w:cs="Arial" w:eastAsia="Arial" w:hAnsi="Arial"/>
                <w:sz w:val="18"/>
                <w:szCs w:val="18"/>
                <w:color w:val="auto"/>
              </w:rPr>
              <w:t>Other current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3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Total current liabilities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221,206</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356,701</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Mezzanine debt</w:t>
            </w:r>
          </w:p>
        </w:tc>
        <w:tc>
          <w:tcPr>
            <w:tcW w:w="1360" w:type="dxa"/>
            <w:vAlign w:val="bottom"/>
          </w:tcPr>
          <w:p>
            <w:pPr>
              <w:jc w:val="right"/>
              <w:spacing w:after="0"/>
              <w:rPr>
                <w:sz w:val="20"/>
                <w:szCs w:val="20"/>
                <w:color w:val="auto"/>
              </w:rPr>
            </w:pPr>
            <w:r>
              <w:rPr>
                <w:rFonts w:ascii="Arial" w:cs="Arial" w:eastAsia="Arial" w:hAnsi="Arial"/>
                <w:sz w:val="18"/>
                <w:szCs w:val="18"/>
                <w:color w:val="auto"/>
              </w:rPr>
              <w:t>110,000</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52,570</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80,261</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Restructuring</w:t>
            </w:r>
          </w:p>
        </w:tc>
        <w:tc>
          <w:tcPr>
            <w:tcW w:w="1360" w:type="dxa"/>
            <w:vAlign w:val="bottom"/>
          </w:tcPr>
          <w:p>
            <w:pPr>
              <w:jc w:val="right"/>
              <w:spacing w:after="0"/>
              <w:rPr>
                <w:sz w:val="20"/>
                <w:szCs w:val="20"/>
                <w:color w:val="auto"/>
              </w:rPr>
            </w:pPr>
            <w:r>
              <w:rPr>
                <w:rFonts w:ascii="Arial" w:cs="Arial" w:eastAsia="Arial" w:hAnsi="Arial"/>
                <w:sz w:val="18"/>
                <w:szCs w:val="18"/>
                <w:color w:val="auto"/>
              </w:rPr>
              <w:t>866</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Warranties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Contingent liabilities and other non-current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3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Total liabilities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842,755</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Shareholder convertible notes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161,817</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color w:val="auto"/>
              </w:rPr>
              <w:t>Common shares</w:t>
            </w:r>
          </w:p>
        </w:tc>
        <w:tc>
          <w:tcPr>
            <w:tcW w:w="1360" w:type="dxa"/>
            <w:vAlign w:val="bottom"/>
          </w:tcPr>
          <w:p>
            <w:pPr>
              <w:jc w:val="right"/>
              <w:spacing w:after="0"/>
              <w:rPr>
                <w:sz w:val="20"/>
                <w:szCs w:val="20"/>
                <w:color w:val="auto"/>
              </w:rPr>
            </w:pPr>
            <w:r>
              <w:rPr>
                <w:rFonts w:ascii="Arial" w:cs="Arial" w:eastAsia="Arial" w:hAnsi="Arial"/>
                <w:sz w:val="18"/>
                <w:szCs w:val="18"/>
                <w:color w:val="auto"/>
              </w:rPr>
              <w:t>1,630</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Adjustment of the carryover basis of continuing shareholders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(133,654)</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600"/>
              <w:spacing w:after="0"/>
              <w:rPr>
                <w:sz w:val="20"/>
                <w:szCs w:val="20"/>
                <w:color w:val="auto"/>
              </w:rPr>
            </w:pPr>
            <w:r>
              <w:rPr>
                <w:rFonts w:ascii="Arial" w:cs="Arial" w:eastAsia="Arial" w:hAnsi="Arial"/>
                <w:sz w:val="18"/>
                <w:szCs w:val="18"/>
                <w:color w:val="auto"/>
              </w:rPr>
              <w:t>Accumulated other comprehensive income, net</w:t>
            </w:r>
          </w:p>
        </w:tc>
        <w:tc>
          <w:tcPr>
            <w:tcW w:w="1360" w:type="dxa"/>
            <w:vAlign w:val="bottom"/>
          </w:tcPr>
          <w:p>
            <w:pPr>
              <w:jc w:val="right"/>
              <w:spacing w:after="0"/>
              <w:rPr>
                <w:sz w:val="20"/>
                <w:szCs w:val="20"/>
                <w:color w:val="auto"/>
              </w:rPr>
            </w:pPr>
            <w:r>
              <w:rPr>
                <w:rFonts w:ascii="Arial" w:cs="Arial" w:eastAsia="Arial" w:hAnsi="Arial"/>
                <w:sz w:val="18"/>
                <w:szCs w:val="18"/>
                <w:color w:val="auto"/>
              </w:rPr>
              <w:t>1,655</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Retained earnings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20,132</w:t>
            </w:r>
          </w:p>
        </w:tc>
        <w:tc>
          <w:tcPr>
            <w:tcW w:w="3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40"/>
              <w:spacing w:after="0"/>
              <w:rPr>
                <w:sz w:val="20"/>
                <w:szCs w:val="20"/>
                <w:color w:val="auto"/>
              </w:rPr>
            </w:pPr>
            <w:r>
              <w:rPr>
                <w:rFonts w:ascii="Arial" w:cs="Arial" w:eastAsia="Arial" w:hAnsi="Arial"/>
                <w:sz w:val="18"/>
                <w:szCs w:val="18"/>
                <w:color w:val="auto"/>
              </w:rPr>
              <w:t>Total shareholders' equity</w:t>
            </w:r>
          </w:p>
        </w:tc>
        <w:tc>
          <w:tcPr>
            <w:tcW w:w="1360" w:type="dxa"/>
            <w:vAlign w:val="bottom"/>
          </w:tcPr>
          <w:p>
            <w:pPr>
              <w:jc w:val="right"/>
              <w:spacing w:after="0"/>
              <w:rPr>
                <w:sz w:val="20"/>
                <w:szCs w:val="20"/>
                <w:color w:val="auto"/>
              </w:rPr>
            </w:pPr>
            <w:r>
              <w:rPr>
                <w:rFonts w:ascii="Arial" w:cs="Arial" w:eastAsia="Arial" w:hAnsi="Arial"/>
                <w:sz w:val="18"/>
                <w:szCs w:val="18"/>
                <w:color w:val="auto"/>
              </w:rPr>
              <w:t>(110,237)</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40"/>
              <w:spacing w:after="0"/>
              <w:rPr>
                <w:sz w:val="20"/>
                <w:szCs w:val="20"/>
                <w:color w:val="auto"/>
              </w:rPr>
            </w:pPr>
            <w:r>
              <w:rPr>
                <w:rFonts w:ascii="Arial" w:cs="Arial" w:eastAsia="Arial" w:hAnsi="Arial"/>
                <w:sz w:val="18"/>
                <w:szCs w:val="18"/>
                <w:color w:val="auto"/>
              </w:rPr>
              <w:t>Total liabilities and shareholders' equity</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894,335</w:t>
            </w:r>
          </w:p>
        </w:tc>
        <w:tc>
          <w:tcPr>
            <w:tcW w:w="3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0219"/>
          </w:cols>
          <w:pgMar w:left="240" w:top="364" w:right="1440" w:bottom="1440" w:gutter="0" w:footer="0" w:header="0"/>
        </w:sectPr>
      </w:pPr>
    </w:p>
    <w:p>
      <w:pPr>
        <w:spacing w:after="0" w:line="34"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ACTARIS METERING SYSTEMS SA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ind w:left="500"/>
              <w:spacing w:after="0"/>
              <w:rPr>
                <w:sz w:val="20"/>
                <w:szCs w:val="20"/>
                <w:color w:val="auto"/>
              </w:rPr>
            </w:pPr>
            <w:r>
              <w:rPr>
                <w:rFonts w:ascii="Arial" w:cs="Arial" w:eastAsia="Arial" w:hAnsi="Arial"/>
                <w:sz w:val="18"/>
                <w:szCs w:val="18"/>
                <w:b w:val="1"/>
                <w:bCs w:val="1"/>
                <w:color w:val="auto"/>
              </w:rPr>
              <w:t>(In € thousands)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00"/>
              <w:spacing w:after="0"/>
              <w:rPr>
                <w:sz w:val="20"/>
                <w:szCs w:val="20"/>
                <w:color w:val="auto"/>
              </w:rPr>
            </w:pPr>
            <w:r>
              <w:rPr>
                <w:rFonts w:ascii="Arial" w:cs="Arial" w:eastAsia="Arial" w:hAnsi="Arial"/>
                <w:sz w:val="18"/>
                <w:szCs w:val="18"/>
                <w:b w:val="1"/>
                <w:bCs w:val="1"/>
                <w:color w:val="auto"/>
              </w:rPr>
              <w:t>(unaudited)</w:t>
            </w: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Quarter ended</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Quarter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3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income (loss)</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9,416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Adjustments to reconcile net income (loss) to net</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600"/>
              <w:spacing w:after="0"/>
              <w:rPr>
                <w:sz w:val="20"/>
                <w:szCs w:val="20"/>
                <w:color w:val="auto"/>
              </w:rPr>
            </w:pPr>
            <w:r>
              <w:rPr>
                <w:rFonts w:ascii="Arial" w:cs="Arial" w:eastAsia="Arial" w:hAnsi="Arial"/>
                <w:sz w:val="18"/>
                <w:szCs w:val="18"/>
                <w:color w:val="auto"/>
              </w:rPr>
              <w:t>cash provided by operating activities: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Depreciation and amortization</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20"/>
              <w:spacing w:after="0"/>
              <w:rPr>
                <w:sz w:val="20"/>
                <w:szCs w:val="20"/>
                <w:color w:val="auto"/>
              </w:rPr>
            </w:pPr>
            <w:r>
              <w:rPr>
                <w:rFonts w:ascii="Arial" w:cs="Arial" w:eastAsia="Arial" w:hAnsi="Arial"/>
                <w:sz w:val="18"/>
                <w:szCs w:val="18"/>
                <w:color w:val="auto"/>
              </w:rPr>
              <w:t>Amortization of prepaid debt fees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144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Deferred income tax</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20"/>
              <w:spacing w:after="0"/>
              <w:rPr>
                <w:sz w:val="20"/>
                <w:szCs w:val="20"/>
                <w:color w:val="auto"/>
              </w:rPr>
            </w:pPr>
            <w:r>
              <w:rPr>
                <w:rFonts w:ascii="Arial" w:cs="Arial" w:eastAsia="Arial" w:hAnsi="Arial"/>
                <w:sz w:val="18"/>
                <w:szCs w:val="18"/>
                <w:color w:val="auto"/>
              </w:rPr>
              <w:t>Acquired in process research &amp; development</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Amortization of acquired backlog from purchase accounting</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20"/>
              <w:spacing w:after="0"/>
              <w:rPr>
                <w:sz w:val="20"/>
                <w:szCs w:val="20"/>
                <w:color w:val="auto"/>
              </w:rPr>
            </w:pPr>
            <w:r>
              <w:rPr>
                <w:rFonts w:ascii="Arial" w:cs="Arial" w:eastAsia="Arial" w:hAnsi="Arial"/>
                <w:sz w:val="18"/>
                <w:szCs w:val="18"/>
                <w:color w:val="auto"/>
              </w:rPr>
              <w:t>FIN 48 Adjustment in Other Comprehensive Income</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1,011</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Changes in operating assets and liabilities, net of</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currency translation adjustment effect:</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20"/>
              <w:spacing w:after="0"/>
              <w:rPr>
                <w:sz w:val="20"/>
                <w:szCs w:val="20"/>
                <w:color w:val="auto"/>
              </w:rPr>
            </w:pPr>
            <w:r>
              <w:rPr>
                <w:rFonts w:ascii="Arial" w:cs="Arial" w:eastAsia="Arial" w:hAnsi="Arial"/>
                <w:sz w:val="18"/>
                <w:szCs w:val="18"/>
                <w:color w:val="auto"/>
              </w:rPr>
              <w:t>Increase in accounts receivable</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(16,782)</w:t>
            </w:r>
          </w:p>
        </w:tc>
        <w:tc>
          <w:tcPr>
            <w:tcW w:w="1440" w:type="dxa"/>
            <w:vAlign w:val="bottom"/>
          </w:tcPr>
          <w:p>
            <w:pPr>
              <w:jc w:val="right"/>
              <w:spacing w:after="0"/>
              <w:rPr>
                <w:sz w:val="20"/>
                <w:szCs w:val="20"/>
                <w:color w:val="auto"/>
              </w:rPr>
            </w:pPr>
            <w:r>
              <w:rPr>
                <w:rFonts w:ascii="Arial" w:cs="Arial" w:eastAsia="Arial" w:hAnsi="Arial"/>
                <w:sz w:val="18"/>
                <w:szCs w:val="18"/>
                <w:color w:val="auto"/>
              </w:rPr>
              <w:t>(9,599)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in inventories</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20"/>
              <w:spacing w:after="0"/>
              <w:rPr>
                <w:sz w:val="20"/>
                <w:szCs w:val="20"/>
                <w:color w:val="auto"/>
              </w:rPr>
            </w:pPr>
            <w:r>
              <w:rPr>
                <w:rFonts w:ascii="Arial" w:cs="Arial" w:eastAsia="Arial" w:hAnsi="Arial"/>
                <w:sz w:val="18"/>
                <w:szCs w:val="18"/>
                <w:color w:val="auto"/>
              </w:rPr>
              <w:t>Increase in other current assets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(3,911)</w:t>
            </w:r>
          </w:p>
        </w:tc>
        <w:tc>
          <w:tcPr>
            <w:tcW w:w="1440" w:type="dxa"/>
            <w:vAlign w:val="bottom"/>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in accounts payable and</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15,851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140"/>
              <w:spacing w:after="0"/>
              <w:rPr>
                <w:sz w:val="20"/>
                <w:szCs w:val="20"/>
                <w:color w:val="auto"/>
              </w:rPr>
            </w:pPr>
            <w:r>
              <w:rPr>
                <w:rFonts w:ascii="Arial" w:cs="Arial" w:eastAsia="Arial" w:hAnsi="Arial"/>
                <w:sz w:val="18"/>
                <w:szCs w:val="18"/>
                <w:color w:val="auto"/>
              </w:rPr>
              <w:t>accrued expenses, wages and benefit payables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in tax liabilities</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20"/>
              <w:spacing w:after="0"/>
              <w:rPr>
                <w:sz w:val="20"/>
                <w:szCs w:val="20"/>
                <w:color w:val="auto"/>
              </w:rPr>
            </w:pPr>
            <w:r>
              <w:rPr>
                <w:rFonts w:ascii="Arial" w:cs="Arial" w:eastAsia="Arial" w:hAnsi="Arial"/>
                <w:sz w:val="18"/>
                <w:szCs w:val="18"/>
                <w:color w:val="auto"/>
              </w:rPr>
              <w:t>Increase in accrued interest on convertible bonds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2,537</w:t>
            </w:r>
          </w:p>
        </w:tc>
        <w:tc>
          <w:tcPr>
            <w:tcW w:w="1440" w:type="dxa"/>
            <w:vAlign w:val="bottom"/>
          </w:tcPr>
          <w:p>
            <w:pPr>
              <w:jc w:val="right"/>
              <w:spacing w:after="0"/>
              <w:rPr>
                <w:sz w:val="20"/>
                <w:szCs w:val="20"/>
                <w:color w:val="auto"/>
              </w:rPr>
            </w:pPr>
            <w:r>
              <w:rPr>
                <w:rFonts w:ascii="Arial" w:cs="Arial" w:eastAsia="Arial" w:hAnsi="Arial"/>
                <w:sz w:val="18"/>
                <w:szCs w:val="18"/>
                <w:color w:val="auto"/>
              </w:rPr>
              <w:t>2,325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Decrease in restructuring</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20"/>
              <w:spacing w:after="0"/>
              <w:rPr>
                <w:sz w:val="20"/>
                <w:szCs w:val="20"/>
                <w:color w:val="auto"/>
              </w:rPr>
            </w:pPr>
            <w:r>
              <w:rPr>
                <w:rFonts w:ascii="Arial" w:cs="Arial" w:eastAsia="Arial" w:hAnsi="Arial"/>
                <w:sz w:val="18"/>
                <w:szCs w:val="18"/>
                <w:color w:val="auto"/>
              </w:rPr>
              <w:t>Other</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1,075</w:t>
            </w:r>
          </w:p>
        </w:tc>
        <w:tc>
          <w:tcPr>
            <w:tcW w:w="144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00"/>
              <w:spacing w:after="0"/>
              <w:rPr>
                <w:sz w:val="20"/>
                <w:szCs w:val="20"/>
                <w:color w:val="auto"/>
              </w:rPr>
            </w:pPr>
            <w:r>
              <w:rPr>
                <w:rFonts w:ascii="Arial" w:cs="Arial" w:eastAsia="Arial" w:hAnsi="Arial"/>
                <w:sz w:val="18"/>
                <w:szCs w:val="18"/>
                <w:color w:val="auto"/>
              </w:rPr>
              <w:t>Acquisitions of property, plant and equipment</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(4,446)</w:t>
            </w:r>
          </w:p>
        </w:tc>
        <w:tc>
          <w:tcPr>
            <w:tcW w:w="1440" w:type="dxa"/>
            <w:vAlign w:val="bottom"/>
          </w:tcPr>
          <w:p>
            <w:pPr>
              <w:jc w:val="right"/>
              <w:spacing w:after="0"/>
              <w:rPr>
                <w:sz w:val="20"/>
                <w:szCs w:val="20"/>
                <w:color w:val="auto"/>
              </w:rPr>
            </w:pPr>
            <w:r>
              <w:rPr>
                <w:rFonts w:ascii="Arial" w:cs="Arial" w:eastAsia="Arial" w:hAnsi="Arial"/>
                <w:sz w:val="18"/>
                <w:szCs w:val="18"/>
                <w:color w:val="auto"/>
              </w:rPr>
              <w:t>(3,653)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Acquisition and financing fees</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00"/>
              <w:spacing w:after="0"/>
              <w:rPr>
                <w:sz w:val="20"/>
                <w:szCs w:val="20"/>
                <w:color w:val="auto"/>
              </w:rPr>
            </w:pPr>
            <w:r>
              <w:rPr>
                <w:rFonts w:ascii="Arial" w:cs="Arial" w:eastAsia="Arial" w:hAnsi="Arial"/>
                <w:sz w:val="18"/>
                <w:szCs w:val="18"/>
                <w:color w:val="auto"/>
              </w:rPr>
              <w:t>Other</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(5,809)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00"/>
              <w:spacing w:after="0"/>
              <w:rPr>
                <w:sz w:val="20"/>
                <w:szCs w:val="20"/>
                <w:color w:val="auto"/>
              </w:rPr>
            </w:pPr>
            <w:r>
              <w:rPr>
                <w:rFonts w:ascii="Arial" w:cs="Arial" w:eastAsia="Arial" w:hAnsi="Arial"/>
                <w:sz w:val="18"/>
                <w:szCs w:val="18"/>
                <w:color w:val="auto"/>
              </w:rPr>
              <w:t>Decrease in bank overdraft</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163</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in new senior debt from Mizuho Corporate Bank (net)</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00"/>
              <w:spacing w:after="0"/>
              <w:rPr>
                <w:sz w:val="20"/>
                <w:szCs w:val="20"/>
                <w:color w:val="auto"/>
              </w:rPr>
            </w:pPr>
            <w:r>
              <w:rPr>
                <w:rFonts w:ascii="Arial" w:cs="Arial" w:eastAsia="Arial" w:hAnsi="Arial"/>
                <w:sz w:val="18"/>
                <w:szCs w:val="18"/>
                <w:color w:val="auto"/>
              </w:rPr>
              <w:t>Increase in Mezzanine debt from Mizuho Corporate Bank</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in cash deposit at Royal Bank of Scotland</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00"/>
              <w:spacing w:after="0"/>
              <w:rPr>
                <w:sz w:val="20"/>
                <w:szCs w:val="20"/>
                <w:color w:val="auto"/>
              </w:rPr>
            </w:pPr>
            <w:r>
              <w:rPr>
                <w:rFonts w:ascii="Arial" w:cs="Arial" w:eastAsia="Arial" w:hAnsi="Arial"/>
                <w:sz w:val="18"/>
                <w:szCs w:val="18"/>
                <w:color w:val="auto"/>
              </w:rPr>
              <w:t>Equity contribution</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issuance of convertible bonds</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00"/>
              <w:spacing w:after="0"/>
              <w:rPr>
                <w:sz w:val="20"/>
                <w:szCs w:val="20"/>
                <w:color w:val="auto"/>
              </w:rPr>
            </w:pPr>
            <w:r>
              <w:rPr>
                <w:rFonts w:ascii="Arial" w:cs="Arial" w:eastAsia="Arial" w:hAnsi="Arial"/>
                <w:sz w:val="18"/>
                <w:szCs w:val="18"/>
                <w:color w:val="auto"/>
              </w:rPr>
              <w:t>Other</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Net cash provided by (used in) financing activities</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translation adjustment on cash and cash equivalents</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Dividends paid</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Increase in cash an cash equivalents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(454)</w:t>
            </w:r>
          </w:p>
        </w:tc>
        <w:tc>
          <w:tcPr>
            <w:tcW w:w="1440" w:type="dxa"/>
            <w:vAlign w:val="bottom"/>
          </w:tcPr>
          <w:p>
            <w:pPr>
              <w:jc w:val="right"/>
              <w:spacing w:after="0"/>
              <w:rPr>
                <w:sz w:val="20"/>
                <w:szCs w:val="20"/>
                <w:color w:val="auto"/>
              </w:rPr>
            </w:pPr>
            <w:r>
              <w:rPr>
                <w:rFonts w:ascii="Arial" w:cs="Arial" w:eastAsia="Arial" w:hAnsi="Arial"/>
                <w:sz w:val="18"/>
                <w:szCs w:val="18"/>
                <w:color w:val="auto"/>
              </w:rPr>
              <w:t>(7,501)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33,672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33,218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paid during the period for income taxes</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(5,732)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500"/>
              <w:spacing w:after="0"/>
              <w:rPr>
                <w:sz w:val="20"/>
                <w:szCs w:val="20"/>
                <w:color w:val="auto"/>
              </w:rPr>
            </w:pPr>
            <w:r>
              <w:rPr>
                <w:rFonts w:ascii="Arial" w:cs="Arial" w:eastAsia="Arial" w:hAnsi="Arial"/>
                <w:sz w:val="18"/>
                <w:szCs w:val="18"/>
                <w:color w:val="auto"/>
              </w:rPr>
              <w:t>Cash paid during the period for interests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(10,345)</w:t>
            </w:r>
          </w:p>
        </w:tc>
        <w:tc>
          <w:tcPr>
            <w:tcW w:w="1440" w:type="dxa"/>
            <w:vAlign w:val="bottom"/>
          </w:tcPr>
          <w:p>
            <w:pPr>
              <w:jc w:val="right"/>
              <w:spacing w:after="0"/>
              <w:rPr>
                <w:sz w:val="20"/>
                <w:szCs w:val="20"/>
                <w:color w:val="auto"/>
              </w:rPr>
            </w:pPr>
            <w:r>
              <w:rPr>
                <w:rFonts w:ascii="Arial" w:cs="Arial" w:eastAsia="Arial" w:hAnsi="Arial"/>
                <w:sz w:val="18"/>
                <w:szCs w:val="18"/>
                <w:color w:val="auto"/>
              </w:rPr>
              <w:t>(11,119)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0219"/>
          </w:cols>
          <w:pgMar w:left="240" w:top="364" w:right="1440" w:bottom="1440" w:gutter="0" w:footer="0" w:header="0"/>
        </w:sectPr>
      </w:pPr>
    </w:p>
    <w:p>
      <w:pPr>
        <w:spacing w:after="0" w:line="34"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ACTARIS METERING SYSTEMS SA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b w:val="1"/>
                <w:bCs w:val="1"/>
                <w:color w:val="auto"/>
              </w:rPr>
              <w:t>(In € thousands)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Adjustment of</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b w:val="1"/>
                <w:bCs w:val="1"/>
                <w:color w:val="auto"/>
              </w:rPr>
              <w:t>(unaudited)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the Carryover</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Retained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Basis of</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earnings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Continuing</w:t>
            </w: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Shareholders</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Income (loss)</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deficit)</w:t>
            </w:r>
          </w:p>
        </w:tc>
        <w:tc>
          <w:tcPr>
            <w:tcW w:w="1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48"/>
        </w:trPr>
        <w:tc>
          <w:tcPr>
            <w:tcW w:w="3100" w:type="dxa"/>
            <w:vAlign w:val="bottom"/>
            <w:gridSpan w:val="2"/>
          </w:tcPr>
          <w:p>
            <w:pPr>
              <w:spacing w:after="0"/>
              <w:rPr>
                <w:sz w:val="20"/>
                <w:szCs w:val="20"/>
                <w:color w:val="auto"/>
              </w:rPr>
            </w:pPr>
            <w:r>
              <w:rPr>
                <w:rFonts w:ascii="Arial" w:cs="Arial" w:eastAsia="Arial" w:hAnsi="Arial"/>
                <w:sz w:val="18"/>
                <w:szCs w:val="18"/>
                <w:color w:val="auto"/>
              </w:rPr>
              <w:t>Predecessor</w:t>
            </w: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160,000</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(3,355)</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(2,310)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160,000</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(5,665)</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7,590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Balance at July 31, 2005</w:t>
            </w:r>
          </w:p>
        </w:tc>
        <w:tc>
          <w:tcPr>
            <w:tcW w:w="1000" w:type="dxa"/>
            <w:vAlign w:val="bottom"/>
          </w:tcPr>
          <w:p>
            <w:pPr>
              <w:jc w:val="right"/>
              <w:spacing w:after="0"/>
              <w:rPr>
                <w:sz w:val="20"/>
                <w:szCs w:val="20"/>
                <w:color w:val="auto"/>
              </w:rPr>
            </w:pPr>
            <w:r>
              <w:rPr>
                <w:rFonts w:ascii="Arial" w:cs="Arial" w:eastAsia="Arial" w:hAnsi="Arial"/>
                <w:sz w:val="18"/>
                <w:szCs w:val="18"/>
                <w:color w:val="auto"/>
              </w:rPr>
              <w:t>845,000</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160,000</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1,925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23,373</w:t>
            </w:r>
          </w:p>
        </w:tc>
        <w:tc>
          <w:tcPr>
            <w:tcW w:w="1100" w:type="dxa"/>
            <w:vAlign w:val="bottom"/>
          </w:tcPr>
          <w:p>
            <w:pPr>
              <w:jc w:val="right"/>
              <w:spacing w:after="0"/>
              <w:rPr>
                <w:sz w:val="20"/>
                <w:szCs w:val="20"/>
                <w:color w:val="auto"/>
              </w:rPr>
            </w:pPr>
            <w:r>
              <w:rPr>
                <w:rFonts w:ascii="Arial" w:cs="Arial" w:eastAsia="Arial" w:hAnsi="Arial"/>
                <w:sz w:val="18"/>
                <w:szCs w:val="18"/>
                <w:color w:val="auto"/>
              </w:rPr>
              <w:t>185,298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Successor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1,610</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Preferred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Predecessor basis adjustment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(133,654)</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(8,835)</w:t>
            </w:r>
          </w:p>
        </w:tc>
        <w:tc>
          <w:tcPr>
            <w:tcW w:w="1100" w:type="dxa"/>
            <w:vAlign w:val="bottom"/>
          </w:tcPr>
          <w:p>
            <w:pPr>
              <w:jc w:val="right"/>
              <w:spacing w:after="0"/>
              <w:rPr>
                <w:sz w:val="20"/>
                <w:szCs w:val="20"/>
                <w:color w:val="auto"/>
              </w:rPr>
            </w:pPr>
            <w:r>
              <w:rPr>
                <w:rFonts w:ascii="Arial" w:cs="Arial" w:eastAsia="Arial" w:hAnsi="Arial"/>
                <w:sz w:val="18"/>
                <w:szCs w:val="18"/>
                <w:color w:val="auto"/>
              </w:rPr>
              <w:t>(8,835)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2,125</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1,630</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(133,654)</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2,125</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19,551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(1,996)</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1000" w:type="dxa"/>
            <w:vAlign w:val="bottom"/>
          </w:tcPr>
          <w:p>
            <w:pPr>
              <w:jc w:val="right"/>
              <w:spacing w:after="0"/>
              <w:rPr>
                <w:sz w:val="20"/>
                <w:szCs w:val="20"/>
                <w:color w:val="auto"/>
              </w:rPr>
            </w:pPr>
            <w:r>
              <w:rPr>
                <w:rFonts w:ascii="Arial" w:cs="Arial" w:eastAsia="Arial" w:hAnsi="Arial"/>
                <w:sz w:val="18"/>
                <w:szCs w:val="18"/>
                <w:color w:val="auto"/>
              </w:rPr>
              <w:t>65,208</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1,630</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(133,654)</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10,716</w:t>
            </w:r>
          </w:p>
        </w:tc>
        <w:tc>
          <w:tcPr>
            <w:tcW w:w="1100" w:type="dxa"/>
            <w:vAlign w:val="bottom"/>
          </w:tcPr>
          <w:p>
            <w:pPr>
              <w:jc w:val="right"/>
              <w:spacing w:after="0"/>
              <w:rPr>
                <w:sz w:val="20"/>
                <w:szCs w:val="20"/>
                <w:color w:val="auto"/>
              </w:rPr>
            </w:pPr>
            <w:r>
              <w:rPr>
                <w:rFonts w:ascii="Arial" w:cs="Arial" w:eastAsia="Arial" w:hAnsi="Arial"/>
                <w:sz w:val="18"/>
                <w:szCs w:val="18"/>
                <w:color w:val="auto"/>
              </w:rPr>
              <w:t>(121,179)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9,416</w:t>
            </w:r>
          </w:p>
        </w:tc>
        <w:tc>
          <w:tcPr>
            <w:tcW w:w="1100" w:type="dxa"/>
            <w:vAlign w:val="bottom"/>
          </w:tcPr>
          <w:p>
            <w:pPr>
              <w:jc w:val="right"/>
              <w:spacing w:after="0"/>
              <w:rPr>
                <w:sz w:val="20"/>
                <w:szCs w:val="20"/>
                <w:color w:val="auto"/>
              </w:rPr>
            </w:pPr>
            <w:r>
              <w:rPr>
                <w:rFonts w:ascii="Arial" w:cs="Arial" w:eastAsia="Arial" w:hAnsi="Arial"/>
                <w:sz w:val="18"/>
                <w:szCs w:val="18"/>
                <w:color w:val="auto"/>
              </w:rPr>
              <w:t>9,416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FIN 48 adjustment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1,011</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515</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Balance at March 31, 2007</w:t>
            </w:r>
          </w:p>
        </w:tc>
        <w:tc>
          <w:tcPr>
            <w:tcW w:w="1000" w:type="dxa"/>
            <w:vAlign w:val="bottom"/>
          </w:tcPr>
          <w:p>
            <w:pPr>
              <w:jc w:val="right"/>
              <w:spacing w:after="0"/>
              <w:rPr>
                <w:sz w:val="20"/>
                <w:szCs w:val="20"/>
                <w:color w:val="auto"/>
              </w:rPr>
            </w:pPr>
            <w:r>
              <w:rPr>
                <w:rFonts w:ascii="Arial" w:cs="Arial" w:eastAsia="Arial" w:hAnsi="Arial"/>
                <w:sz w:val="18"/>
                <w:szCs w:val="18"/>
                <w:color w:val="auto"/>
              </w:rPr>
              <w:t>65,208</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1,630</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(133,654)</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1,655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20,132</w:t>
            </w:r>
          </w:p>
        </w:tc>
        <w:tc>
          <w:tcPr>
            <w:tcW w:w="1100" w:type="dxa"/>
            <w:vAlign w:val="bottom"/>
          </w:tcPr>
          <w:p>
            <w:pPr>
              <w:jc w:val="right"/>
              <w:spacing w:after="0"/>
              <w:rPr>
                <w:sz w:val="20"/>
                <w:szCs w:val="20"/>
                <w:color w:val="auto"/>
              </w:rPr>
            </w:pPr>
            <w:r>
              <w:rPr>
                <w:rFonts w:ascii="Arial" w:cs="Arial" w:eastAsia="Arial" w:hAnsi="Arial"/>
                <w:sz w:val="18"/>
                <w:szCs w:val="18"/>
                <w:color w:val="auto"/>
              </w:rPr>
              <w:t>(110,237)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ACTARIS METERING SYSTEMS SA AND SUBSIDIARIES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AS OF MARCH 31, 2007 (UNAUDITED)</w:t>
      </w:r>
    </w:p>
    <w:p>
      <w:pPr>
        <w:spacing w:after="0" w:line="200" w:lineRule="exact"/>
        <w:rPr>
          <w:sz w:val="20"/>
          <w:szCs w:val="20"/>
          <w:color w:val="auto"/>
        </w:rPr>
      </w:pPr>
    </w:p>
    <w:p>
      <w:pPr>
        <w:spacing w:after="0" w:line="2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u w:val="single" w:color="auto"/>
          <w:color w:val="auto"/>
        </w:rPr>
        <w:t>DESCRIPTION OF BUSINESS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Actaris Metering Systems SA (“Actaris” or “the Company”) is incorporated in Luxembourg. The Company, through its subsidiaries in 30 countries, designs, manufactures, and services meters and associated systems for the electricity, gas, water and heat markets.</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u w:val="single" w:color="auto"/>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Actaris consolidates all subsidiaries in which the Company has a greater than 50% ownership or otherwise when Actaris has the effective control. Subsidiaries in which the Company does not control and owns less than a 50% interest are accounted for using the equity method and are classified in Long-Term Investments. Entities in which we have less than a 20% investment and do not exercise significant influence are accounted for under the cost method. We consider for consolidation any variable interest entity of which we are the primary beneficiary. We are not the primary beneficiary of any variable interest entities. All intercompany transactions and balances are eliminated in 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Actaris considers all highly liquid instruments with remaining maturities of three months or less at the date of acquisition to be cash equivalents. Cash equivalents are recorded at cost, which approximates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recorded for invoices issued to customers in accordance with contractual arrangements. The allowance for doubtful accounts is based on the Company’s historical experience of bad debts. Accounts receivable are written-off against the allowance when we believe an account, or a portion thereof, is no longer collectible.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Inventories are stated at the lower of cost or market using the first-in, first-out method. Inventory consists of materials and parts, supplies, work in process and finished products. Work in progress and finished products include all direct and attributable indirect costs incurred in manufacturing products. General &amp; Administrative expenses and Research &amp; Development costs are not included in inventory. Inventory is recorded net of a reserve for slow-moving or obsolete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set at ten to thirty years for buildings and improvements and three to ten years for machinery and equipment. Capitalized leases relate to building improvements and are capitalized over the term of the applicable lease, including renewable periods if reasonably assured, or over the useful lives, whichever is shorter.</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review tangible assets for impairment whenever events or circumstances indicate the carrying amount of an asset may not be recoverable. There were no significant impairments in 2006, 2005 and 2004. If there were an indication of impairment, management would prepare an estimate of future cash flows (undiscounted and without interest charges) expected to result from the use of the asset and its eventual disposition. If these cash flows were less than the carrying amount of the assets, an impairment loss would be recognized to write down the assets to their estimated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Maintenance, repairs and renewal costs which do not improve or extend the useful life of the asset are expensed as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capitalizes direct costs incurred related to the issuance of debt and records the amounts in other long-term assets. These costs are amortized to other financial expense over the lives of the respective borrowings using the effective interest method. Upon early repayment of the underlying loan balance, the related remaining fees are charged to expense. Deferred financing costs recorded in the Consolidated Balance Sheets are €13.2 million at March 31, 2007 and €13.3 million at December 31, 2006.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accordance with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 and Emerging Issues Task Force (EITF) 88-16, </w:t>
      </w:r>
      <w:r>
        <w:rPr>
          <w:rFonts w:ascii="Arial" w:cs="Arial" w:eastAsia="Arial" w:hAnsi="Arial"/>
          <w:sz w:val="16"/>
          <w:szCs w:val="16"/>
          <w:i w:val="1"/>
          <w:iCs w:val="1"/>
          <w:color w:val="auto"/>
        </w:rPr>
        <w:t>Basis in Leverage Buyout Transactions</w:t>
      </w:r>
      <w:r>
        <w:rPr>
          <w:rFonts w:ascii="Arial" w:cs="Arial" w:eastAsia="Arial" w:hAnsi="Arial"/>
          <w:sz w:val="16"/>
          <w:szCs w:val="16"/>
          <w:color w:val="auto"/>
        </w:rPr>
        <w:t>, the Company records the results of operations of an acquired business from the date of acquisition. Net assets of the acquired company and intangible assets that arise from contractual/legal rights, or are capable of being separated, are recorded at their fair values at the date of acquisition for new investors and the carrying basis for continuing investors. The excess of the purchase price to the fair value of tangible and definite life intangible assets is allocated to goodwill. Amounts allocated to in-process research and development (IPR&amp;D) are expensed in the period of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is tested for impairment as of December 31 of each year, or more frequently, if a significant event occurs under the guidance of SFAS 142, Goodwill and Other Intangible Assets. Reporting units, as defined by SFAS 142, are the same as the operating segments as each business unit is comprised of a single component. Goodwill is assigned to reporting units based on the capacity of the reporting units to generate future cash flow. Intangible assets with a finite life are amortized based on estimated discounted cash flows over estimated useful lives and tested for impairment when events or changes in circumstances indicate the carrying value may not be recoverable. The Company uses estimates in determining the value of goodwill and intangible assets, including estimates of useful lives of intangible assets, discounted future cash flows and fair values of the related operations. In testing goodwill for impairment, the Company forecasts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allocated to identifiable intangible assets is amortized to expense over the estimated period of future benefit associated with the intangible asset as follows:</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 Backlog</w:t>
            </w:r>
          </w:p>
        </w:tc>
        <w:tc>
          <w:tcPr>
            <w:tcW w:w="2580" w:type="dxa"/>
            <w:vAlign w:val="bottom"/>
          </w:tcPr>
          <w:p>
            <w:pPr>
              <w:ind w:left="1140"/>
              <w:spacing w:after="0"/>
              <w:rPr>
                <w:sz w:val="20"/>
                <w:szCs w:val="20"/>
                <w:color w:val="auto"/>
              </w:rPr>
            </w:pPr>
            <w:r>
              <w:rPr>
                <w:rFonts w:ascii="Arial" w:cs="Arial" w:eastAsia="Arial" w:hAnsi="Arial"/>
                <w:sz w:val="18"/>
                <w:szCs w:val="18"/>
                <w:color w:val="auto"/>
              </w:rPr>
              <w:t>3 months</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 In Process R&amp;D</w:t>
            </w:r>
          </w:p>
        </w:tc>
        <w:tc>
          <w:tcPr>
            <w:tcW w:w="2580" w:type="dxa"/>
            <w:vAlign w:val="bottom"/>
          </w:tcPr>
          <w:p>
            <w:pPr>
              <w:ind w:left="980"/>
              <w:spacing w:after="0"/>
              <w:rPr>
                <w:sz w:val="20"/>
                <w:szCs w:val="20"/>
                <w:color w:val="auto"/>
              </w:rPr>
            </w:pPr>
            <w:r>
              <w:rPr>
                <w:rFonts w:ascii="Arial" w:cs="Arial" w:eastAsia="Arial" w:hAnsi="Arial"/>
                <w:sz w:val="18"/>
                <w:szCs w:val="18"/>
                <w:color w:val="auto"/>
                <w:w w:val="88"/>
              </w:rPr>
              <w:t>immediately expensed</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Software</w:t>
            </w:r>
          </w:p>
        </w:tc>
        <w:tc>
          <w:tcPr>
            <w:tcW w:w="2580" w:type="dxa"/>
            <w:vAlign w:val="bottom"/>
          </w:tcPr>
          <w:p>
            <w:pPr>
              <w:ind w:left="1120"/>
              <w:spacing w:after="0"/>
              <w:rPr>
                <w:sz w:val="20"/>
                <w:szCs w:val="20"/>
                <w:color w:val="auto"/>
              </w:rPr>
            </w:pPr>
            <w:r>
              <w:rPr>
                <w:rFonts w:ascii="Arial" w:cs="Arial" w:eastAsia="Arial" w:hAnsi="Arial"/>
                <w:sz w:val="18"/>
                <w:szCs w:val="18"/>
                <w:color w:val="auto"/>
              </w:rPr>
              <w:t>10 years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ind w:left="540"/>
              <w:spacing w:after="0"/>
              <w:rPr>
                <w:sz w:val="20"/>
                <w:szCs w:val="20"/>
                <w:color w:val="auto"/>
              </w:rPr>
            </w:pPr>
            <w:r>
              <w:rPr>
                <w:rFonts w:ascii="Arial" w:cs="Arial" w:eastAsia="Arial" w:hAnsi="Arial"/>
                <w:sz w:val="18"/>
                <w:szCs w:val="18"/>
                <w:color w:val="auto"/>
              </w:rPr>
              <w:t>12 years</w:t>
            </w:r>
          </w:p>
        </w:tc>
      </w:t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Customer Relationship</w:t>
            </w:r>
          </w:p>
        </w:tc>
        <w:tc>
          <w:tcPr>
            <w:tcW w:w="2580" w:type="dxa"/>
            <w:vAlign w:val="bottom"/>
          </w:tcPr>
          <w:p>
            <w:pPr>
              <w:ind w:left="540"/>
              <w:spacing w:after="0"/>
              <w:rPr>
                <w:sz w:val="20"/>
                <w:szCs w:val="20"/>
                <w:color w:val="auto"/>
              </w:rPr>
            </w:pPr>
            <w:r>
              <w:rPr>
                <w:rFonts w:ascii="Arial" w:cs="Arial" w:eastAsia="Arial" w:hAnsi="Arial"/>
                <w:sz w:val="18"/>
                <w:szCs w:val="18"/>
                <w:color w:val="auto"/>
              </w:rPr>
              <w:t>20 years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industry standard warranties on hardware products. Standard warranty accruals represent the estimated cost of projected warranty claims and are based on historical and projected product performance trends, business volume assumptions, supplier information and other business and economic projections.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affect our financial position, results of operations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both defined contribution plans and defined benefit plans. Defined contribution plans are accounted for using the liability method with respect to any contributions due at year-end. Defined benefit obligations are measured using the years-of-service method and corridor approach. Obligations under its defined benefit plans are calculated [based on age, years of service, and the level of compensation] by applying consistent actuarial assumptions that reflect the market expectations for the period in which the obligations are to be settled. Under the corridor approach, all actuarial gains and losses resulting from variances between actual results and actuarial assumptions are deferred unless they exceed the corridor which is defined as the greater of 10% of the projected benefit obligation or 10% of the fair value of plan assets as of the beginning of the year. In such cases, those actuarial gains and losses are amortized over the average remaining period of employment. When applicable, the defined liability is netted with the fair value of pension trust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accounts for income taxes using the assets and liability method. Under this method, deferred taxes are recorded for the temporary differences between the financial reporting basis and tax basis of our assets and liabilities. These deferred taxes are measured using the tax rates expected to be in effect when the temporary differences reverse. The Company establishes a valuation allowance for a portion of the deferred tax asset when the Company believes it is more likely than not that a portion of the deferred tax asset will not be utilized.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jc w:val="both"/>
        <w:spacing w:after="0" w:line="290" w:lineRule="auto"/>
        <w:rPr>
          <w:sz w:val="20"/>
          <w:szCs w:val="20"/>
          <w:color w:val="auto"/>
        </w:rPr>
      </w:pPr>
      <w:r>
        <w:rPr>
          <w:rFonts w:ascii="Arial" w:cs="Arial" w:eastAsia="Arial" w:hAnsi="Arial"/>
          <w:sz w:val="16"/>
          <w:szCs w:val="16"/>
          <w:color w:val="auto"/>
        </w:rPr>
        <w:t>We adopted the provision of the Financial Accounting Standards Board (FASB) Interpretation 48, Accounting for Uncertainty in Income Taxes – an interpretation of FASB 109 (FIN 48) on January 1, 2007. This interpretation addresses the determination of whether tax benefits claimed or expected to be claimed on a tax return should be recorded in the financial statements. Under FIN 48, we may recognize the tax benefit from an uncertain tax position only if it more likely than not that the tax position will be sustained on examination by tax authorities, based on the technical merits of the position. The tax benefits recognized in the financial statements from such a position should be measured based on the largest benefit that has a greater than fifty percent likelihood of being realized upon settlement. FIN 48 also provides guidance on derecognising, classification, interest and penalties on income taxes, accounting in interim periods and requires increased disclosures. We recognize penalties accrued related to unrecognised tax benefits in our provision for income taxes upon a first refusal of our tax position by a first administration instance decision. We recognize interest expense in our other financial income/expense.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Foreign currency transactions are recorded using the exchange rate in effect at the date the transaction is recorded. At year-end, monetary assets and liabilities are translated into the reporting currency at year-end exchange rates. Foreign currency exchange differences are recorded in Financial Charges.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foreign subsidiaries are prepared in the functional currency of each subsidiary. For foreign subsidiaries outside of the Euro-zone (i.e.: with a functional currency other than the Euro), assets and liabilities are translated into Euros at the official year-end exchange rates. Income statement accounts are translated at the weighted-average exchange rates for the period. The resulting differences are charged or credited to Other Comprehensive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Hardware post-sale maintenance fees are recognized ratably over the life of the related contract. Arrangements with multiple elements are not material to the Company’s overall revenues.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defers revenue for products or services that have not been provided but have been invoiced under contractual agreements or paid for by a customer, or when products or services have been provided but the criteria for revenue recognition have not been met. Revenues resulting from long-term contracts for the delivery of meters are recognized upon the customer acceptance criteria determined in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FEES AND COSTS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Shipping and handling fees billed to customers are classified in “Revenues” in our Consolidated Income Statement. Shipping and handling costs are included in “Cost of Sales” in our Consolidated Income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utilizes derivative instruments to hedge its interest rate exposure. As these derivatives are not designated as accounting hedges under SFAS 133, they are accounted for as derivatives with no hedge designation. Such derivative instruments are reflected at fair value in the Consolidated Balance Sheet in other current assets or other current liabilities. Changes in the fair value on these derivatives are, both realized and unrealized, recorded in current period earnings as interest expense.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Product development costs primarily include payroll and third party contracting fees. Due to the relatively short period of time between technological feasibility and the completion of product development we generally do not capitalize product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values of cash, cash equivalents, short-term investments, accounts receivable, accounts payable and accrued liabilities approximate estimated fair value due to the short maturity of these instruments.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was based on current rates offered to Actaris for similar debt with the same remaining maturities. The carrying value approximates fair value.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certain instruments with characteristics of both liabilities and equity in accordance with SFAS 150 and EITF Topic D-98 (a clarification of ASR268), as applicable, which requires classification of redeemable securities that would otherwise not represent obligations under SFAS 150 and are redeemable only if specified events occur at their initial carrying amount outside of permanent equity.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and customer receivables. The Group places its cash and cash equivalents with high credit quality financial institutions and invests in low-risk, highly liquid instruments. Actaris has a wide customer basis with no single customer exceeding 3.5% of its annual revenues. Therefore the credit risk is limited.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management believes that the estimates used in the preparation of the financial statements are reasonable, actual results could differ from these estimates.</w:t>
      </w:r>
    </w:p>
    <w:p>
      <w:pPr>
        <w:spacing w:after="0" w:line="2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u w:val="single" w:color="auto"/>
          <w:color w:val="auto"/>
        </w:rPr>
        <w:t>FORMATION OF THE COMPANY AND PREDECESSOR BASIS ADJUSTMENT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Actaris Metering Systems SA (“Actaris” or the “Company”), formerly called "Actaris Metering Systems II Sàrl", was incorporated on June 3rd, 2005 under the laws of Luxembourg by FCPRs managed by LBO France Gestion S.A.S. Actaris Metering Systems II Sarl was renamed on December 2, 2005 and subsequently transformed from Sarl to SA on February 28, 2006. Actaris is registered under number B 108-445 and its registered address is: 26 rue Louvigny, L-1946 Luxembourg. Actaris has been established for an unlimited period of time. Actaris Metering Systems II Sàrl, acting directly or through various consolidated subsidiaries, acquired Actaris Holding France, Actaris Services “France”, Actaris Development Germany Gmbh, Ganz meter company Ltd Hungary, Actaris Development UK Ltd, Actaris Development US Liquid Measurement Inc, Actaris Development US Gas Inc, Actaris Management Services SA, Actaris Holding 6 S.A., Actaris Spa “Italy”, Actaris SA “Spain” and Actaris Financial Services Sarl and subsidiaries (collectively referred to as the “Actaris Group” or “Predecessor”), on July 28 2005 (“The Acquisition”). The Acquisition occurred through the purchase of all the outstanding equity of the Actaris Group, and bonds owned by the Selling Holding Company</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in all its affiliates.</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cost of the acquisition on July 28, 2005 was € 652.7 million, which consisted of € 484.0 paid for the equity interest of the selling shareholders and € 210.0 million to repay existing indebtedness, net of cash acquired of € 41.3 million. Sources of funds for the acquisition were comprised of new equity in the form of cash for € 1.6 million, new equity in the form of shareholder convertible notes for € 146.0 million, a new debt facility for € 420.0 million, a mezzanine debt facility of € 110.0 million and acquisition costs of € 16.4 million, offset by cash acquired of € 41.3 million.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acquisition was recorded as of July 28, 2005, in accordance with SFAS 141, Business Combinations, which requires the cost of the acquisition be allocated to the fair value of the acquired identified assets and assumed liabilities. Because certain shareholders in the Company also were shareholders in Predecessor, the Company applied the guidance in Emerging Issues Tasks Force (EITF) 88-16, Basis in Leverage Buyout Transactions. EITF 88-16 requires that the assets acquired and liabilities assumed for the lesser of the continuing shareholder’s residual interest in Predecessor or the Company be reflected at carryover basis for accounting purposes, not fair value. Accordingly, the Company reduced the step-up to fair value (primarily property, plant and equipment, identifiable intangible assets, and goodwill) calculated under SFAS 141. This reduction is reflected as a Predecessor Basis Adjustment in Shareholders Equity for €133.7 million. As a result of this adjustment, the net assets at the acquisition date reflect fair value for the new investor’s ownership of 60.4% and carryover basis for the remaining 39.6% for continuing shareholders. This reduction has no impact on cash flow or the underlying fair value at the acquisition date used to allocate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firstLine="8"/>
        <w:spacing w:after="0" w:line="191" w:lineRule="auto"/>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The Selling Holding Company was Actaris Metering Systems SA (a Luxembourg Company created on May 23, 2003) which was the Holding Company of the Actaris Group until July 28, 2005.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cost of the acquisition is broken down and has been allocated to the identifiable assets and liabilities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(In € thousands)</w:t>
            </w:r>
          </w:p>
        </w:tc>
        <w:tc>
          <w:tcPr>
            <w:tcW w:w="1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Purchase Price Allocation at August 1, 2005:</w:t>
            </w:r>
          </w:p>
        </w:tc>
        <w:tc>
          <w:tcPr>
            <w:tcW w:w="1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acquisition, net of acquisition costs</w:t>
            </w:r>
          </w:p>
        </w:tc>
        <w:tc>
          <w:tcPr>
            <w:tcW w:w="298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right"/>
              <w:ind w:right="3300"/>
              <w:spacing w:after="0"/>
              <w:rPr>
                <w:sz w:val="20"/>
                <w:szCs w:val="20"/>
                <w:color w:val="auto"/>
              </w:rPr>
            </w:pPr>
            <w:r>
              <w:rPr>
                <w:rFonts w:ascii="Arial" w:cs="Arial" w:eastAsia="Arial" w:hAnsi="Arial"/>
                <w:sz w:val="18"/>
                <w:szCs w:val="18"/>
                <w:color w:val="auto"/>
              </w:rPr>
              <w:t>652,750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book value of assets acquired and liabilities assumed</w:t>
            </w:r>
          </w:p>
        </w:tc>
        <w:tc>
          <w:tcPr>
            <w:tcW w:w="4780" w:type="dxa"/>
            <w:vAlign w:val="bottom"/>
            <w:gridSpan w:val="2"/>
          </w:tcPr>
          <w:p>
            <w:pPr>
              <w:jc w:val="right"/>
              <w:ind w:right="3300"/>
              <w:spacing w:after="0"/>
              <w:rPr>
                <w:sz w:val="20"/>
                <w:szCs w:val="20"/>
                <w:color w:val="auto"/>
              </w:rPr>
            </w:pPr>
            <w:r>
              <w:rPr>
                <w:rFonts w:ascii="Arial" w:cs="Arial" w:eastAsia="Arial" w:hAnsi="Arial"/>
                <w:sz w:val="18"/>
                <w:szCs w:val="18"/>
                <w:color w:val="auto"/>
              </w:rPr>
              <w:t>298,608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of cost over book value</w:t>
            </w:r>
          </w:p>
        </w:tc>
        <w:tc>
          <w:tcPr>
            <w:tcW w:w="4780" w:type="dxa"/>
            <w:vAlign w:val="bottom"/>
            <w:gridSpan w:val="2"/>
            <w:shd w:val="clear" w:color="auto" w:fill="CCEEFF"/>
          </w:tcPr>
          <w:p>
            <w:pPr>
              <w:jc w:val="right"/>
              <w:ind w:right="3300"/>
              <w:spacing w:after="0"/>
              <w:rPr>
                <w:sz w:val="20"/>
                <w:szCs w:val="20"/>
                <w:color w:val="auto"/>
              </w:rPr>
            </w:pPr>
            <w:r>
              <w:rPr>
                <w:rFonts w:ascii="Arial" w:cs="Arial" w:eastAsia="Arial" w:hAnsi="Arial"/>
                <w:sz w:val="18"/>
                <w:szCs w:val="18"/>
                <w:color w:val="auto"/>
              </w:rPr>
              <w:t>354,142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identifiable assets &amp; liabilities as at August 1, 2005: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gridSpan w:val="3"/>
          </w:tcPr>
          <w:p>
            <w:pPr>
              <w:jc w:val="center"/>
              <w:ind w:right="10"/>
              <w:spacing w:after="0"/>
              <w:rPr>
                <w:sz w:val="20"/>
                <w:szCs w:val="20"/>
                <w:color w:val="auto"/>
              </w:rPr>
            </w:pPr>
            <w:r>
              <w:rPr>
                <w:rFonts w:ascii="Arial" w:cs="Arial" w:eastAsia="Arial" w:hAnsi="Arial"/>
                <w:sz w:val="18"/>
                <w:szCs w:val="18"/>
                <w:color w:val="auto"/>
                <w:w w:val="85"/>
              </w:rPr>
              <w:t>Predecessor</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Book value</w:t>
            </w:r>
          </w:p>
        </w:tc>
        <w:tc>
          <w:tcPr>
            <w:tcW w:w="1360" w:type="dxa"/>
            <w:vAlign w:val="bottom"/>
            <w:gridSpan w:val="2"/>
          </w:tcPr>
          <w:p>
            <w:pPr>
              <w:jc w:val="right"/>
              <w:ind w:right="350"/>
              <w:spacing w:after="0"/>
              <w:rPr>
                <w:sz w:val="20"/>
                <w:szCs w:val="20"/>
                <w:color w:val="auto"/>
              </w:rPr>
            </w:pPr>
            <w:r>
              <w:rPr>
                <w:rFonts w:ascii="Arial" w:cs="Arial" w:eastAsia="Arial" w:hAnsi="Arial"/>
                <w:sz w:val="18"/>
                <w:szCs w:val="18"/>
                <w:color w:val="auto"/>
              </w:rPr>
              <w:t>Fair value</w:t>
            </w:r>
          </w:p>
        </w:tc>
        <w:tc>
          <w:tcPr>
            <w:tcW w:w="14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Basis</w:t>
            </w:r>
          </w:p>
        </w:tc>
        <w:tc>
          <w:tcPr>
            <w:tcW w:w="1820" w:type="dxa"/>
            <w:vAlign w:val="bottom"/>
            <w:gridSpan w:val="2"/>
          </w:tcPr>
          <w:p>
            <w:pPr>
              <w:jc w:val="right"/>
              <w:ind w:right="840"/>
              <w:spacing w:after="0"/>
              <w:rPr>
                <w:sz w:val="20"/>
                <w:szCs w:val="20"/>
                <w:color w:val="auto"/>
              </w:rPr>
            </w:pPr>
            <w:r>
              <w:rPr>
                <w:rFonts w:ascii="Arial" w:cs="Arial" w:eastAsia="Arial" w:hAnsi="Arial"/>
                <w:sz w:val="18"/>
                <w:szCs w:val="18"/>
                <w:color w:val="auto"/>
              </w:rPr>
              <w:t>Sources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Acquired</w:t>
            </w:r>
          </w:p>
        </w:tc>
        <w:tc>
          <w:tcPr>
            <w:tcW w:w="13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Allocation</w:t>
            </w:r>
          </w:p>
        </w:tc>
        <w:tc>
          <w:tcPr>
            <w:tcW w:w="148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color w:val="auto"/>
                <w:w w:val="93"/>
              </w:rPr>
              <w:t>Adjustment</w:t>
            </w:r>
          </w:p>
        </w:tc>
        <w:tc>
          <w:tcPr>
            <w:tcW w:w="18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of Financing</w:t>
            </w:r>
          </w:p>
        </w:tc>
        <w:tc>
          <w:tcPr>
            <w:tcW w:w="1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Uses</w:t>
            </w: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Working capital</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125,235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62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0" w:type="dxa"/>
            <w:vAlign w:val="bottom"/>
            <w:gridSpan w:val="4"/>
          </w:tcPr>
          <w:p>
            <w:pPr>
              <w:ind w:left="80"/>
              <w:spacing w:after="0"/>
              <w:rPr>
                <w:sz w:val="20"/>
                <w:szCs w:val="20"/>
                <w:color w:val="auto"/>
              </w:rPr>
            </w:pPr>
            <w:r>
              <w:rPr>
                <w:rFonts w:ascii="Arial" w:cs="Arial" w:eastAsia="Arial" w:hAnsi="Arial"/>
                <w:sz w:val="18"/>
                <w:szCs w:val="18"/>
                <w:color w:val="auto"/>
              </w:rPr>
              <w:t>Property, plant &amp; equipment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142,731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15,859</w:t>
            </w: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(6,280)</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152,310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Identifiable intangibles</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189,697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62,121</w:t>
            </w:r>
          </w:p>
        </w:tc>
        <w:tc>
          <w:tcPr>
            <w:tcW w:w="62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227,218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0" w:type="dxa"/>
            <w:vAlign w:val="bottom"/>
            <w:gridSpan w:val="4"/>
          </w:tcPr>
          <w:p>
            <w:pPr>
              <w:ind w:left="80"/>
              <w:spacing w:after="0"/>
              <w:rPr>
                <w:sz w:val="20"/>
                <w:szCs w:val="20"/>
                <w:color w:val="auto"/>
              </w:rPr>
            </w:pPr>
            <w:r>
              <w:rPr>
                <w:rFonts w:ascii="Arial" w:cs="Arial" w:eastAsia="Arial" w:hAnsi="Arial"/>
                <w:sz w:val="18"/>
                <w:szCs w:val="18"/>
                <w:color w:val="auto"/>
              </w:rPr>
              <w:t>Other assets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37,766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11,876</w:t>
            </w: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(4,703)</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Goodwill</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328,344</w:t>
            </w:r>
          </w:p>
        </w:tc>
        <w:tc>
          <w:tcPr>
            <w:tcW w:w="62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(107,612)</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220,732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0" w:type="dxa"/>
            <w:vAlign w:val="bottom"/>
            <w:gridSpan w:val="4"/>
          </w:tcPr>
          <w:p>
            <w:pPr>
              <w:ind w:left="80"/>
              <w:spacing w:after="0"/>
              <w:rPr>
                <w:sz w:val="20"/>
                <w:szCs w:val="20"/>
                <w:color w:val="auto"/>
              </w:rPr>
            </w:pPr>
            <w:r>
              <w:rPr>
                <w:rFonts w:ascii="Arial" w:cs="Arial" w:eastAsia="Arial" w:hAnsi="Arial"/>
                <w:sz w:val="18"/>
                <w:szCs w:val="18"/>
                <w:color w:val="auto"/>
              </w:rPr>
              <w:t>Other current liabilities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(129,412)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(57,588)</w:t>
            </w: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11,160</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(175,840)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Acquisition related restructuring costs</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62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0" w:type="dxa"/>
            <w:vAlign w:val="bottom"/>
            <w:gridSpan w:val="4"/>
          </w:tcPr>
          <w:p>
            <w:pPr>
              <w:ind w:left="80"/>
              <w:spacing w:after="0"/>
              <w:rPr>
                <w:sz w:val="20"/>
                <w:szCs w:val="20"/>
                <w:color w:val="auto"/>
              </w:rPr>
            </w:pPr>
            <w:r>
              <w:rPr>
                <w:rFonts w:ascii="Arial" w:cs="Arial" w:eastAsia="Arial" w:hAnsi="Arial"/>
                <w:sz w:val="18"/>
                <w:szCs w:val="18"/>
                <w:color w:val="auto"/>
              </w:rPr>
              <w:t>Other long-term liabilities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(67,409)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(1,739)</w:t>
            </w: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(69,148)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Sources</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0" w:type="dxa"/>
            <w:vAlign w:val="bottom"/>
            <w:gridSpan w:val="4"/>
          </w:tcPr>
          <w:p>
            <w:pPr>
              <w:ind w:left="80"/>
              <w:spacing w:after="0"/>
              <w:rPr>
                <w:sz w:val="20"/>
                <w:szCs w:val="20"/>
                <w:color w:val="auto"/>
              </w:rPr>
            </w:pPr>
            <w:r>
              <w:rPr>
                <w:rFonts w:ascii="Arial" w:cs="Arial" w:eastAsia="Arial" w:hAnsi="Arial"/>
                <w:sz w:val="18"/>
                <w:szCs w:val="18"/>
                <w:color w:val="auto"/>
              </w:rPr>
              <w:t>Net cash</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24,840</w:t>
            </w:r>
          </w:p>
        </w:tc>
        <w:tc>
          <w:tcPr>
            <w:tcW w:w="1420" w:type="dxa"/>
            <w:vAlign w:val="bottom"/>
          </w:tcPr>
          <w:p>
            <w:pPr>
              <w:jc w:val="right"/>
              <w:spacing w:after="0"/>
              <w:rPr>
                <w:sz w:val="20"/>
                <w:szCs w:val="20"/>
                <w:color w:val="auto"/>
              </w:rPr>
            </w:pPr>
            <w:r>
              <w:rPr>
                <w:rFonts w:ascii="Arial" w:cs="Arial" w:eastAsia="Arial" w:hAnsi="Arial"/>
                <w:sz w:val="18"/>
                <w:szCs w:val="18"/>
                <w:color w:val="auto"/>
              </w:rPr>
              <w:t>24,840(1)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Convertible shareholder notes</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(145,960)</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0" w:type="dxa"/>
            <w:vAlign w:val="bottom"/>
            <w:gridSpan w:val="4"/>
          </w:tcPr>
          <w:p>
            <w:pPr>
              <w:ind w:left="80"/>
              <w:spacing w:after="0"/>
              <w:rPr>
                <w:sz w:val="20"/>
                <w:szCs w:val="20"/>
                <w:color w:val="auto"/>
              </w:rPr>
            </w:pPr>
            <w:r>
              <w:rPr>
                <w:rFonts w:ascii="Arial" w:cs="Arial" w:eastAsia="Arial" w:hAnsi="Arial"/>
                <w:sz w:val="18"/>
                <w:szCs w:val="18"/>
                <w:color w:val="auto"/>
              </w:rPr>
              <w:t>Mezannine debt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(110,000)</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Senior bank debt</w:t>
            </w: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(420,000)</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89"/>
              </w:rPr>
              <w:t>Net Balance</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298,608</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354,142</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(133,654)</w:t>
            </w:r>
          </w:p>
        </w:tc>
        <w:tc>
          <w:tcPr>
            <w:tcW w:w="18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(651,120)</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(132,024)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w:t>
            </w:r>
          </w:p>
        </w:tc>
        <w:tc>
          <w:tcPr>
            <w:tcW w:w="3200" w:type="dxa"/>
            <w:vAlign w:val="bottom"/>
            <w:gridSpan w:val="4"/>
          </w:tcPr>
          <w:p>
            <w:pPr>
              <w:ind w:left="80"/>
              <w:spacing w:after="0"/>
              <w:rPr>
                <w:sz w:val="20"/>
                <w:szCs w:val="20"/>
                <w:color w:val="auto"/>
              </w:rPr>
            </w:pPr>
            <w:r>
              <w:rPr>
                <w:rFonts w:ascii="Arial" w:cs="Arial" w:eastAsia="Arial" w:hAnsi="Arial"/>
                <w:sz w:val="18"/>
                <w:szCs w:val="18"/>
                <w:color w:val="auto"/>
              </w:rPr>
              <w:t>Cash acquired, net of transaction fees</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NOTE 4.</w:t>
            </w:r>
          </w:p>
        </w:tc>
        <w:tc>
          <w:tcPr>
            <w:tcW w:w="2700" w:type="dxa"/>
            <w:vAlign w:val="bottom"/>
            <w:gridSpan w:val="3"/>
          </w:tcPr>
          <w:p>
            <w:pPr>
              <w:spacing w:after="0"/>
              <w:rPr>
                <w:sz w:val="20"/>
                <w:szCs w:val="20"/>
                <w:color w:val="auto"/>
              </w:rPr>
            </w:pPr>
            <w:r>
              <w:rPr>
                <w:rFonts w:ascii="Arial" w:cs="Arial" w:eastAsia="Arial" w:hAnsi="Arial"/>
                <w:sz w:val="18"/>
                <w:szCs w:val="18"/>
                <w:b w:val="1"/>
                <w:bCs w:val="1"/>
                <w:color w:val="auto"/>
                <w:w w:val="99"/>
              </w:rPr>
              <w:t>ACCOUNTS RECEIVABLE, NET</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At March 31,</w:t>
            </w:r>
          </w:p>
        </w:tc>
        <w:tc>
          <w:tcPr>
            <w:tcW w:w="340" w:type="dxa"/>
            <w:vAlign w:val="bottom"/>
          </w:tcPr>
          <w:p>
            <w:pPr>
              <w:spacing w:after="0"/>
              <w:rPr>
                <w:sz w:val="24"/>
                <w:szCs w:val="24"/>
                <w:color w:val="auto"/>
              </w:rPr>
            </w:pPr>
          </w:p>
        </w:tc>
        <w:tc>
          <w:tcPr>
            <w:tcW w:w="234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w w:val="96"/>
              </w:rPr>
              <w:t>At December 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2006</w:t>
            </w: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Arial" w:cs="Arial" w:eastAsia="Arial" w:hAnsi="Arial"/>
                <w:sz w:val="18"/>
                <w:szCs w:val="18"/>
                <w:b w:val="1"/>
                <w:bCs w:val="1"/>
                <w:color w:val="auto"/>
              </w:rPr>
              <w:t>(In €</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82"/>
              </w:rPr>
              <w:t>thousands)</w:t>
            </w: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6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vMerge w:val="restart"/>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accounts Receivables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154,780</w:t>
            </w:r>
          </w:p>
        </w:tc>
        <w:tc>
          <w:tcPr>
            <w:tcW w:w="34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138,310</w:t>
            </w:r>
          </w:p>
        </w:tc>
        <w:tc>
          <w:tcPr>
            <w:tcW w:w="8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Arial" w:cs="Arial" w:eastAsia="Arial" w:hAnsi="Arial"/>
                <w:sz w:val="18"/>
                <w:szCs w:val="18"/>
                <w:color w:val="auto"/>
              </w:rPr>
              <w:t>Allowance for doubtful accounts</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3,594</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3,910</w:t>
            </w: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6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Accounts Receivables, net</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151,186</w:t>
            </w:r>
          </w:p>
        </w:tc>
        <w:tc>
          <w:tcPr>
            <w:tcW w:w="34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134,400</w:t>
            </w:r>
          </w:p>
        </w:tc>
        <w:tc>
          <w:tcPr>
            <w:tcW w:w="8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NOTE 5.</w:t>
            </w:r>
          </w:p>
        </w:tc>
        <w:tc>
          <w:tcPr>
            <w:tcW w:w="2700" w:type="dxa"/>
            <w:vAlign w:val="bottom"/>
            <w:gridSpan w:val="3"/>
          </w:tcPr>
          <w:p>
            <w:pPr>
              <w:spacing w:after="0"/>
              <w:rPr>
                <w:sz w:val="20"/>
                <w:szCs w:val="20"/>
                <w:color w:val="auto"/>
              </w:rPr>
            </w:pPr>
            <w:r>
              <w:rPr>
                <w:rFonts w:ascii="Arial" w:cs="Arial" w:eastAsia="Arial" w:hAnsi="Arial"/>
                <w:sz w:val="18"/>
                <w:szCs w:val="18"/>
                <w:b w:val="1"/>
                <w:bCs w:val="1"/>
                <w:color w:val="auto"/>
              </w:rPr>
              <w:t>INVENTORIES, NET</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Inventories at March 31, 2007 and December 31, 2006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5"/>
              </w:rPr>
              <w:t>At March 31,</w:t>
            </w: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0" w:type="dxa"/>
            <w:vAlign w:val="bottom"/>
          </w:tcPr>
          <w:p>
            <w:pPr>
              <w:ind w:left="980"/>
              <w:spacing w:after="0"/>
              <w:rPr>
                <w:sz w:val="20"/>
                <w:szCs w:val="20"/>
                <w:color w:val="auto"/>
              </w:rPr>
            </w:pPr>
            <w:r>
              <w:rPr>
                <w:rFonts w:ascii="Arial" w:cs="Arial" w:eastAsia="Arial" w:hAnsi="Arial"/>
                <w:sz w:val="18"/>
                <w:szCs w:val="18"/>
                <w:b w:val="1"/>
                <w:bCs w:val="1"/>
                <w:color w:val="auto"/>
              </w:rPr>
              <w:t>(In €</w:t>
            </w:r>
          </w:p>
        </w:tc>
        <w:tc>
          <w:tcPr>
            <w:tcW w:w="18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w w:val="82"/>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Inventory</w:t>
            </w:r>
          </w:p>
        </w:tc>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Raw materials and parts</w:t>
            </w:r>
          </w:p>
        </w:tc>
        <w:tc>
          <w:tcPr>
            <w:tcW w:w="17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44,256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520" w:type="dxa"/>
            <w:vAlign w:val="bottom"/>
          </w:tcPr>
          <w:p>
            <w:pPr>
              <w:ind w:left="380"/>
              <w:spacing w:after="0"/>
              <w:rPr>
                <w:sz w:val="20"/>
                <w:szCs w:val="20"/>
                <w:color w:val="auto"/>
              </w:rPr>
            </w:pPr>
            <w:r>
              <w:rPr>
                <w:rFonts w:ascii="Arial" w:cs="Arial" w:eastAsia="Arial" w:hAnsi="Arial"/>
                <w:sz w:val="18"/>
                <w:szCs w:val="18"/>
                <w:color w:val="auto"/>
              </w:rPr>
              <w:t>Work in process</w:t>
            </w:r>
          </w:p>
        </w:tc>
        <w:tc>
          <w:tcPr>
            <w:tcW w:w="1720" w:type="dxa"/>
            <w:vAlign w:val="bottom"/>
            <w:gridSpan w:val="2"/>
          </w:tcPr>
          <w:p>
            <w:pPr>
              <w:jc w:val="right"/>
              <w:ind w:right="230"/>
              <w:spacing w:after="0"/>
              <w:rPr>
                <w:sz w:val="20"/>
                <w:szCs w:val="20"/>
                <w:color w:val="auto"/>
              </w:rPr>
            </w:pPr>
            <w:r>
              <w:rPr>
                <w:rFonts w:ascii="Arial" w:cs="Arial" w:eastAsia="Arial" w:hAnsi="Arial"/>
                <w:sz w:val="18"/>
                <w:szCs w:val="18"/>
                <w:color w:val="auto"/>
              </w:rPr>
              <w:t>8,635</w:t>
            </w:r>
          </w:p>
        </w:tc>
        <w:tc>
          <w:tcPr>
            <w:tcW w:w="1480" w:type="dxa"/>
            <w:vAlign w:val="bottom"/>
          </w:tcPr>
          <w:p>
            <w:pPr>
              <w:jc w:val="right"/>
              <w:spacing w:after="0"/>
              <w:rPr>
                <w:sz w:val="20"/>
                <w:szCs w:val="20"/>
                <w:color w:val="auto"/>
              </w:rPr>
            </w:pPr>
            <w:r>
              <w:rPr>
                <w:rFonts w:ascii="Arial" w:cs="Arial" w:eastAsia="Arial" w:hAnsi="Arial"/>
                <w:sz w:val="18"/>
                <w:szCs w:val="18"/>
                <w:color w:val="auto"/>
              </w:rPr>
              <w:t>8,234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Finished Goods</w:t>
            </w:r>
          </w:p>
        </w:tc>
        <w:tc>
          <w:tcPr>
            <w:tcW w:w="17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39,066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Total Gross Inventory</w:t>
            </w:r>
          </w:p>
        </w:tc>
        <w:tc>
          <w:tcPr>
            <w:tcW w:w="3520" w:type="dxa"/>
            <w:vAlign w:val="bottom"/>
          </w:tcPr>
          <w:p>
            <w:pPr>
              <w:spacing w:after="0"/>
              <w:rPr>
                <w:sz w:val="19"/>
                <w:szCs w:val="19"/>
                <w:color w:val="auto"/>
              </w:rPr>
            </w:pPr>
          </w:p>
        </w:tc>
        <w:tc>
          <w:tcPr>
            <w:tcW w:w="17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91,957</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82,839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Obsolescence Reserve</w:t>
            </w:r>
          </w:p>
        </w:tc>
        <w:tc>
          <w:tcPr>
            <w:tcW w:w="3520" w:type="dxa"/>
            <w:vAlign w:val="bottom"/>
          </w:tcPr>
          <w:p>
            <w:pPr>
              <w:ind w:left="380"/>
              <w:spacing w:after="0"/>
              <w:rPr>
                <w:sz w:val="20"/>
                <w:szCs w:val="20"/>
                <w:color w:val="auto"/>
              </w:rPr>
            </w:pPr>
            <w:r>
              <w:rPr>
                <w:rFonts w:ascii="Arial" w:cs="Arial" w:eastAsia="Arial" w:hAnsi="Arial"/>
                <w:sz w:val="18"/>
                <w:szCs w:val="18"/>
                <w:color w:val="auto"/>
              </w:rPr>
              <w:t>Raw materials and parts</w:t>
            </w:r>
          </w:p>
        </w:tc>
        <w:tc>
          <w:tcPr>
            <w:tcW w:w="1720" w:type="dxa"/>
            <w:vAlign w:val="bottom"/>
            <w:gridSpan w:val="2"/>
          </w:tcPr>
          <w:p>
            <w:pPr>
              <w:jc w:val="right"/>
              <w:ind w:right="230"/>
              <w:spacing w:after="0"/>
              <w:rPr>
                <w:sz w:val="20"/>
                <w:szCs w:val="20"/>
                <w:color w:val="auto"/>
              </w:rPr>
            </w:pPr>
            <w:r>
              <w:rPr>
                <w:rFonts w:ascii="Arial" w:cs="Arial" w:eastAsia="Arial" w:hAnsi="Arial"/>
                <w:sz w:val="18"/>
                <w:szCs w:val="18"/>
                <w:color w:val="auto"/>
              </w:rPr>
              <w:t>3,908</w:t>
            </w:r>
          </w:p>
        </w:tc>
        <w:tc>
          <w:tcPr>
            <w:tcW w:w="1480" w:type="dxa"/>
            <w:vAlign w:val="bottom"/>
          </w:tcPr>
          <w:p>
            <w:pPr>
              <w:jc w:val="right"/>
              <w:spacing w:after="0"/>
              <w:rPr>
                <w:sz w:val="20"/>
                <w:szCs w:val="20"/>
                <w:color w:val="auto"/>
              </w:rPr>
            </w:pPr>
            <w:r>
              <w:rPr>
                <w:rFonts w:ascii="Arial" w:cs="Arial" w:eastAsia="Arial" w:hAnsi="Arial"/>
                <w:sz w:val="18"/>
                <w:szCs w:val="18"/>
                <w:color w:val="auto"/>
              </w:rPr>
              <w:t>3,190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Work in process</w:t>
            </w:r>
          </w:p>
        </w:tc>
        <w:tc>
          <w:tcPr>
            <w:tcW w:w="17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52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1720" w:type="dxa"/>
            <w:vAlign w:val="bottom"/>
            <w:gridSpan w:val="2"/>
          </w:tcPr>
          <w:p>
            <w:pPr>
              <w:jc w:val="right"/>
              <w:ind w:right="230"/>
              <w:spacing w:after="0"/>
              <w:rPr>
                <w:sz w:val="20"/>
                <w:szCs w:val="20"/>
                <w:color w:val="auto"/>
              </w:rPr>
            </w:pPr>
            <w:r>
              <w:rPr>
                <w:rFonts w:ascii="Arial" w:cs="Arial" w:eastAsia="Arial" w:hAnsi="Arial"/>
                <w:sz w:val="18"/>
                <w:szCs w:val="18"/>
                <w:color w:val="auto"/>
              </w:rPr>
              <w:t>3,160</w:t>
            </w:r>
          </w:p>
        </w:tc>
        <w:tc>
          <w:tcPr>
            <w:tcW w:w="1480" w:type="dxa"/>
            <w:vAlign w:val="bottom"/>
          </w:tcPr>
          <w:p>
            <w:pPr>
              <w:jc w:val="right"/>
              <w:spacing w:after="0"/>
              <w:rPr>
                <w:sz w:val="20"/>
                <w:szCs w:val="20"/>
                <w:color w:val="auto"/>
              </w:rPr>
            </w:pPr>
            <w:r>
              <w:rPr>
                <w:rFonts w:ascii="Arial" w:cs="Arial" w:eastAsia="Arial" w:hAnsi="Arial"/>
                <w:sz w:val="18"/>
                <w:szCs w:val="18"/>
                <w:color w:val="auto"/>
              </w:rPr>
              <w:t>2,579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obsolescence</w:t>
            </w:r>
          </w:p>
        </w:tc>
        <w:tc>
          <w:tcPr>
            <w:tcW w:w="35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7,368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Inventory, net</w:t>
            </w:r>
          </w:p>
        </w:tc>
        <w:tc>
          <w:tcPr>
            <w:tcW w:w="3520" w:type="dxa"/>
            <w:vAlign w:val="bottom"/>
          </w:tcPr>
          <w:p>
            <w:pPr>
              <w:spacing w:after="0"/>
              <w:rPr>
                <w:sz w:val="24"/>
                <w:szCs w:val="24"/>
                <w:color w:val="auto"/>
              </w:rPr>
            </w:pPr>
          </w:p>
        </w:tc>
        <w:tc>
          <w:tcPr>
            <w:tcW w:w="17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84,589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76,825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79755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tabs>
          <w:tab w:leader="none" w:pos="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u w:val="single" w:color="auto"/>
          <w:color w:val="auto"/>
        </w:rPr>
        <w:t>PROPERTY, PLANT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Plant and Equipment at March 31, 2007 and December 31, 2006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At March 31,</w:t>
            </w: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(In €</w:t>
            </w:r>
          </w:p>
        </w:tc>
        <w:tc>
          <w:tcPr>
            <w:tcW w:w="190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w w:val="88"/>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25,446</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380" w:type="dxa"/>
            <w:vAlign w:val="bottom"/>
          </w:tcPr>
          <w:p>
            <w:pPr>
              <w:jc w:val="right"/>
              <w:spacing w:after="0"/>
              <w:rPr>
                <w:sz w:val="20"/>
                <w:szCs w:val="20"/>
                <w:color w:val="auto"/>
              </w:rPr>
            </w:pPr>
            <w:r>
              <w:rPr>
                <w:rFonts w:ascii="Arial" w:cs="Arial" w:eastAsia="Arial" w:hAnsi="Arial"/>
                <w:sz w:val="18"/>
                <w:szCs w:val="18"/>
                <w:color w:val="auto"/>
              </w:rPr>
              <w:t>51,364</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100,496</w:t>
            </w:r>
          </w:p>
        </w:tc>
        <w:tc>
          <w:tcPr>
            <w:tcW w:w="3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Total PP&amp;E, gross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177,306</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172,890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(32,524)</w:t>
            </w:r>
          </w:p>
        </w:tc>
        <w:tc>
          <w:tcPr>
            <w:tcW w:w="3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Total PP&amp;E,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144,782</w:t>
            </w:r>
          </w:p>
        </w:tc>
        <w:tc>
          <w:tcPr>
            <w:tcW w:w="34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€ 5.5 million in first quarter 2007 and € 5.4 million in first quarter 2006.</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u w:val="single" w:color="auto"/>
          <w:color w:val="auto"/>
        </w:rPr>
        <w:t>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March 31, 2007</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December 31, 2006</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vMerge w:val="restart"/>
          </w:tcPr>
          <w:p>
            <w:pPr>
              <w:jc w:val="right"/>
              <w:ind w:right="310"/>
              <w:spacing w:after="0"/>
              <w:rPr>
                <w:sz w:val="20"/>
                <w:szCs w:val="20"/>
                <w:color w:val="auto"/>
              </w:rPr>
            </w:pPr>
            <w:r>
              <w:rPr>
                <w:rFonts w:ascii="Arial" w:cs="Arial" w:eastAsia="Arial" w:hAnsi="Arial"/>
                <w:sz w:val="18"/>
                <w:szCs w:val="18"/>
                <w:color w:val="auto"/>
              </w:rPr>
              <w:t>Accumulated</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 €</w:t>
            </w:r>
          </w:p>
        </w:tc>
        <w:tc>
          <w:tcPr>
            <w:tcW w:w="1480" w:type="dxa"/>
            <w:vAlign w:val="bottom"/>
            <w:gridSpan w:val="2"/>
          </w:tcPr>
          <w:p>
            <w:pPr>
              <w:jc w:val="right"/>
              <w:ind w:right="710"/>
              <w:spacing w:after="0"/>
              <w:rPr>
                <w:sz w:val="20"/>
                <w:szCs w:val="20"/>
                <w:color w:val="auto"/>
              </w:rPr>
            </w:pPr>
            <w:r>
              <w:rPr>
                <w:rFonts w:ascii="Arial" w:cs="Arial" w:eastAsia="Arial" w:hAnsi="Arial"/>
                <w:sz w:val="17"/>
                <w:szCs w:val="17"/>
                <w:b w:val="1"/>
                <w:bCs w:val="1"/>
                <w:color w:val="auto"/>
                <w:w w:val="71"/>
              </w:rPr>
              <w:t>thousands)</w:t>
            </w:r>
          </w:p>
        </w:tc>
        <w:tc>
          <w:tcPr>
            <w:tcW w:w="146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Accumulated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Assets</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Amortization</w:t>
            </w:r>
          </w:p>
        </w:tc>
        <w:tc>
          <w:tcPr>
            <w:tcW w:w="1160" w:type="dxa"/>
            <w:vAlign w:val="bottom"/>
            <w:gridSpan w:val="2"/>
          </w:tcPr>
          <w:p>
            <w:pPr>
              <w:jc w:val="right"/>
              <w:ind w:right="615"/>
              <w:spacing w:after="0"/>
              <w:rPr>
                <w:sz w:val="20"/>
                <w:szCs w:val="20"/>
                <w:color w:val="auto"/>
              </w:rPr>
            </w:pPr>
            <w:r>
              <w:rPr>
                <w:rFonts w:ascii="Arial" w:cs="Arial" w:eastAsia="Arial" w:hAnsi="Arial"/>
                <w:sz w:val="18"/>
                <w:szCs w:val="18"/>
                <w:color w:val="auto"/>
              </w:rPr>
              <w:t>Net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Assets</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Amortization</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126,335</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17,546</w:t>
            </w:r>
          </w:p>
        </w:tc>
        <w:tc>
          <w:tcPr>
            <w:tcW w:w="116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108,789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126,335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9"/>
              </w:rPr>
              <w:t>Customer relationship</w:t>
            </w:r>
          </w:p>
        </w:tc>
        <w:tc>
          <w:tcPr>
            <w:tcW w:w="1100" w:type="dxa"/>
            <w:vAlign w:val="bottom"/>
          </w:tcPr>
          <w:p>
            <w:pPr>
              <w:jc w:val="right"/>
              <w:spacing w:after="0"/>
              <w:rPr>
                <w:sz w:val="20"/>
                <w:szCs w:val="20"/>
                <w:color w:val="auto"/>
              </w:rPr>
            </w:pPr>
            <w:r>
              <w:rPr>
                <w:rFonts w:ascii="Arial" w:cs="Arial" w:eastAsia="Arial" w:hAnsi="Arial"/>
                <w:sz w:val="18"/>
                <w:szCs w:val="18"/>
                <w:color w:val="auto"/>
              </w:rPr>
              <w:t>58,341</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4,862</w:t>
            </w:r>
          </w:p>
        </w:tc>
        <w:tc>
          <w:tcPr>
            <w:tcW w:w="1160" w:type="dxa"/>
            <w:vAlign w:val="bottom"/>
            <w:gridSpan w:val="2"/>
          </w:tcPr>
          <w:p>
            <w:pPr>
              <w:jc w:val="right"/>
              <w:ind w:right="195"/>
              <w:spacing w:after="0"/>
              <w:rPr>
                <w:sz w:val="20"/>
                <w:szCs w:val="20"/>
                <w:color w:val="auto"/>
              </w:rPr>
            </w:pPr>
            <w:r>
              <w:rPr>
                <w:rFonts w:ascii="Arial" w:cs="Arial" w:eastAsia="Arial" w:hAnsi="Arial"/>
                <w:sz w:val="18"/>
                <w:szCs w:val="18"/>
                <w:color w:val="auto"/>
              </w:rPr>
              <w:t>53,479</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58,341</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4,132</w:t>
            </w:r>
          </w:p>
        </w:tc>
        <w:tc>
          <w:tcPr>
            <w:tcW w:w="900" w:type="dxa"/>
            <w:vAlign w:val="bottom"/>
          </w:tcPr>
          <w:p>
            <w:pPr>
              <w:jc w:val="right"/>
              <w:spacing w:after="0"/>
              <w:rPr>
                <w:sz w:val="20"/>
                <w:szCs w:val="20"/>
                <w:color w:val="auto"/>
              </w:rPr>
            </w:pPr>
            <w:r>
              <w:rPr>
                <w:rFonts w:ascii="Arial" w:cs="Arial" w:eastAsia="Arial" w:hAnsi="Arial"/>
                <w:sz w:val="18"/>
                <w:szCs w:val="18"/>
                <w:color w:val="auto"/>
              </w:rPr>
              <w:t>54,209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23,307</w:t>
            </w:r>
          </w:p>
        </w:tc>
        <w:tc>
          <w:tcPr>
            <w:tcW w:w="1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23,307</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23,307</w:t>
            </w:r>
          </w:p>
        </w:tc>
        <w:tc>
          <w:tcPr>
            <w:tcW w:w="1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Software licenses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10,424</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1,837</w:t>
            </w:r>
          </w:p>
        </w:tc>
        <w:tc>
          <w:tcPr>
            <w:tcW w:w="1160" w:type="dxa"/>
            <w:vAlign w:val="bottom"/>
            <w:gridSpan w:val="2"/>
          </w:tcPr>
          <w:p>
            <w:pPr>
              <w:jc w:val="right"/>
              <w:ind w:right="195"/>
              <w:spacing w:after="0"/>
              <w:rPr>
                <w:sz w:val="20"/>
                <w:szCs w:val="20"/>
                <w:color w:val="auto"/>
              </w:rPr>
            </w:pPr>
            <w:r>
              <w:rPr>
                <w:rFonts w:ascii="Arial" w:cs="Arial" w:eastAsia="Arial" w:hAnsi="Arial"/>
                <w:sz w:val="18"/>
                <w:szCs w:val="18"/>
                <w:color w:val="auto"/>
              </w:rPr>
              <w:t>8,587</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10,424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1,566</w:t>
            </w:r>
          </w:p>
        </w:tc>
        <w:tc>
          <w:tcPr>
            <w:tcW w:w="900" w:type="dxa"/>
            <w:vAlign w:val="bottom"/>
          </w:tcPr>
          <w:p>
            <w:pPr>
              <w:jc w:val="right"/>
              <w:spacing w:after="0"/>
              <w:rPr>
                <w:sz w:val="20"/>
                <w:szCs w:val="20"/>
                <w:color w:val="auto"/>
              </w:rPr>
            </w:pPr>
            <w:r>
              <w:rPr>
                <w:rFonts w:ascii="Arial" w:cs="Arial" w:eastAsia="Arial" w:hAnsi="Arial"/>
                <w:sz w:val="18"/>
                <w:szCs w:val="18"/>
                <w:color w:val="auto"/>
              </w:rPr>
              <w:t>8,858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218,407</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24,245</w:t>
            </w:r>
          </w:p>
        </w:tc>
        <w:tc>
          <w:tcPr>
            <w:tcW w:w="116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194,162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218,407</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20,613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197,794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€ 3.6 million in the first quarter of 2007 and in the first quarter 2006.</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u w:val="single" w:color="auto"/>
          <w:color w:val="auto"/>
        </w:rPr>
        <w:t>GOODWILL,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tests goodwill for impairment as of December 31, of each year. No impairment adjustments were required in 2006 or before.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balances can also increase or decrease, with a corresponding change in accumulated other comprehensive income (loss), due to changes in foreign currency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March 31, 2007 and December 31, 2006.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Electricity</w:t>
            </w: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Gas</w:t>
            </w: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Water</w:t>
            </w: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Arial" w:cs="Arial" w:eastAsia="Arial" w:hAnsi="Arial"/>
                <w:sz w:val="18"/>
                <w:szCs w:val="18"/>
                <w:b w:val="1"/>
                <w:bCs w:val="1"/>
                <w:color w:val="auto"/>
              </w:rPr>
              <w:t>(In € thousands)</w:t>
            </w:r>
          </w:p>
        </w:tc>
        <w:tc>
          <w:tcPr>
            <w:tcW w:w="1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2006</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220,876</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64,368</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60,275</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69,770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Arial" w:cs="Arial" w:eastAsia="Arial" w:hAnsi="Arial"/>
                <w:sz w:val="18"/>
                <w:szCs w:val="18"/>
                <w:color w:val="auto"/>
              </w:rPr>
              <w:t>Effect of change in exchange rates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 balance at March 31, 2007</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220,904</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64,376</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60,283</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69,779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u w:val="single" w:color="auto"/>
          <w:color w:val="auto"/>
        </w:rPr>
        <w:t>SENIOR BANK DEBT</w:t>
      </w: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finance the July 28, 2005 acquisition of the Actaris Group, the Company entered into a senior Credit Facility Agreement on June 20, 2005 of € 495.0 million with the Mizuho Corporate Bank Ltd. The Credit Facility consisted of a € 420.0 million senior debt, and a € 75.0 million senior revolving credit line (covering both Revolving Credit Loan for € 35.0 million and Facility and Bank Guarantees for € 40.0 million). On the senior debt, € 403.7 million was contracted in Euros while US dollars 19.6 million (equivalent to € 16.3 million) was contracted in US dollars.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On July 28, 2005, the Company drew down the entirety of the Senior Credit Facility, i.e. € 420.0 million, composed of:</w:t>
      </w:r>
    </w:p>
    <w:p>
      <w:pPr>
        <w:spacing w:after="0" w:line="252" w:lineRule="exact"/>
        <w:rPr>
          <w:sz w:val="20"/>
          <w:szCs w:val="20"/>
          <w:color w:val="auto"/>
        </w:rPr>
      </w:pPr>
    </w:p>
    <w:p>
      <w:pPr>
        <w:ind w:left="120" w:hanging="112"/>
        <w:spacing w:after="0"/>
        <w:tabs>
          <w:tab w:leader="none" w:pos="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Senior Facility Term A (€ 150.0 million) maturing July 28, 2012 and bears interest at a rate equal to Euribor, plus a margin ranging from 1.20%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2.25% per year depending on Actaris’ ratio of Debt to EBITDA, plus an Additional Costs rate of 0.0017%.</w:t>
      </w:r>
    </w:p>
    <w:p>
      <w:pPr>
        <w:spacing w:after="0" w:line="9" w:lineRule="exact"/>
        <w:rPr>
          <w:rFonts w:ascii="Arial" w:cs="Arial" w:eastAsia="Arial" w:hAnsi="Arial"/>
          <w:sz w:val="17"/>
          <w:szCs w:val="17"/>
          <w:color w:val="auto"/>
        </w:rPr>
      </w:pPr>
    </w:p>
    <w:p>
      <w:pPr>
        <w:spacing w:after="0" w:line="250" w:lineRule="auto"/>
        <w:rPr>
          <w:rFonts w:ascii="Arial" w:cs="Arial" w:eastAsia="Arial" w:hAnsi="Arial"/>
          <w:sz w:val="17"/>
          <w:szCs w:val="17"/>
          <w:color w:val="auto"/>
        </w:rPr>
      </w:pPr>
      <w:r>
        <w:rPr>
          <w:rFonts w:ascii="Arial" w:cs="Arial" w:eastAsia="Arial" w:hAnsi="Arial"/>
          <w:sz w:val="18"/>
          <w:szCs w:val="18"/>
          <w:color w:val="auto"/>
        </w:rPr>
        <w:t>-The Senior Facility Term B (€ 135.0 million) maturing July 28, 2013 and bearing interest at a rate equal to Euribor, plus a margin ranging from 2,25% to 2.75% per year depending on Actaris’ ratio of debt to EBITDA, plus an Additional Costs rate of 0.0017%.</w:t>
      </w:r>
    </w:p>
    <w:p>
      <w:pPr>
        <w:ind w:firstLine="8"/>
        <w:spacing w:after="0" w:line="261" w:lineRule="auto"/>
        <w:tabs>
          <w:tab w:leader="none" w:pos="10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Senior Facility Term C (€ 135.0 million) maturing July 28, 2014 and bearing interest at a rate equal to Euribor, plus a margin of 3.25% per year, plus an Additional Costs rate of 0.0017%.</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28, 2005, the Company drew € 29.8 million on the Revolving Credit Facility at a rate equal to Euribor, plus a margin of 2.25% per year. On March 31, 2007 and December 31, 2006, there were no borrowings outstanding under the Revolving Credit Facility and € 17.0 million was utilized by outstanding standby letters of credit. The annual commitment fee on the unutilized portion of the revolving credit loan is 0.625%.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Analysis of Short-Term and Long-Term Senior Debt at March 31, 2007 by term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06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3"/>
              </w:rPr>
              <w:t>At March 31, 2007</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(In € thousands)</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Short Term</w:t>
            </w:r>
          </w:p>
        </w:tc>
        <w:tc>
          <w:tcPr>
            <w:tcW w:w="152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Long Term</w:t>
            </w:r>
          </w:p>
        </w:tc>
        <w:tc>
          <w:tcPr>
            <w:tcW w:w="118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Portion</w:t>
            </w:r>
          </w:p>
        </w:tc>
        <w:tc>
          <w:tcPr>
            <w:tcW w:w="15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Portion</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Senior Credit Loan, Term A</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4,101</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91,643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Senior Credit Loan, Term B</w:t>
            </w:r>
          </w:p>
        </w:tc>
        <w:tc>
          <w:tcPr>
            <w:tcW w:w="154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132,529</w:t>
            </w:r>
          </w:p>
        </w:tc>
        <w:tc>
          <w:tcPr>
            <w:tcW w:w="1160" w:type="dxa"/>
            <w:vAlign w:val="bottom"/>
          </w:tcPr>
          <w:p>
            <w:pPr>
              <w:jc w:val="right"/>
              <w:spacing w:after="0"/>
              <w:rPr>
                <w:sz w:val="20"/>
                <w:szCs w:val="20"/>
                <w:color w:val="auto"/>
              </w:rPr>
            </w:pPr>
            <w:r>
              <w:rPr>
                <w:rFonts w:ascii="Arial" w:cs="Arial" w:eastAsia="Arial" w:hAnsi="Arial"/>
                <w:sz w:val="18"/>
                <w:szCs w:val="18"/>
                <w:color w:val="auto"/>
              </w:rPr>
              <w:t>132,529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Credit Loan, Term C</w:t>
            </w:r>
          </w:p>
        </w:tc>
        <w:tc>
          <w:tcPr>
            <w:tcW w:w="15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132,529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Senior Debt from Mizuho Corporate Bank Ltd</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4,101</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356,701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360,802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Agreement with Mizuho Corporate Bank, Ltd contained financial covenants tested on a quarterly basis starting December 31, 2005. These covenants included maintaining ratios of EBITDA to Net Interest Payable, Cash Flow to Debt Service and EBITDA to Net Borrowings. Other restrictions included a limit on the yearly capital expenditures. To date, the Company is in full compliance with the debt covenants as described in the Credit Facility Agreement.</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Following the result of the Net Borrowings to EBITDA ratio, the Company succeeded in reducing the margin on its A Term Loan Facility and Revolving Credit Facility from 2.25% to 1.75% and the margin on its B Term Loan Facility from 2.75% to 2.50%, both with effect on October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2006.</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total, € 4.1 million were repaid in first quarter 2007. As a consequence, the Senior Term A amounted to € 95.7 million and the senior facility term B &amp; C amounted to € 132.5 million each as of March 31 2007.</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u w:val="single" w:color="auto"/>
          <w:color w:val="auto"/>
        </w:rPr>
        <w:t>MEZZANINE CREDIT FACILITY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finance the July 28, 2005 acquisition, the Company entered on June 20, 2005 into a Mezzanine Credit Facility Agreement with the Mizuho Corporate Bank Ltd. The credit facility consisted of € 110.0 million in mezzanine debt contracted in Euros.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28, 2005, the Company drew down the entirety of the Mezzanine Credit Facility, or € 110.0 million. This mezzanine facility matures July 28, 2015 and bears interest at a rate equal to Euribor, plus a margin of 8.00%. It cannot be prepaid without penalty.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Among other restrictions, the Mezzanine Credit Facility agreement with Mizuho Corporate Bank, Ltd contained financial covenants tested on a quarterly basis starting December 31, 2005. These covenants included maintaining ratios of EBITDA to Net Interest Payable, Cash Flow to Debt Service and EBITDA to Net Borrowings. Other restrictions include a limit on the yearly capital expenditures. To date, the Company is in full compliance with the debt covenants as described in the Credit Facility Agreement.</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u w:val="single" w:color="auto"/>
          <w:color w:val="auto"/>
        </w:rPr>
        <w:t>SHAREHOLDERS CONVERTIBLE NOTES</w:t>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July 28 2005, the Company issued shareholder convertible notes with a nominal value of € 25 each in four series, two which bear interest at Euribor 12 months plus 3,.86 %, and two which are non-interest bearing. Net proceeds of approximately € 161.4 million from the issuance were used to finance the acquisition. Each of the bonds was convertible into one share of common stock at the option of the holder or Company. Additionally, the bonds were redeemable either on demand or at the maturity date at the option of the holder or Company subject to (i) the repayment of all outstanding debt and (ii) the bonds not having been converted. For purposes of redemption (either early or at maturity), the redemption amount was not fixed but equal to the residual equity value of the Company. Accordingly, these have been treated as redeemable residual equity interests and accounted for under EITF Topic D-98 and ASR 268, which requires classification of redeemable securities that would otherwise not represent obligations under SFAS 150, and are redeemable only if specified events occur, at their initial carrying amount outside of permanent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both"/>
        <w:spacing w:after="0" w:line="312" w:lineRule="auto"/>
        <w:rPr>
          <w:sz w:val="20"/>
          <w:szCs w:val="20"/>
          <w:color w:val="auto"/>
        </w:rPr>
      </w:pPr>
      <w:r>
        <w:rPr>
          <w:rFonts w:ascii="Arial" w:cs="Arial" w:eastAsia="Arial" w:hAnsi="Arial"/>
          <w:sz w:val="16"/>
          <w:szCs w:val="16"/>
          <w:color w:val="auto"/>
        </w:rPr>
        <w:t>The interest bearing bonds, 2.016.336 units in A1 and 3.461.136 units in B1 had a final maturity date of July 28th, 2080 and July 28th, 2020, respectively. In accordance with the terms of the A1 and B1 bonds, all interests have been accrued and deferred until future redemption. The total amount accrued within the total shareholder convertible notes balance amounts to € 15.9 million per March 31, 2007 and € 13.3 million per December 31, 2006.</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non-interest bearing shareholder convertible notes, 360.060 units of A2, and 618.060 units of B2 had a final maturity date on July 28, 2080 and July 28, 2020, respectively. The non-interest bearing bonds had been discounted using a 4.02% interest rate equivalent to the long term European bonds rate.</w:t>
      </w:r>
    </w:p>
    <w:p>
      <w:pPr>
        <w:spacing w:after="0" w:line="14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€ 1.63 million of shares of Actaris Metering Systems SA are composed of 64,408 ordinary shares with a nominal value of € 25 each and are pledged in favor of Mizuho Corporate Bank Ltd. and Preferred Shares (€ 20.0 thousand) giving rights for a preferred dividend. Preferred Shares are divided into 800 preferred shares with a nominal value of € 25 each.</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Company reports a net profit for the year, Luxembourg law requires the appropriation of an amount equal to at least 5% of the annual net income to a legal reserve until such reserve equals 10% of the issued share capital. This reserve is not available for dividend distribution.</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u w:val="single" w:color="auto"/>
          <w:color w:val="auto"/>
        </w:rPr>
        <w:t>CONTINGENT AND OTHER NON-CURRENT LIABILITIES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claims and other contingencies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 defendant in a number of legal proceedings arising in the ordinary course of business and has various unresolved claims pending including, amongst others, tax litigations in several different jurisdictions where tax losses, tax incentives and deductibility of certain expenses are challenged. Management has recorded a € 8.7 million provision, out of a total risk of € 15.3 million, in relation with the above cases. The outcome of these lawsuits and claims is not known at this time. Management defends all of these lawsuits vigorously.</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been sued by the minority shareholder of an affiliate (together with the shareholder prior to the 2001 acquisition of the worldwide business) for breach of an alleged preemptive right. Courts have condemned the defendants to pay material compensation damages of about € 10.6 million. All defendants have appealed and, based on independent legal advice, management believes there is no legal reason for this claim and consequently only accrued approximately € 1 million for legal and other related fees.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metals, solvents and similar materials that are stored on-site. The waste created by use of these materials is transported off-site on a regular basis by an unaffiliated waste hauler and is processed by an unaffiliated contractor or vendor. The Company has made a concerted effort to reduce or eliminate the use of mercury and other hazardous materials in its products. The Company believes it is in compliance with regulations relating to the storage, discharge, handling, emission, generation, manufacture and disposal of, or exposure to, toxic or other hazardous substances, except for a trichloroethylene (TCE) soil and groundwater contamination which exists in Frosinone, Italy. At December 31, 2006, the Company has an accrual for environmental remediation amounting to € 0.7 million for environmental remediation works in Frosinone, Italy. The liability for these costs arose when the site was owned by a former operator, Schlumberger. However, the Company believes that it is indemnified against exposure to these costs by Schlumberger and as such the Company will pursue reimbursement as clean-up costs are incurred. Reimbursed amounts are recorded against the receivable when received. The provision for the remediation is included with the warranties and litigations reserve.</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European Union (EU) has enacted the Waste Electrical and Electronic Equipment Directive (“WEEE”), which makes producers of certain types of electrical equipment financially responsible for specified collection, recycling, treatment and disposal of past and future covered products. The deadline for the individual member states of the EU to enact the directive in their respective countries was August 13, 2004 (such legislation, together with the directive is referred to as the WEEE Legislation). Producers participating in the market were financially responsible for implementing these responsibilities under the WEEE Legislation beginning in August 2005. Implementation in certain of the member states has been delayed into 2007. Similar legislation has been or may be enacted in other jurisdictions, including in the United States, Canada, Mexico, China and Japan. China has passed similar legislation, which will take effect March 1, 2007. The liability for such environmental costs is accrued when considered probable and the costs can be reasonably estimated. The Company has determined the liability for our responsibilities under the WEEE Legislation to be immaterial to its operations and financial position at December 31, 2006 and does not currently anticipate material capital expenditures for environmental control facilities. The Company is continuing to evaluate the impact of the WEEE Legislation and similar legislation in other jurisdictions as individual countries issue their implementation guidance.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Other commitments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2007, guarantees issued to local banks in the form of letters of credit for performance and bid bonds were € 21.7 million (€ 15.6 million secured by Mizuho Corporate Bank Ltd and € 6.1 million unsecured) compared to € 22.3 million (€ 17.0 million secured by Mizuho Corporate Bank Ltd and € 5.3 million unsecured) at December 31, 2006.</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accrued in its books a warranty reserve to cover potential manufacturing repair costs. This reserve is based on the expected average return rate of meters that are covered by warranty contractual obligations. Warranties granted by affiliates have, when justified, been supported by Parent Company Guarantees.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2007, The Company has commitments on the sale of one discontinued businesses in the UK, which took place in 2003 for a total of € 1.3 million. These commitments, related to the tax statute of limitations, as per the contract, will expire in 2009.</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satisfactory title to all assets appearing in its balance sheet. No security has been executed under the provisions of the Uniform Commercial Code, and there are no liens or encumbrances on assets, nor has any asset been pledge except:</w:t>
      </w:r>
    </w:p>
    <w:p>
      <w:pPr>
        <w:spacing w:after="0" w:line="197" w:lineRule="exact"/>
        <w:rPr>
          <w:sz w:val="20"/>
          <w:szCs w:val="20"/>
          <w:color w:val="auto"/>
        </w:rPr>
      </w:pPr>
    </w:p>
    <w:p>
      <w:pPr>
        <w:ind w:left="1300" w:hanging="14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pledge of shares in favor of Mizuho Corporate Bank Ltd.</w:t>
      </w:r>
    </w:p>
    <w:p>
      <w:pPr>
        <w:spacing w:after="0" w:line="23" w:lineRule="exact"/>
        <w:rPr>
          <w:rFonts w:ascii="Arial" w:cs="Arial" w:eastAsia="Arial" w:hAnsi="Arial"/>
          <w:sz w:val="18"/>
          <w:szCs w:val="18"/>
          <w:color w:val="auto"/>
        </w:rPr>
      </w:pPr>
    </w:p>
    <w:p>
      <w:pPr>
        <w:ind w:left="1300" w:hanging="145"/>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Mecoindo, the 95% held Indonesian affiliate, where a civil court has decided on February 1, 2006 to forbid the sale or pledge of that affiliate real property and shares.</w:t>
      </w:r>
    </w:p>
    <w:p>
      <w:pPr>
        <w:ind w:left="1300" w:hanging="14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pledge of assets related to the tax claim in Portugal.</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computes income taxes in accordance with the applicable tax rules and regulations in the numerous jurisdictions where its income is earned.</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actual income tax rates can differ from the weighted average statutory rate of 33% and can vary from period to period, due to various weight of operating income in jurisdictions with different statutory rates and new or revised tax legislation. We estimate that our 2007 annual effective income tax rate will be approximately 35%.</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 is provided on temporary differences between the tax values of assets and liabilities and their carrying amounts in the consolidated financial statements. The tax effect of temporary differences is computed using the tax rate enacted at the balance sheet date and the rate expected to apply when the related deferred income tax assets is realized or the deferred income tax liability is settled.</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January 1, 2007, we adopted FIN 48, Accounting for Uncertainty in Income Taxes, an interpretation of FASB 109. As a result of our adoption of FIN 48, we recognized a decrease of € 1.0 million of our tax liabilities. As of January 1, 2007, the amount of unrecognized tax benefits was € 9.2 million that would, if recognized, affect our actual tax rate. We do not expect any reasonably possible material changes to the estimated amount of the liability associated with our unrecognized tax benefits through March 31, 2008. We classified penalties and interests related to income tax benefits in our provision for income taxes. Accrued penalties and interests were € 1.5 million at January 1 2007 and March 31 2007.</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many non US jurisdictions. The number of years with open tax audits varies depending on the tax jurisdiction and in average vary between 3 to 5 years. Tax audits are pending in Saudi Arabia, Singapore, Australia and in the US. While it is often difficult to predict the final outcome or the timing of resolution of any particular uncertain tax position, we believe that our reserves for income taxes reflect the most probable outcome. We adjust these reserves, in light of changing facts and circumstances.</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u w:val="single" w:color="auto"/>
          <w:color w:val="auto"/>
        </w:rPr>
        <w:t>RELATED PARTIES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 contract, dated November 1, 2005, between the Company and AMS Industries S.A., an investment vehicle of one of Actaris’ shareholders, AMS Industries S.A. was paid € 0,3 million in first quarter 2007 for strategic consulting services rendered including advice regarding reparation of projected development plans, long-term market positioning, international development, external growth strategy including advice on acquisition projects that could occur.</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u w:val="single" w:color="auto"/>
          <w:color w:val="auto"/>
        </w:rPr>
        <w:t>NEW ACCOUNTING PRONOUNCEMENTS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2006, the FASB issued SFAS 157, Fair Value Measurements (SFAS 157),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In February 2007, the FASB issued SFAS 159, The Fair Value Option for Financial Assets and Financial Liabilities - Including an amendment of FASB Statement No. 115 (SFAS 159). This statement permits entities to choose to measure many financial assets and liabilities at fair value. Unrealized gains and losses on items for which the fair value option has been elected would be reported in net income. SFAS 159 is effective for fiscal years beginning after November 15, 2007. We are currently evaluating the impact of the adoption of SFAS 159 on our financial statements.</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u w:val="single" w:color="auto"/>
          <w:color w:val="auto"/>
        </w:rPr>
        <w:t>SUBSEQUENT EVENTS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25, 2007, Itron Inc. and the Company entered into a Stock Purchase Agreement which will result in each stockholder of the Company selling, assigning, transferring, conveying or delivering to Itron, Inc. all of the outstanding residual equity of the Company. The parties closed the transaction on April 18, 2007. The total purchase price of the transaction was € 1.2 billion. In conjunction with the transaction, all amounts owing under the Senior Credit Facility (Note 12), the convertible bonds (Note 11), and Mezzanine Credit Facility (Note 13), were repaid in full and cancelled.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21, 2007 the company received a letter the tax administration confirming their claim of € 6.6 million regarding the rejection of tax losses carried forward. Based on independent tax advice, we maintain our position and did not record any additional tax liability.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unaudited pro forma condensed combined financial statements were prepared using the historical consolidated financial statements of Itron, Inc. (Itron) and Actaris Metering Systems SA and Subsidiaries (Actaris). This information should be read in conjunction with, and is qualified in its entirety by, the consolidated financial statements and notes of Itron and Actaris.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pro forma condensed combined financial statements give pro forma effect to Itron’s acquisition of Actaris’ stock, comprised of €800 million in cash (approximately $1.1 billion) plus the retirement of $626.9 million of debt.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 forma adjustments related to the acquisition are preliminary and do not reflect the final purchase price, which may be impacted by additional direct transaction costs, or the final allocation of the excess of the purchase price over the net book value of the assets of Actaris, as the process to assign a fair value to the various tangible and intangible assets acquired and liabilities assumed has not yet been completed. Final adjustments may result in a materially different allocation of the purchase price. The effect of the changes to the statements of operations will depend on the nature and amount of the final purchase price allocation and could be material.</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 forma financials do not reflect nonrecurring charges or credits which result directly from the transaction and which will be included in the statement of operations within the 12 months succeeding the transaction, such as in-process research and development and the increase in fair value of finished goods inventory on the date of acquisition. In addition, the pro forma financial statements do not reflect revenue opportunities and cost savings that we may realize after the acquisition. The pro forma financial information also does not reflect non-recurring charges related to integration activities or exit costs that may be incurred by Itron or Actaris in connection with the acquisition.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condensed combined statements of operations reflect the combined results of operations of Itron and Actaris for the year ended December 31, 2006 and the three months ended March 31, 2007, in both cases as if the acquisition had occurred on January 1, 2006. Reclassifications have been made to the statements of operations of Actaris to conform to Itron’s financial statement classifications.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condensed combined balance sheet assumes that the acquisition took place on March 31, 2007 and combines Itron’s unaudited balance sheet at March 31, 2007 with Actaris’ unaudited balance sheet at March 31, 2007. Reclassifications have been made to the balance sheet of Actaris to conform to Itron’s financial statement classifications. In addition, a reclassification for taxes payable was made to Itron’s financial statement classifications to conform to Actaris’ financial statement classifications.</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pro forma financial information is based on the estimates and assumptions set forth in the notes to such information. The pro forma financial information is preliminary and is being furnished solely for information purposes and, therefore, is not necessarily indicative of the combined results of operations or financial position that might have been achieved for the dates or periods indicated, nor is it necessarily indicative of the results of operations or financial position that may occur in the future. The unaudited pro forma condensed combined balance sheet and unaudited pro forma condensed combined statements of operations should be read in conjunction with the historical financial statements and notes thereto of Itron and Actaris.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center"/>
        <w:ind w:right="-119"/>
        <w:spacing w:after="0"/>
        <w:rPr>
          <w:sz w:val="20"/>
          <w:szCs w:val="20"/>
          <w:color w:val="auto"/>
        </w:rPr>
      </w:pPr>
      <w:r>
        <w:rPr>
          <w:rFonts w:ascii="Arial" w:cs="Arial" w:eastAsia="Arial" w:hAnsi="Arial"/>
          <w:sz w:val="18"/>
          <w:szCs w:val="18"/>
          <w:b w:val="1"/>
          <w:bCs w:val="1"/>
          <w:color w:val="auto"/>
        </w:rPr>
        <w:t>Itron, Inc.</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 ended December 31, 2006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Historical</w:t>
            </w: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Historical</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Pro Forma</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Itron</w:t>
            </w:r>
          </w:p>
        </w:tc>
        <w:tc>
          <w:tcPr>
            <w:tcW w:w="140" w:type="dxa"/>
            <w:vAlign w:val="bottom"/>
          </w:tcPr>
          <w:p>
            <w:pPr>
              <w:spacing w:after="0"/>
              <w:rPr>
                <w:sz w:val="23"/>
                <w:szCs w:val="23"/>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Actaris</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Itron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(in thousands,</w:t>
            </w:r>
          </w:p>
        </w:tc>
        <w:tc>
          <w:tcPr>
            <w:tcW w:w="220" w:type="dxa"/>
            <w:vAlign w:val="bottom"/>
            <w:gridSpan w:val="2"/>
          </w:tcPr>
          <w:p>
            <w:pPr>
              <w:spacing w:after="0"/>
              <w:rPr>
                <w:sz w:val="18"/>
                <w:szCs w:val="18"/>
                <w:color w:val="auto"/>
              </w:rPr>
            </w:pPr>
          </w:p>
        </w:tc>
        <w:tc>
          <w:tcPr>
            <w:tcW w:w="18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w w:val="95"/>
              </w:rPr>
              <w:t>except per share data)</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644,042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981,250</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376,600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267,442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291,832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63,587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58,774</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31,611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52,213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31,125</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18,262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51,082</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Restructurings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9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205,699</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188,147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51,082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444,928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61,743</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103,685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(51,082)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9,497</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(7,458)</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(17,785)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(28,564)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(4,917)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(87,104)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(18,476)</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(18,072)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33,723</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24,538</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(53,381)</w:t>
            </w:r>
          </w:p>
        </w:tc>
        <w:tc>
          <w:tcPr>
            <w:tcW w:w="3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25,414</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4,087</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4" w:right="359" w:bottom="1440" w:gutter="0" w:footer="0" w:header="0"/>
        </w:sectPr>
      </w:pPr>
    </w:p>
    <w:bookmarkStart w:id="47" w:name="page48"/>
    <w:bookmarkEnd w:id="47"/>
    <w:p>
      <w:pPr>
        <w:jc w:val="center"/>
        <w:ind w:right="-1019"/>
        <w:spacing w:after="0"/>
        <w:rPr>
          <w:sz w:val="20"/>
          <w:szCs w:val="20"/>
          <w:color w:val="auto"/>
        </w:rPr>
      </w:pPr>
      <w:r>
        <w:rPr>
          <w:rFonts w:ascii="Arial" w:cs="Arial" w:eastAsia="Arial" w:hAnsi="Arial"/>
          <w:sz w:val="18"/>
          <w:szCs w:val="18"/>
          <w:b w:val="1"/>
          <w:bCs w:val="1"/>
          <w:color w:val="auto"/>
        </w:rPr>
        <w:t>Itron, Inc.</w:t>
      </w:r>
    </w:p>
    <w:p>
      <w:pPr>
        <w:spacing w:after="0" w:line="252"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For the three months ended March 31, 2007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Historical</w:t>
            </w:r>
          </w:p>
        </w:tc>
        <w:tc>
          <w:tcPr>
            <w:tcW w:w="140" w:type="dxa"/>
            <w:vAlign w:val="bottom"/>
          </w:tcPr>
          <w:p>
            <w:pPr>
              <w:spacing w:after="0"/>
              <w:rPr>
                <w:sz w:val="18"/>
                <w:szCs w:val="18"/>
                <w:color w:val="auto"/>
              </w:rPr>
            </w:pPr>
          </w:p>
        </w:tc>
        <w:tc>
          <w:tcPr>
            <w:tcW w:w="11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Historical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Pro Forma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Itron</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Actaris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9"/>
              </w:rPr>
              <w:t>Adjustments</w:t>
            </w:r>
          </w:p>
        </w:tc>
        <w:tc>
          <w:tcPr>
            <w:tcW w:w="3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Itron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9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89"/>
              </w:rPr>
              <w:t>except per share data)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283,363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revenues</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86,586</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87,790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21,602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15,821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16,958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7,040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19,535</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Restructurings</w:t>
            </w: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78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52,025</w:t>
            </w:r>
          </w:p>
        </w:tc>
        <w:tc>
          <w:tcPr>
            <w:tcW w:w="14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53,619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19,535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income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9,300</w:t>
            </w:r>
          </w:p>
        </w:tc>
        <w:tc>
          <w:tcPr>
            <w:tcW w:w="14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34,171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(19,535)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6,089</w:t>
            </w:r>
          </w:p>
        </w:tc>
        <w:tc>
          <w:tcPr>
            <w:tcW w:w="14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(5,868)</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(1,557)</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19,154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(4,220)</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(6,818)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11,607</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12,336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(20,506)</w:t>
            </w:r>
          </w:p>
        </w:tc>
        <w:tc>
          <w:tcPr>
            <w:tcW w:w="3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27,198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27,980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9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364" w:right="1259" w:bottom="1440" w:gutter="0" w:footer="0" w:header="0"/>
        </w:sectPr>
      </w:pPr>
    </w:p>
    <w:bookmarkStart w:id="48" w:name="page49"/>
    <w:bookmarkEnd w:id="48"/>
    <w:p>
      <w:pPr>
        <w:jc w:val="center"/>
        <w:ind w:right="-239"/>
        <w:spacing w:after="0"/>
        <w:rPr>
          <w:sz w:val="20"/>
          <w:szCs w:val="20"/>
          <w:color w:val="auto"/>
        </w:rPr>
      </w:pPr>
      <w:r>
        <w:rPr>
          <w:rFonts w:ascii="Arial" w:cs="Arial" w:eastAsia="Arial" w:hAnsi="Arial"/>
          <w:sz w:val="18"/>
          <w:szCs w:val="18"/>
          <w:b w:val="1"/>
          <w:bCs w:val="1"/>
          <w:color w:val="auto"/>
        </w:rPr>
        <w:t>Itron, Inc.</w:t>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At March 31, 2007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Historical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Historical</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Pro Forma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Itron</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Actaris</w:t>
            </w: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3"/>
              </w:rPr>
              <w:t>Adjustments</w:t>
            </w:r>
          </w:p>
        </w:tc>
        <w:tc>
          <w:tcPr>
            <w:tcW w:w="28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Itron</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2180"/>
              <w:spacing w:after="0" w:line="201" w:lineRule="exact"/>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right"/>
              <w:ind w:right="1000"/>
              <w:spacing w:after="0" w:line="201"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(595,452)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124,227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201,546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112,766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6,086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33,813</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7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840,197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398,494</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(595,452)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643,239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193,009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258,837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321,062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127,248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294,487</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825,558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1,247,293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18,498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5,950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61,262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1,239,138</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1,192,239</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557,118</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2,988,495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6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48,734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218,806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(6,293)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38,263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Current pension plan liability</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3,999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Current portion of warranty</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3,789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23,720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Unearned revenue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294,891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plan liability</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70,081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469,349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622,159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501,872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1,593,380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106,996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125,072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Warranty</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3,789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purchase price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Other obligations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1,123,478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625,879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2,355,668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Shareholder convertible notes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215,718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(215,718)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(146,957)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146,957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7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1,239,138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1,192,239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557,118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2,988,495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64"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Purchase Price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18, 2007, Itron, Inc. (Itron) completed the acquisition of Actaris Metering Systems SA (Actaris) for €800 million (approximately $1.1 billion) plus the retirement of $626.9 million of debt. The acquisition was financed with a $1.1 billion senior secured credit facility, $235 million from the sale of 4.1 million shares of common stock to certain institutional investors and cash on hand. The acquisition includes all of Actaris’ electricity, gas and water meter manufacturing and sales operations, located primarily outside of North America.</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condensed combined financial information reflects a preliminary allocation of the purchase price. The estimated fair values of the assets acquired and liabilities assumed are not yet complete and are subject to future adjustments. The significant items which could change are tangible and intangible assets, goodwill, commitments and contingencies, deferred taxes, pension liabilities and restructuring activities. The valuations of these significant items are currently underway.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 forma financials do not reflect nonrecurring charges or credits which result directly from the transaction and which will be included in the statement of operations within the 12 months succeeding the transaction, such as in-process research and development and the increase in fair value of finished goods inventory on the date of acquisition. In addition, the pro forma financial statements do not reflect revenue opportunities and cost savings that we may realize after the acquisition. The pro forma financial information also does not reflect non-recurring charges related to integration activities or exit costs that may be incurred by Itron or Actaris in connection with the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which includes estimated direct transaction costs, is summarized as follows (in thousands):</w:t>
      </w:r>
    </w:p>
    <w:p>
      <w:pPr>
        <w:spacing w:after="0" w:line="267"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$ 1,688,592</w:t>
            </w:r>
          </w:p>
        </w:tc>
        <w:tc>
          <w:tcPr>
            <w:tcW w:w="60" w:type="dxa"/>
            <w:vAlign w:val="bottom"/>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10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17,938</w:t>
            </w:r>
          </w:p>
        </w:tc>
        <w:tc>
          <w:tcPr>
            <w:tcW w:w="60" w:type="dxa"/>
            <w:vAlign w:val="bottom"/>
          </w:tcPr>
          <w:p>
            <w:pPr>
              <w:spacing w:after="0"/>
              <w:rPr>
                <w:sz w:val="19"/>
                <w:szCs w:val="19"/>
                <w:color w:val="auto"/>
              </w:rPr>
            </w:pPr>
          </w:p>
        </w:tc>
      </w:tr>
      <w:tr>
        <w:trPr>
          <w:trHeight w:val="257"/>
        </w:trPr>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purchase price</w:t>
            </w:r>
          </w:p>
        </w:tc>
        <w:tc>
          <w:tcPr>
            <w:tcW w:w="10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$ 1,706,530</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 forma purposes only, assuming the transaction was consummated on March 31, 2007 and not on the actual acquisition date of April 18, 2007, the preliminary allocation of the purchase price would be as follows (in thousands):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(in months)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tangible net assets acquired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301,073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 - amortizable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Core-developed technology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326,610</w:t>
            </w:r>
          </w:p>
        </w:tc>
        <w:tc>
          <w:tcPr>
            <w:tcW w:w="1280" w:type="dxa"/>
            <w:vAlign w:val="bottom"/>
            <w:gridSpan w:val="2"/>
          </w:tcPr>
          <w:p>
            <w:pPr>
              <w:jc w:val="right"/>
              <w:ind w:right="31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contracts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153,307</w:t>
            </w:r>
          </w:p>
        </w:tc>
        <w:tc>
          <w:tcPr>
            <w:tcW w:w="12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Trademarks and tradenames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99,982</w:t>
            </w:r>
          </w:p>
        </w:tc>
        <w:tc>
          <w:tcPr>
            <w:tcW w:w="1280" w:type="dxa"/>
            <w:vAlign w:val="bottom"/>
            <w:gridSpan w:val="2"/>
          </w:tcPr>
          <w:p>
            <w:pPr>
              <w:jc w:val="right"/>
              <w:ind w:right="31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825,558</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40"/>
              <w:spacing w:after="0"/>
              <w:rPr>
                <w:sz w:val="20"/>
                <w:szCs w:val="20"/>
                <w:color w:val="auto"/>
              </w:rPr>
            </w:pPr>
            <w:r>
              <w:rPr>
                <w:rFonts w:ascii="Arial" w:cs="Arial" w:eastAsia="Arial" w:hAnsi="Arial"/>
                <w:sz w:val="18"/>
                <w:szCs w:val="18"/>
                <w:color w:val="auto"/>
              </w:rPr>
              <w:t>Total net assets acquired</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1,706,530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preliminary values assigned to the identifiable intangible assets were determined using the income approach, which reflects the present value of the projected cash flows that are expected to be generated by the products. We have not yet completed the forecasted cash flows for each of the product groups; therefore, the preliminary intangible asset values represent an average of an estimated range and life. We will update the fair values upon completion of our fair value assessment. The intangible assets will be amortized over the estimated useful lives of the estimated discounted cash flows assumed in the valuation models.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yet completed enough work to estimate the fair value of finished goods and work in process inventory and in-process research and development (IPR&amp;D) acquired at the acquisition date. Once we have determined an estimate of the fair values for inventory, our statement of operations will reflect an increase in cost of sales (and reduced margins) in the periods the inventory is subsequently sold. We expect to expense the estimated fair value of IPR&amp;D in the second quarter of 2007, with any adjustments for the finalization of the valuations made in subsequent periods.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completed enough work to estimate the fair value of property, plant and equipment at the acquisition date, and therefore, have not reflected an adjustment to the pro forma financial statements. However, we do not expect a fair value adjustment to property, plant and equipment to be significant.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excess of the purchase price over the fair value of net assets acquired has been classified as goodwill.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 forma condensed combined financial information is intended for information purposes only and does not purport to represent what the combined companies’ results of operations or financial position would actually have been had the transaction in fact occurred at an earlier date or project the results for any future date or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combined statements of operations reflect the condensed combined results of operations of Itron and Actaris for the year ended December 31, 2006 and the three months ended March 31, 2007, in both cases as if the acquisition had occurred on January 1, 2006. The unaudited pro forma combined balance sheet assumes that the acquisition took place on March 31, 2007 and combines Itron’s unaudited balance sheet at March 31, 2007 with Actaris’ unaudited balance sheet at March 31, 2007. The pro forma condensed combined financial information is reported in U.S. dollars. The results of operations of Actaris were translated to U.S. dollars using an average rate for the relevant reporting period. The balance sheet of Actaris was translated to U.S. dollars at the exchange rate in effect at March 31, 2007.</w:t>
      </w:r>
    </w:p>
    <w:p>
      <w:pPr>
        <w:spacing w:after="0" w:line="22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adjustments are reflected in the unaudited pro forma condensed combined statements of operations and the unaudited pro forma condensed combined balance sheet to reflect the estimated impact of the merger on the historical combined results of Itron and Actaris (in thousands, except per share data).</w:t>
      </w:r>
    </w:p>
    <w:p>
      <w:pPr>
        <w:spacing w:after="0" w:line="208" w:lineRule="exact"/>
        <w:rPr>
          <w:sz w:val="20"/>
          <w:szCs w:val="20"/>
          <w:color w:val="auto"/>
        </w:rPr>
      </w:pPr>
    </w:p>
    <w:p>
      <w:pPr>
        <w:jc w:val="both"/>
        <w:ind w:left="660" w:hanging="652"/>
        <w:spacing w:after="0" w:line="28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adjustment to eliminate historical amortization expense for Actaris of $18,262 and $4,764 for the year ended December 31, 2006 and the three months ended March 31, 2007, respectively, and to increase amortization expense for the estimated fair value of intangible assets acquired in the Actaris acquisition of $69,344 and $24,299 for the year ended December 31, 2006 and the three months ended March 31, 2007, respectively.</w:t>
      </w:r>
    </w:p>
    <w:p>
      <w:pPr>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reduce interest income earned on the proceeds from the senior subordinated convertible notes issued on August 4, 2006, which were placed in short-term investments or cash equivalents and subsequently used to purchase Actaris.</w:t>
      </w:r>
    </w:p>
    <w:p>
      <w:pPr>
        <w:jc w:val="both"/>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adjustment consists of an increase in interest expense of $85,524 for new debt issued in connection with the acquisition, including amortization of deferred financing costs, and a decrease in interest expense of $56,960 for Actaris debt repaid upon the acquisition closing. A change in interest rate of 0.125% would result in a change in interest expense of $1,402.</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revise the income tax provision utilizing Itron’s estimated statutory rate of 36.5%.</w:t>
      </w:r>
    </w:p>
    <w:p>
      <w:pPr>
        <w:spacing w:after="0" w:line="9" w:lineRule="exact"/>
        <w:rPr>
          <w:rFonts w:ascii="Arial" w:cs="Arial" w:eastAsia="Arial" w:hAnsi="Arial"/>
          <w:sz w:val="18"/>
          <w:szCs w:val="18"/>
          <w:color w:val="auto"/>
        </w:rPr>
      </w:pPr>
    </w:p>
    <w:p>
      <w:pPr>
        <w:jc w:val="both"/>
        <w:ind w:left="660" w:hanging="652"/>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Adjustment to reflect the issuance of 4,086,958 shares of common stock, no par value, to certain institutional investors pursuant to a securities purchase agreement dated February 25, 2007, assuming issuance on January 1, 2006. For our senior subordinated convertible notes, we use the net share settlement method in accordance with FASB's Emerging Issues Tax Force 04-08, </w:t>
      </w:r>
      <w:r>
        <w:rPr>
          <w:rFonts w:ascii="Arial" w:cs="Arial" w:eastAsia="Arial" w:hAnsi="Arial"/>
          <w:sz w:val="16"/>
          <w:szCs w:val="16"/>
          <w:i w:val="1"/>
          <w:iCs w:val="1"/>
          <w:color w:val="auto"/>
        </w:rPr>
        <w:t>The Effect of Contingently Convertible Instruments on</w:t>
      </w:r>
      <w:r>
        <w:rPr>
          <w:rFonts w:ascii="Arial" w:cs="Arial" w:eastAsia="Arial" w:hAnsi="Arial"/>
          <w:sz w:val="16"/>
          <w:szCs w:val="16"/>
          <w:color w:val="auto"/>
        </w:rPr>
        <w:t xml:space="preserve"> </w:t>
      </w:r>
      <w:r>
        <w:rPr>
          <w:rFonts w:ascii="Arial" w:cs="Arial" w:eastAsia="Arial" w:hAnsi="Arial"/>
          <w:sz w:val="16"/>
          <w:szCs w:val="16"/>
          <w:i w:val="1"/>
          <w:iCs w:val="1"/>
          <w:color w:val="auto"/>
        </w:rPr>
        <w:t>Diluted Earnings per Share</w:t>
      </w:r>
      <w:r>
        <w:rPr>
          <w:rFonts w:ascii="Arial" w:cs="Arial" w:eastAsia="Arial" w:hAnsi="Arial"/>
          <w:sz w:val="16"/>
          <w:szCs w:val="16"/>
          <w:color w:val="auto"/>
        </w:rPr>
        <w:t>. Under the net share settlement method, we include the amount of shares it would take to satisfy the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assuming that all of the convertible notes are surrendered. The average closing price of our common stock at the end of the period is used as the basis for determining dilution. We estimate that dilution to our basic and diluted earnings per share from our average stock price exceeding the conversion price of $65.16 would be approximately 2.5 cents and 2.4 cents for the year ended December 31, 2006, respectively.</w:t>
      </w:r>
    </w:p>
    <w:p>
      <w:pPr>
        <w:spacing w:after="0" w:line="4"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reduce interest income earned on the proceeds from the senior subordinated convertible notes issued on August 4, 2006 and the proceeds from the March 1, 2007 issuance of 4,086,958 shares of common stock to certain institutional investors with net proceeds of $225.3 million, both of which were placed in short-term investments or cash equivalents.</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adjustment consists of an increase in interest expense of $20,447 for new debt issued in connection with the acquisition, including amortization of deferred financing costs, and a decrease in interest expense of $15,294 for debt repaid upon the acquisition closing. A change in interest rate of 0.125% would result in a change in interest expense of $353.</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remove the unrealized gain on the change in fair value of a foreign currency range forward contract, which was entered into to reduce Itron’s exposure between the date of the acquisition agreement and the date of the acquisition closing to declines in the value of the U.S. dollar and pound sterling relative to the euro denominated purchase price.</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eliminate antidilutive shares as a result of the pro forma net loss for the three months ended March 31, 2007.</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includes cash used in the acquisition purchase price of $577,514 and payment for professional services related to the acquisition of $17,938.</w:t>
      </w:r>
    </w:p>
    <w:p>
      <w:pPr>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reflect intangible assets identified and the fair values assigned, which are preliminary and subject to completion of our fair value assessment.</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reflects estimated goodwill from the acquisition after allocating the purchase price to the fair value of net assets acquired.</w:t>
      </w:r>
    </w:p>
    <w:p>
      <w:pPr>
        <w:spacing w:after="0" w:line="9"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adjustment represents the increase in debt issuance costs of $14,799 and the removal of direct acquisition costs of $8,849, such as professional services, incurred through March 31, 2007.</w:t>
      </w:r>
    </w:p>
    <w:p>
      <w:pPr>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remove $2,707 of accrued professional services related to the acquisition, which were recorded in Itron’s financial statements, and remove accrued interest on Actaris' borrowings of $3,586 that were retired on the date of acquisition.</w:t>
      </w:r>
    </w:p>
    <w:p>
      <w:pPr>
        <w:ind w:left="660" w:hanging="652"/>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Net adjustment to reflect the retirement of Actaris’ current and long-term debt of $6,314 and $622,159 and add the current and long-term portions of the senior secured credit facility Itron used to finance the acquisition, which were $11,542 and $1,124,031, respectively.</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reflect deferred income taxes as if the acquisition occurred on March 31, 2007.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eliminates Actaris’ shareholder convertible notes, which were held by certain of the selling shareholders.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eliminates Actaris’ shareholders’ equity.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2019-12-13T15:39:40Z</dcterms:created>
  <dcterms:modified xsi:type="dcterms:W3CDTF">2019-12-13T15:39:40Z</dcterms:modified>
</cp:coreProperties>
</file>