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6" w:lineRule="exact"/>
        <w:rPr>
          <w:sz w:val="24"/>
          <w:szCs w:val="24"/>
          <w:color w:val="auto"/>
        </w:rPr>
      </w:pPr>
    </w:p>
    <w:p>
      <w:pPr>
        <w:ind w:left="4200"/>
        <w:spacing w:after="0"/>
        <w:rPr>
          <w:sz w:val="20"/>
          <w:szCs w:val="20"/>
          <w:color w:val="auto"/>
        </w:rPr>
      </w:pPr>
      <w:r>
        <w:rPr>
          <w:rFonts w:ascii="Arial" w:cs="Arial" w:eastAsia="Arial" w:hAnsi="Arial"/>
          <w:sz w:val="22"/>
          <w:szCs w:val="22"/>
          <w:b w:val="1"/>
          <w:bCs w:val="1"/>
          <w:color w:val="auto"/>
        </w:rPr>
        <w:t>____________________________</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40"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349" w:lineRule="exact"/>
        <w:rPr>
          <w:sz w:val="24"/>
          <w:szCs w:val="24"/>
          <w:color w:val="auto"/>
        </w:rPr>
      </w:pPr>
    </w:p>
    <w:p>
      <w:pPr>
        <w:jc w:val="center"/>
        <w:ind w:right="-39"/>
        <w:spacing w:after="0"/>
        <w:rPr>
          <w:sz w:val="20"/>
          <w:szCs w:val="20"/>
          <w:color w:val="auto"/>
        </w:rPr>
      </w:pPr>
      <w:r>
        <w:rPr>
          <w:rFonts w:ascii="Arial" w:cs="Arial" w:eastAsia="Arial" w:hAnsi="Arial"/>
          <w:sz w:val="20"/>
          <w:szCs w:val="20"/>
          <w:b w:val="1"/>
          <w:bCs w:val="1"/>
          <w:color w:val="auto"/>
        </w:rPr>
        <w:t>May 4,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31115</wp:posOffset>
            </wp:positionV>
            <wp:extent cx="21266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Date of Report (Date of Earliest Event Reported)</w:t>
      </w:r>
    </w:p>
    <w:p>
      <w:pPr>
        <w:spacing w:after="0" w:line="200" w:lineRule="exact"/>
        <w:rPr>
          <w:sz w:val="24"/>
          <w:szCs w:val="24"/>
          <w:color w:val="auto"/>
        </w:rPr>
      </w:pP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ITRON,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1626235</wp:posOffset>
            </wp:positionH>
            <wp:positionV relativeFrom="paragraph">
              <wp:posOffset>31115</wp:posOffset>
            </wp:positionV>
            <wp:extent cx="40049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004945" cy="8890"/>
                    </a:xfrm>
                    <a:prstGeom prst="rect">
                      <a:avLst/>
                    </a:prstGeom>
                    <a:noFill/>
                  </pic:spPr>
                </pic:pic>
              </a:graphicData>
            </a:graphic>
          </wp:anchor>
        </w:drawing>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(Exact Name of Registrant as Specified in its Charter)</w:t>
      </w:r>
    </w:p>
    <w:p>
      <w:pPr>
        <w:spacing w:after="0" w:line="200" w:lineRule="exact"/>
        <w:rPr>
          <w:sz w:val="24"/>
          <w:szCs w:val="24"/>
          <w:color w:val="auto"/>
        </w:rPr>
      </w:pPr>
    </w:p>
    <w:p>
      <w:pPr>
        <w:spacing w:after="0" w:line="205" w:lineRule="exact"/>
        <w:rPr>
          <w:sz w:val="24"/>
          <w:szCs w:val="24"/>
          <w:color w:val="auto"/>
        </w:rPr>
      </w:pPr>
    </w:p>
    <w:tbl>
      <w:tblPr>
        <w:tblLayout w:type="fixed"/>
        <w:tblInd w:w="1220" w:type="dxa"/>
        <w:tblCellMar>
          <w:top w:w="0" w:type="dxa"/>
          <w:left w:w="0" w:type="dxa"/>
          <w:bottom w:w="0" w:type="dxa"/>
          <w:right w:w="0" w:type="dxa"/>
        </w:tblCellMar>
      </w:tblPr>
      <w:tr>
        <w:trPr>
          <w:trHeight w:val="256"/>
        </w:trPr>
        <w:tc>
          <w:tcPr>
            <w:tcW w:w="3160" w:type="dxa"/>
            <w:vAlign w:val="bottom"/>
            <w:gridSpan w:val="2"/>
          </w:tcPr>
          <w:p>
            <w:pPr>
              <w:jc w:val="center"/>
              <w:ind w:right="280"/>
              <w:spacing w:after="0"/>
              <w:rPr>
                <w:sz w:val="20"/>
                <w:szCs w:val="20"/>
                <w:color w:val="auto"/>
              </w:rPr>
            </w:pPr>
            <w:r>
              <w:rPr>
                <w:rFonts w:ascii="Arial" w:cs="Arial" w:eastAsia="Arial" w:hAnsi="Arial"/>
                <w:sz w:val="20"/>
                <w:szCs w:val="20"/>
                <w:b w:val="1"/>
                <w:bCs w:val="1"/>
                <w:color w:val="auto"/>
                <w:w w:val="87"/>
              </w:rPr>
              <w:t>Washington</w:t>
            </w:r>
          </w:p>
        </w:tc>
        <w:tc>
          <w:tcPr>
            <w:tcW w:w="2780" w:type="dxa"/>
            <w:vAlign w:val="bottom"/>
          </w:tcPr>
          <w:p>
            <w:pPr>
              <w:jc w:val="right"/>
              <w:ind w:right="861"/>
              <w:spacing w:after="0"/>
              <w:rPr>
                <w:sz w:val="20"/>
                <w:szCs w:val="20"/>
                <w:color w:val="auto"/>
              </w:rPr>
            </w:pPr>
            <w:r>
              <w:rPr>
                <w:rFonts w:ascii="Arial" w:cs="Arial" w:eastAsia="Arial" w:hAnsi="Arial"/>
                <w:sz w:val="20"/>
                <w:szCs w:val="20"/>
                <w:b w:val="1"/>
                <w:bCs w:val="1"/>
                <w:color w:val="auto"/>
              </w:rPr>
              <w:t>000-22418</w:t>
            </w:r>
          </w:p>
        </w:tc>
        <w:tc>
          <w:tcPr>
            <w:tcW w:w="260" w:type="dxa"/>
            <w:vAlign w:val="bottom"/>
          </w:tcPr>
          <w:p>
            <w:pPr>
              <w:spacing w:after="0"/>
              <w:rPr>
                <w:sz w:val="22"/>
                <w:szCs w:val="22"/>
                <w:color w:val="auto"/>
              </w:rPr>
            </w:pPr>
          </w:p>
        </w:tc>
        <w:tc>
          <w:tcPr>
            <w:tcW w:w="2780" w:type="dxa"/>
            <w:vAlign w:val="bottom"/>
          </w:tcPr>
          <w:p>
            <w:pPr>
              <w:jc w:val="center"/>
              <w:spacing w:after="0"/>
              <w:rPr>
                <w:sz w:val="20"/>
                <w:szCs w:val="20"/>
                <w:color w:val="auto"/>
              </w:rPr>
            </w:pPr>
            <w:r>
              <w:rPr>
                <w:rFonts w:ascii="Arial" w:cs="Arial" w:eastAsia="Arial" w:hAnsi="Arial"/>
                <w:sz w:val="20"/>
                <w:szCs w:val="20"/>
                <w:b w:val="1"/>
                <w:bCs w:val="1"/>
                <w:color w:val="auto"/>
                <w:w w:val="88"/>
              </w:rPr>
              <w:t>91-1011792</w:t>
            </w:r>
          </w:p>
        </w:tc>
      </w:tr>
      <w:tr>
        <w:trPr>
          <w:trHeight w:val="23"/>
        </w:trPr>
        <w:tc>
          <w:tcPr>
            <w:tcW w:w="288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r>
      <w:tr>
        <w:trPr>
          <w:trHeight w:val="233"/>
        </w:trPr>
        <w:tc>
          <w:tcPr>
            <w:tcW w:w="3160" w:type="dxa"/>
            <w:vAlign w:val="bottom"/>
            <w:gridSpan w:val="2"/>
          </w:tcPr>
          <w:p>
            <w:pPr>
              <w:jc w:val="center"/>
              <w:ind w:right="280"/>
              <w:spacing w:after="0"/>
              <w:rPr>
                <w:sz w:val="20"/>
                <w:szCs w:val="20"/>
                <w:color w:val="auto"/>
              </w:rPr>
            </w:pPr>
            <w:r>
              <w:rPr>
                <w:rFonts w:ascii="Arial" w:cs="Arial" w:eastAsia="Arial" w:hAnsi="Arial"/>
                <w:sz w:val="20"/>
                <w:szCs w:val="20"/>
                <w:color w:val="auto"/>
                <w:w w:val="90"/>
              </w:rPr>
              <w:t>(State or Other Jurisdiction</w:t>
            </w:r>
          </w:p>
        </w:tc>
        <w:tc>
          <w:tcPr>
            <w:tcW w:w="2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80" w:type="dxa"/>
            <w:vAlign w:val="bottom"/>
          </w:tcPr>
          <w:p>
            <w:pPr>
              <w:jc w:val="center"/>
              <w:spacing w:after="0"/>
              <w:rPr>
                <w:sz w:val="20"/>
                <w:szCs w:val="20"/>
                <w:color w:val="auto"/>
              </w:rPr>
            </w:pPr>
            <w:r>
              <w:rPr>
                <w:rFonts w:ascii="Arial" w:cs="Arial" w:eastAsia="Arial" w:hAnsi="Arial"/>
                <w:sz w:val="20"/>
                <w:szCs w:val="20"/>
                <w:color w:val="auto"/>
                <w:w w:val="92"/>
              </w:rPr>
              <w:t>(IRS Employer</w:t>
            </w:r>
          </w:p>
        </w:tc>
      </w:tr>
      <w:tr>
        <w:trPr>
          <w:trHeight w:val="250"/>
        </w:trPr>
        <w:tc>
          <w:tcPr>
            <w:tcW w:w="3160" w:type="dxa"/>
            <w:vAlign w:val="bottom"/>
            <w:gridSpan w:val="2"/>
          </w:tcPr>
          <w:p>
            <w:pPr>
              <w:jc w:val="center"/>
              <w:ind w:right="280"/>
              <w:spacing w:after="0"/>
              <w:rPr>
                <w:sz w:val="20"/>
                <w:szCs w:val="20"/>
                <w:color w:val="auto"/>
              </w:rPr>
            </w:pPr>
            <w:r>
              <w:rPr>
                <w:rFonts w:ascii="Arial" w:cs="Arial" w:eastAsia="Arial" w:hAnsi="Arial"/>
                <w:sz w:val="20"/>
                <w:szCs w:val="20"/>
                <w:color w:val="auto"/>
                <w:w w:val="93"/>
              </w:rPr>
              <w:t>of Incorporation)</w:t>
            </w:r>
          </w:p>
        </w:tc>
        <w:tc>
          <w:tcPr>
            <w:tcW w:w="3040" w:type="dxa"/>
            <w:vAlign w:val="bottom"/>
            <w:gridSpan w:val="2"/>
          </w:tcPr>
          <w:p>
            <w:pPr>
              <w:jc w:val="center"/>
              <w:ind w:right="260"/>
              <w:spacing w:after="0"/>
              <w:rPr>
                <w:sz w:val="20"/>
                <w:szCs w:val="20"/>
                <w:color w:val="auto"/>
              </w:rPr>
            </w:pPr>
            <w:r>
              <w:rPr>
                <w:rFonts w:ascii="Arial" w:cs="Arial" w:eastAsia="Arial" w:hAnsi="Arial"/>
                <w:sz w:val="20"/>
                <w:szCs w:val="20"/>
                <w:color w:val="auto"/>
                <w:w w:val="91"/>
              </w:rPr>
              <w:t>(Commission File No.)</w:t>
            </w:r>
          </w:p>
        </w:tc>
        <w:tc>
          <w:tcPr>
            <w:tcW w:w="2780" w:type="dxa"/>
            <w:vAlign w:val="bottom"/>
          </w:tcPr>
          <w:p>
            <w:pPr>
              <w:jc w:val="center"/>
              <w:spacing w:after="0"/>
              <w:rPr>
                <w:sz w:val="20"/>
                <w:szCs w:val="20"/>
                <w:color w:val="auto"/>
              </w:rPr>
            </w:pPr>
            <w:r>
              <w:rPr>
                <w:rFonts w:ascii="Arial" w:cs="Arial" w:eastAsia="Arial" w:hAnsi="Arial"/>
                <w:sz w:val="20"/>
                <w:szCs w:val="20"/>
                <w:color w:val="auto"/>
                <w:w w:val="95"/>
              </w:rPr>
              <w:t>Identification No.)</w:t>
            </w:r>
          </w:p>
        </w:tc>
      </w:tr>
    </w:tbl>
    <w:p>
      <w:pPr>
        <w:spacing w:after="0" w:line="378"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2111 N. Molter Road, Liberty Lake, WA 99019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31115</wp:posOffset>
            </wp:positionV>
            <wp:extent cx="59861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(Address of Principal Executive Offices, Zip Code)</w:t>
      </w:r>
    </w:p>
    <w:p>
      <w:pPr>
        <w:spacing w:after="0" w:line="399"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(509) 924-9900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31115</wp:posOffset>
            </wp:positionV>
            <wp:extent cx="59861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639445</wp:posOffset>
            </wp:positionH>
            <wp:positionV relativeFrom="paragraph">
              <wp:posOffset>456565</wp:posOffset>
            </wp:positionV>
            <wp:extent cx="59861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861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2" w:lineRule="exact"/>
        <w:rPr>
          <w:sz w:val="24"/>
          <w:szCs w:val="24"/>
          <w:color w:val="auto"/>
        </w:rPr>
      </w:pPr>
    </w:p>
    <w:p>
      <w:pPr>
        <w:jc w:val="center"/>
        <w:ind w:right="-19"/>
        <w:spacing w:after="0"/>
        <w:rPr>
          <w:sz w:val="20"/>
          <w:szCs w:val="20"/>
          <w:color w:val="auto"/>
        </w:rPr>
      </w:pPr>
      <w:r>
        <w:rPr>
          <w:rFonts w:ascii="Arial" w:cs="Arial" w:eastAsia="Arial" w:hAnsi="Arial"/>
          <w:sz w:val="20"/>
          <w:szCs w:val="20"/>
          <w:color w:val="auto"/>
        </w:rPr>
        <w:t>(Former Name or Former Address, if Changed Since Last Report)</w:t>
      </w:r>
    </w:p>
    <w:p>
      <w:pPr>
        <w:spacing w:after="0" w:line="200" w:lineRule="exact"/>
        <w:rPr>
          <w:sz w:val="24"/>
          <w:szCs w:val="24"/>
          <w:color w:val="auto"/>
        </w:rPr>
      </w:pPr>
    </w:p>
    <w:p>
      <w:pPr>
        <w:spacing w:after="0" w:line="259" w:lineRule="exact"/>
        <w:rPr>
          <w:sz w:val="24"/>
          <w:szCs w:val="24"/>
          <w:color w:val="auto"/>
        </w:rPr>
      </w:pPr>
    </w:p>
    <w:p>
      <w:pPr>
        <w:spacing w:after="0" w:line="260" w:lineRule="auto"/>
        <w:rPr>
          <w:sz w:val="20"/>
          <w:szCs w:val="20"/>
          <w:color w:val="auto"/>
        </w:rPr>
      </w:pPr>
      <w:r>
        <w:rPr>
          <w:rFonts w:ascii="Arial" w:cs="Arial" w:eastAsia="Arial" w:hAnsi="Arial"/>
          <w:sz w:val="20"/>
          <w:szCs w:val="20"/>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20"/>
        <w:spacing w:after="0"/>
        <w:rPr>
          <w:sz w:val="20"/>
          <w:szCs w:val="20"/>
          <w:color w:val="auto"/>
        </w:rPr>
      </w:pPr>
      <w:r>
        <w:rPr>
          <w:rFonts w:ascii="Arial" w:cs="Arial" w:eastAsia="Arial" w:hAnsi="Arial"/>
          <w:sz w:val="20"/>
          <w:szCs w:val="20"/>
          <w:color w:val="auto"/>
        </w:rPr>
        <w:t>[ ] Written communications pursuant to Rule 425 under Securities Act (17 CFR 230.425)</w:t>
      </w:r>
    </w:p>
    <w:p>
      <w:pPr>
        <w:spacing w:after="0" w:line="15" w:lineRule="exact"/>
        <w:rPr>
          <w:sz w:val="24"/>
          <w:szCs w:val="24"/>
          <w:color w:val="auto"/>
        </w:rPr>
      </w:pPr>
    </w:p>
    <w:p>
      <w:pPr>
        <w:ind w:left="20"/>
        <w:spacing w:after="0"/>
        <w:rPr>
          <w:sz w:val="20"/>
          <w:szCs w:val="20"/>
          <w:color w:val="auto"/>
        </w:rPr>
      </w:pPr>
      <w:r>
        <w:rPr>
          <w:rFonts w:ascii="Arial" w:cs="Arial" w:eastAsia="Arial" w:hAnsi="Arial"/>
          <w:sz w:val="20"/>
          <w:szCs w:val="20"/>
          <w:color w:val="auto"/>
        </w:rPr>
        <w:t>[ ] Soliciting material pursuant to Rule 14a-12 under the Exchange Act (17 CFR 240.14a-12)</w:t>
      </w:r>
    </w:p>
    <w:p>
      <w:pPr>
        <w:ind w:left="140" w:hanging="118"/>
        <w:spacing w:after="0"/>
        <w:tabs>
          <w:tab w:leader="none" w:pos="140" w:val="left"/>
        </w:tabs>
        <w:numPr>
          <w:ilvl w:val="0"/>
          <w:numId w:val="1"/>
        </w:numPr>
        <w:rPr>
          <w:rFonts w:ascii="Arial" w:cs="Arial" w:eastAsia="Arial" w:hAnsi="Arial"/>
          <w:sz w:val="20"/>
          <w:szCs w:val="20"/>
          <w:color w:val="auto"/>
        </w:rPr>
      </w:pPr>
      <w:r>
        <w:rPr>
          <w:rFonts w:ascii="Arial" w:cs="Arial" w:eastAsia="Arial" w:hAnsi="Arial"/>
          <w:sz w:val="20"/>
          <w:szCs w:val="20"/>
          <w:color w:val="auto"/>
        </w:rPr>
        <w:t>] Pre-commencement communications pursuant to Rule 14d-2(b) under the Exchange Act (17 CFR 240.14d-2(b))</w:t>
      </w:r>
    </w:p>
    <w:p>
      <w:pPr>
        <w:ind w:left="140" w:hanging="118"/>
        <w:spacing w:after="0"/>
        <w:tabs>
          <w:tab w:leader="none" w:pos="140" w:val="left"/>
        </w:tabs>
        <w:numPr>
          <w:ilvl w:val="0"/>
          <w:numId w:val="1"/>
        </w:numPr>
        <w:rPr>
          <w:rFonts w:ascii="Arial" w:cs="Arial" w:eastAsia="Arial" w:hAnsi="Arial"/>
          <w:sz w:val="20"/>
          <w:szCs w:val="20"/>
          <w:color w:val="auto"/>
        </w:rPr>
      </w:pPr>
      <w:r>
        <w:rPr>
          <w:rFonts w:ascii="Arial" w:cs="Arial" w:eastAsia="Arial" w:hAnsi="Arial"/>
          <w:sz w:val="20"/>
          <w:szCs w:val="20"/>
          <w:color w:val="auto"/>
        </w:rPr>
        <w:t>] Pre-commencement communications pursuant to Rule 13e-4(c) under the Exchange Act (17 CFR 240.13e-4(c))</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ind w:left="1300" w:right="420" w:hanging="1296"/>
        <w:spacing w:after="0" w:line="267" w:lineRule="auto"/>
        <w:tabs>
          <w:tab w:leader="none" w:pos="1280" w:val="left"/>
        </w:tabs>
        <w:rPr>
          <w:sz w:val="20"/>
          <w:szCs w:val="20"/>
          <w:color w:val="auto"/>
        </w:rPr>
      </w:pPr>
      <w:r>
        <w:rPr>
          <w:rFonts w:ascii="Arial" w:cs="Arial" w:eastAsia="Arial" w:hAnsi="Arial"/>
          <w:sz w:val="20"/>
          <w:szCs w:val="20"/>
          <w:b w:val="1"/>
          <w:bCs w:val="1"/>
          <w:color w:val="auto"/>
        </w:rPr>
        <w:t>Item 5.02</w:t>
      </w:r>
      <w:r>
        <w:rPr>
          <w:sz w:val="20"/>
          <w:szCs w:val="20"/>
          <w:color w:val="auto"/>
        </w:rPr>
        <w:tab/>
      </w:r>
      <w:r>
        <w:rPr>
          <w:rFonts w:ascii="Arial" w:cs="Arial" w:eastAsia="Arial" w:hAnsi="Arial"/>
          <w:sz w:val="20"/>
          <w:szCs w:val="20"/>
          <w:b w:val="1"/>
          <w:bCs w:val="1"/>
          <w:color w:val="auto"/>
        </w:rPr>
        <w:t>Departure of Directors or Certain Officers; Election of Directors; Appointment of Certain Officers; Compensatory Arrangements of Certain Officers.</w:t>
      </w:r>
    </w:p>
    <w:p>
      <w:pPr>
        <w:sectPr>
          <w:pgSz w:w="11900" w:h="16838" w:orient="portrait"/>
          <w:cols w:equalWidth="0" w:num="1">
            <w:col w:w="11420"/>
          </w:cols>
          <w:pgMar w:left="240" w:top="234" w:right="239" w:bottom="1440" w:gutter="0" w:footer="0" w:header="0"/>
        </w:sectPr>
      </w:pPr>
    </w:p>
    <w:bookmarkStart w:id="1" w:name="page2"/>
    <w:bookmarkEnd w:id="1"/>
    <w:p>
      <w:pPr>
        <w:jc w:val="both"/>
        <w:spacing w:after="0" w:line="250" w:lineRule="auto"/>
        <w:rPr>
          <w:sz w:val="20"/>
          <w:szCs w:val="20"/>
          <w:color w:val="auto"/>
        </w:rPr>
      </w:pPr>
      <w:r>
        <w:rPr>
          <w:rFonts w:ascii="Arial" w:cs="Arial" w:eastAsia="Arial" w:hAnsi="Arial"/>
          <w:sz w:val="20"/>
          <w:szCs w:val="20"/>
          <w:color w:val="auto"/>
        </w:rPr>
        <w:t>On May 4, 2015, Itron, Inc. (Itron or the Company) announced that John W. Holleran, the Company’s executive vice president (EVP) and chief operating officer (COO), will be departing effective December 31, 2015. The Company will conduct a search for candidates to fill the position. Mr. Holleran will continue to serve as EVP and COO in the interim.</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Consistent with Itron’s Executive Officer Severance Pay policy, adopted by the Company’s board of directors on December 14, 2012, Mr.</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Holleran will be entitled to receive severance pay equal to one year’s base salary.</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color w:val="auto"/>
        </w:rPr>
        <w:t>The press release announcing this matter is attached as Exhibit 99.1.</w:t>
      </w:r>
    </w:p>
    <w:p>
      <w:pPr>
        <w:spacing w:after="0" w:line="291" w:lineRule="exact"/>
        <w:rPr>
          <w:sz w:val="20"/>
          <w:szCs w:val="20"/>
          <w:color w:val="auto"/>
        </w:rPr>
      </w:pPr>
    </w:p>
    <w:p>
      <w:pPr>
        <w:spacing w:after="0"/>
        <w:tabs>
          <w:tab w:leader="none" w:pos="1280" w:val="left"/>
        </w:tabs>
        <w:rPr>
          <w:sz w:val="20"/>
          <w:szCs w:val="20"/>
          <w:color w:val="auto"/>
        </w:rPr>
      </w:pPr>
      <w:r>
        <w:rPr>
          <w:rFonts w:ascii="Arial" w:cs="Arial" w:eastAsia="Arial" w:hAnsi="Arial"/>
          <w:sz w:val="20"/>
          <w:szCs w:val="20"/>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35" w:lineRule="exact"/>
        <w:rPr>
          <w:sz w:val="20"/>
          <w:szCs w:val="20"/>
          <w:color w:val="auto"/>
        </w:rPr>
      </w:pPr>
    </w:p>
    <w:p>
      <w:pPr>
        <w:spacing w:after="0"/>
        <w:tabs>
          <w:tab w:leader="none" w:pos="40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18"/>
          <w:szCs w:val="18"/>
          <w:color w:val="auto"/>
        </w:rPr>
        <w:t>Exhibits.</w:t>
      </w:r>
    </w:p>
    <w:p>
      <w:pPr>
        <w:spacing w:after="0" w:line="378" w:lineRule="exact"/>
        <w:rPr>
          <w:sz w:val="20"/>
          <w:szCs w:val="20"/>
          <w:color w:val="auto"/>
        </w:rPr>
      </w:pPr>
    </w:p>
    <w:p>
      <w:pPr>
        <w:ind w:left="820"/>
        <w:spacing w:after="0"/>
        <w:rPr>
          <w:sz w:val="20"/>
          <w:szCs w:val="20"/>
          <w:color w:val="auto"/>
        </w:rPr>
      </w:pPr>
      <w:r>
        <w:rPr>
          <w:rFonts w:ascii="Arial" w:cs="Arial" w:eastAsia="Arial" w:hAnsi="Arial"/>
          <w:sz w:val="20"/>
          <w:szCs w:val="20"/>
          <w:color w:val="auto"/>
        </w:rPr>
        <w:t>Exhibit</w:t>
      </w:r>
    </w:p>
    <w:p>
      <w:pPr>
        <w:spacing w:after="0" w:line="16" w:lineRule="exact"/>
        <w:rPr>
          <w:sz w:val="20"/>
          <w:szCs w:val="20"/>
          <w:color w:val="auto"/>
        </w:rPr>
      </w:pPr>
    </w:p>
    <w:p>
      <w:pPr>
        <w:ind w:left="820"/>
        <w:spacing w:after="0"/>
        <w:tabs>
          <w:tab w:leader="none" w:pos="2280" w:val="left"/>
        </w:tabs>
        <w:rPr>
          <w:sz w:val="20"/>
          <w:szCs w:val="20"/>
          <w:color w:val="auto"/>
        </w:rPr>
      </w:pPr>
      <w:r>
        <w:rPr>
          <w:rFonts w:ascii="Arial" w:cs="Arial" w:eastAsia="Arial" w:hAnsi="Arial"/>
          <w:sz w:val="20"/>
          <w:szCs w:val="20"/>
          <w:color w:val="auto"/>
        </w:rPr>
        <w:t>Number</w:t>
      </w:r>
      <w:r>
        <w:rPr>
          <w:sz w:val="20"/>
          <w:szCs w:val="20"/>
          <w:color w:val="auto"/>
        </w:rPr>
        <w:tab/>
      </w:r>
      <w:r>
        <w:rPr>
          <w:rFonts w:ascii="Arial" w:cs="Arial" w:eastAsia="Arial" w:hAnsi="Arial"/>
          <w:sz w:val="20"/>
          <w:szCs w:val="20"/>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17145</wp:posOffset>
            </wp:positionV>
            <wp:extent cx="62515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515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820"/>
        <w:spacing w:after="0"/>
        <w:tabs>
          <w:tab w:leader="none" w:pos="2280" w:val="left"/>
        </w:tabs>
        <w:rPr>
          <w:sz w:val="20"/>
          <w:szCs w:val="20"/>
          <w:color w:val="auto"/>
        </w:rPr>
      </w:pPr>
      <w:r>
        <w:rPr>
          <w:rFonts w:ascii="Arial" w:cs="Arial" w:eastAsia="Arial" w:hAnsi="Arial"/>
          <w:sz w:val="20"/>
          <w:szCs w:val="20"/>
          <w:color w:val="auto"/>
        </w:rPr>
        <w:t>99.1</w:t>
      </w:r>
      <w:r>
        <w:rPr>
          <w:sz w:val="20"/>
          <w:szCs w:val="20"/>
          <w:color w:val="auto"/>
        </w:rPr>
        <w:tab/>
      </w:r>
      <w:r>
        <w:rPr>
          <w:rFonts w:ascii="Arial" w:cs="Arial" w:eastAsia="Arial" w:hAnsi="Arial"/>
          <w:sz w:val="16"/>
          <w:szCs w:val="16"/>
          <w:color w:val="auto"/>
        </w:rPr>
        <w:t>Press Release dated May 4, 2015.</w:t>
      </w:r>
    </w:p>
    <w:p>
      <w:pPr>
        <w:sectPr>
          <w:pgSz w:w="11900" w:h="16838" w:orient="portrait"/>
          <w:cols w:equalWidth="0" w:num="1">
            <w:col w:w="11420"/>
          </w:cols>
          <w:pgMar w:left="240" w:top="433" w:right="23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20"/>
          <w:szCs w:val="20"/>
          <w:b w:val="1"/>
          <w:bCs w:val="1"/>
          <w:color w:val="auto"/>
        </w:rPr>
        <w:t>SIGNATURE</w:t>
      </w:r>
    </w:p>
    <w:p>
      <w:pPr>
        <w:spacing w:after="0" w:line="222"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339" w:lineRule="exact"/>
        <w:rPr>
          <w:sz w:val="20"/>
          <w:szCs w:val="20"/>
          <w:color w:val="auto"/>
        </w:rPr>
      </w:pPr>
    </w:p>
    <w:tbl>
      <w:tblPr>
        <w:tblLayout w:type="fixed"/>
        <w:tblInd w:w="1120" w:type="dxa"/>
        <w:tblCellMar>
          <w:top w:w="0" w:type="dxa"/>
          <w:left w:w="0" w:type="dxa"/>
          <w:bottom w:w="0" w:type="dxa"/>
          <w:right w:w="0" w:type="dxa"/>
        </w:tblCellMar>
      </w:tblPr>
      <w:tr>
        <w:trPr>
          <w:trHeight w:val="250"/>
        </w:trPr>
        <w:tc>
          <w:tcPr>
            <w:tcW w:w="4760" w:type="dxa"/>
            <w:vAlign w:val="bottom"/>
            <w:gridSpan w:val="2"/>
          </w:tcPr>
          <w:p>
            <w:pPr>
              <w:ind w:left="3340"/>
              <w:spacing w:after="0"/>
              <w:rPr>
                <w:sz w:val="20"/>
                <w:szCs w:val="20"/>
                <w:color w:val="auto"/>
              </w:rPr>
            </w:pPr>
            <w:r>
              <w:rPr>
                <w:rFonts w:ascii="Arial" w:cs="Arial" w:eastAsia="Arial" w:hAnsi="Arial"/>
                <w:sz w:val="20"/>
                <w:szCs w:val="20"/>
                <w:color w:val="auto"/>
              </w:rPr>
              <w:t>ITRON, INC.</w:t>
            </w:r>
          </w:p>
        </w:tc>
        <w:tc>
          <w:tcPr>
            <w:tcW w:w="4440" w:type="dxa"/>
            <w:vAlign w:val="bottom"/>
          </w:tcPr>
          <w:p>
            <w:pPr>
              <w:spacing w:after="0"/>
              <w:rPr>
                <w:sz w:val="21"/>
                <w:szCs w:val="21"/>
                <w:color w:val="auto"/>
              </w:rPr>
            </w:pPr>
          </w:p>
        </w:tc>
      </w:tr>
      <w:tr>
        <w:trPr>
          <w:trHeight w:val="608"/>
        </w:trPr>
        <w:tc>
          <w:tcPr>
            <w:tcW w:w="4760" w:type="dxa"/>
            <w:vAlign w:val="bottom"/>
            <w:gridSpan w:val="2"/>
          </w:tcPr>
          <w:p>
            <w:pPr>
              <w:ind w:left="3340"/>
              <w:spacing w:after="0"/>
              <w:rPr>
                <w:sz w:val="20"/>
                <w:szCs w:val="20"/>
                <w:color w:val="auto"/>
              </w:rPr>
            </w:pPr>
            <w:r>
              <w:rPr>
                <w:rFonts w:ascii="Arial" w:cs="Arial" w:eastAsia="Arial" w:hAnsi="Arial"/>
                <w:sz w:val="18"/>
                <w:szCs w:val="18"/>
                <w:color w:val="auto"/>
              </w:rPr>
              <w:t>By:</w:t>
            </w:r>
          </w:p>
        </w:tc>
        <w:tc>
          <w:tcPr>
            <w:tcW w:w="4440" w:type="dxa"/>
            <w:vAlign w:val="bottom"/>
          </w:tcPr>
          <w:p>
            <w:pPr>
              <w:jc w:val="center"/>
              <w:ind w:right="721"/>
              <w:spacing w:after="0"/>
              <w:rPr>
                <w:sz w:val="20"/>
                <w:szCs w:val="20"/>
                <w:color w:val="auto"/>
              </w:rPr>
            </w:pPr>
            <w:r>
              <w:rPr>
                <w:rFonts w:ascii="Arial" w:cs="Arial" w:eastAsia="Arial" w:hAnsi="Arial"/>
                <w:sz w:val="20"/>
                <w:szCs w:val="20"/>
                <w:color w:val="auto"/>
                <w:w w:val="95"/>
              </w:rPr>
              <w:t>/s/ PHILIP C. MEZEY</w:t>
            </w:r>
          </w:p>
        </w:tc>
      </w:tr>
      <w:tr>
        <w:trPr>
          <w:trHeight w:val="23"/>
        </w:trPr>
        <w:tc>
          <w:tcPr>
            <w:tcW w:w="39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r>
      <w:tr>
        <w:trPr>
          <w:trHeight w:val="254"/>
        </w:trPr>
        <w:tc>
          <w:tcPr>
            <w:tcW w:w="4760" w:type="dxa"/>
            <w:vAlign w:val="bottom"/>
            <w:gridSpan w:val="2"/>
          </w:tcPr>
          <w:p>
            <w:pPr>
              <w:spacing w:after="0"/>
              <w:rPr>
                <w:sz w:val="20"/>
                <w:szCs w:val="20"/>
                <w:color w:val="auto"/>
              </w:rPr>
            </w:pPr>
            <w:r>
              <w:rPr>
                <w:rFonts w:ascii="Arial" w:cs="Arial" w:eastAsia="Arial" w:hAnsi="Arial"/>
                <w:sz w:val="20"/>
                <w:szCs w:val="20"/>
                <w:color w:val="auto"/>
              </w:rPr>
              <w:t>Dated: May 4, 2015</w:t>
            </w:r>
          </w:p>
        </w:tc>
        <w:tc>
          <w:tcPr>
            <w:tcW w:w="4440" w:type="dxa"/>
            <w:vAlign w:val="bottom"/>
          </w:tcPr>
          <w:p>
            <w:pPr>
              <w:jc w:val="center"/>
              <w:ind w:right="721"/>
              <w:spacing w:after="0"/>
              <w:rPr>
                <w:sz w:val="20"/>
                <w:szCs w:val="20"/>
                <w:color w:val="auto"/>
              </w:rPr>
            </w:pPr>
            <w:r>
              <w:rPr>
                <w:rFonts w:ascii="Arial" w:cs="Arial" w:eastAsia="Arial" w:hAnsi="Arial"/>
                <w:sz w:val="20"/>
                <w:szCs w:val="20"/>
                <w:color w:val="auto"/>
                <w:w w:val="93"/>
              </w:rPr>
              <w:t>Philip C. Mezey</w:t>
            </w:r>
          </w:p>
        </w:tc>
      </w:tr>
      <w:tr>
        <w:trPr>
          <w:trHeight w:val="284"/>
        </w:trPr>
        <w:tc>
          <w:tcPr>
            <w:tcW w:w="3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40" w:type="dxa"/>
            <w:vAlign w:val="bottom"/>
          </w:tcPr>
          <w:p>
            <w:pPr>
              <w:jc w:val="center"/>
              <w:ind w:right="721"/>
              <w:spacing w:after="0"/>
              <w:rPr>
                <w:sz w:val="20"/>
                <w:szCs w:val="20"/>
                <w:color w:val="auto"/>
              </w:rPr>
            </w:pPr>
            <w:r>
              <w:rPr>
                <w:rFonts w:ascii="Arial" w:cs="Arial" w:eastAsia="Arial" w:hAnsi="Arial"/>
                <w:sz w:val="20"/>
                <w:szCs w:val="20"/>
                <w:color w:val="auto"/>
                <w:w w:val="90"/>
              </w:rPr>
              <w:t>President and Chief Executive Officer</w:t>
            </w:r>
          </w:p>
        </w:tc>
      </w:tr>
    </w:tbl>
    <w:p>
      <w:pPr>
        <w:sectPr>
          <w:pgSz w:w="11900" w:h="16838" w:orient="portrait"/>
          <w:cols w:equalWidth="0" w:num="1">
            <w:col w:w="11300"/>
          </w:cols>
          <w:pgMar w:left="240" w:top="562" w:right="359" w:bottom="1440" w:gutter="0" w:footer="0" w:header="0"/>
        </w:sectPr>
      </w:pPr>
    </w:p>
    <w:bookmarkStart w:id="3" w:name="page4"/>
    <w:bookmarkEnd w:id="3"/>
    <w:p>
      <w:pPr>
        <w:spacing w:after="0" w:line="8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51510" cy="7372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651510" cy="737235"/>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u w:val="single" w:color="auto"/>
          <w:color w:val="auto"/>
        </w:rPr>
        <w:t>FOR IMMEDIATE RELEASE</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Itron Announces Chief Operating Officer Transition</w:t>
      </w:r>
    </w:p>
    <w:p>
      <w:pPr>
        <w:spacing w:after="0" w:line="348"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LIBERTY LAKE, Wash. - May 4, 2015 - Itron, Inc. (NASDAQ: ITRI) announced today that John Holleran, the company’s executive vice president (EVP) and chief operating officer (COO), will be departing Itron effective the end of 2015. The company is conducting a search for candidates to fill the position. In the interim, Holleran will continue as EVP and COO of the company.</w:t>
      </w:r>
    </w:p>
    <w:p>
      <w:pPr>
        <w:spacing w:after="0" w:line="206" w:lineRule="exact"/>
        <w:rPr>
          <w:sz w:val="20"/>
          <w:szCs w:val="20"/>
          <w:color w:val="auto"/>
        </w:rPr>
      </w:pPr>
    </w:p>
    <w:p>
      <w:pPr>
        <w:ind w:right="260"/>
        <w:spacing w:after="0" w:line="241" w:lineRule="auto"/>
        <w:rPr>
          <w:sz w:val="20"/>
          <w:szCs w:val="20"/>
          <w:color w:val="auto"/>
        </w:rPr>
      </w:pPr>
      <w:r>
        <w:rPr>
          <w:rFonts w:ascii="Arial" w:cs="Arial" w:eastAsia="Arial" w:hAnsi="Arial"/>
          <w:sz w:val="20"/>
          <w:szCs w:val="20"/>
          <w:color w:val="auto"/>
        </w:rPr>
        <w:t>"John has provided solid leadership over the last two and a half years. During his tenure as COO, John was focused on positioning Itron for future growth and improved profitability. He has done a remarkable job developing comprehensive business strategies to grow this business and ensure that it is running as efficiently as possible," said Philip Mezey, Itron’s president and chief executive officer. “The board and I would like to thank John for all of his contributions. We wish him the best as he pursues other interests.”</w:t>
      </w:r>
    </w:p>
    <w:p>
      <w:pPr>
        <w:spacing w:after="0" w:line="209" w:lineRule="exact"/>
        <w:rPr>
          <w:sz w:val="20"/>
          <w:szCs w:val="20"/>
          <w:color w:val="auto"/>
        </w:rPr>
      </w:pPr>
    </w:p>
    <w:p>
      <w:pPr>
        <w:ind w:right="180"/>
        <w:spacing w:after="0" w:line="272" w:lineRule="auto"/>
        <w:rPr>
          <w:sz w:val="20"/>
          <w:szCs w:val="20"/>
          <w:color w:val="auto"/>
        </w:rPr>
      </w:pPr>
      <w:r>
        <w:rPr>
          <w:rFonts w:ascii="Arial" w:cs="Arial" w:eastAsia="Arial" w:hAnsi="Arial"/>
          <w:sz w:val="19"/>
          <w:szCs w:val="19"/>
          <w:color w:val="auto"/>
        </w:rPr>
        <w:t>"As Itron continues to focus on growth and profitability, we are seeking an EVP and COO that will bring strong leadership experience and have a substantial operational background to propel our company to its next phase of growth,” continued Mezey.</w:t>
      </w:r>
    </w:p>
    <w:p>
      <w:pPr>
        <w:spacing w:after="0" w:line="302" w:lineRule="exact"/>
        <w:rPr>
          <w:sz w:val="20"/>
          <w:szCs w:val="20"/>
          <w:color w:val="auto"/>
        </w:rPr>
      </w:pPr>
    </w:p>
    <w:p>
      <w:pPr>
        <w:jc w:val="both"/>
        <w:ind w:right="120"/>
        <w:spacing w:after="0" w:line="243" w:lineRule="auto"/>
        <w:rPr>
          <w:sz w:val="20"/>
          <w:szCs w:val="20"/>
          <w:color w:val="auto"/>
        </w:rPr>
      </w:pPr>
      <w:r>
        <w:rPr>
          <w:rFonts w:ascii="Arial" w:cs="Arial" w:eastAsia="Arial" w:hAnsi="Arial"/>
          <w:sz w:val="20"/>
          <w:szCs w:val="20"/>
          <w:color w:val="auto"/>
        </w:rPr>
        <w:t>Holleran was named executive vice president and chief operating officer of Itron in January 2013. He joined Itron in January 2007 as senior vice president and general counsel. He was also Itron's corporate secretary. In January 2012, his duties shifted to focus primarily on special projects, board matters and corporate governance.</w:t>
      </w:r>
    </w:p>
    <w:p>
      <w:pPr>
        <w:spacing w:after="0" w:line="206" w:lineRule="exact"/>
        <w:rPr>
          <w:sz w:val="20"/>
          <w:szCs w:val="20"/>
          <w:color w:val="auto"/>
        </w:rPr>
      </w:pPr>
    </w:p>
    <w:p>
      <w:pPr>
        <w:ind w:right="80"/>
        <w:spacing w:after="0" w:line="243" w:lineRule="auto"/>
        <w:rPr>
          <w:sz w:val="20"/>
          <w:szCs w:val="20"/>
          <w:color w:val="auto"/>
        </w:rPr>
      </w:pPr>
      <w:r>
        <w:rPr>
          <w:rFonts w:ascii="Arial" w:cs="Arial" w:eastAsia="Arial" w:hAnsi="Arial"/>
          <w:sz w:val="20"/>
          <w:szCs w:val="20"/>
          <w:color w:val="auto"/>
        </w:rPr>
        <w:t>"Itron is great company with an exciting future, and I have enjoyed being a part of Itron’s leadership team during some of the most transformational years this company has seen," said Holleran. "I am committed to ensuring the momentum we have built around growth and profitability is sustained and to supporting Philip and the team for Itron’s long-term success."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2111 North Molter Road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Liberty Lake, WA 99019</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1.800.635.5461</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D02124"/>
        </w:rPr>
        <w:t>www.itron.com</w:t>
      </w:r>
    </w:p>
    <w:p>
      <w:pPr>
        <w:sectPr>
          <w:pgSz w:w="11900" w:h="16838" w:orient="portrait"/>
          <w:cols w:equalWidth="0" w:num="1">
            <w:col w:w="11420"/>
          </w:cols>
          <w:pgMar w:left="240" w:top="1440" w:right="239" w:bottom="1440" w:gutter="0" w:footer="0" w:header="0"/>
        </w:sectPr>
      </w:pPr>
    </w:p>
    <w:bookmarkStart w:id="4" w:name="page5"/>
    <w:bookmarkEnd w:id="4"/>
    <w:p>
      <w:pPr>
        <w:spacing w:after="0" w:line="7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651510" cy="737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651510" cy="73723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About Itron</w:t>
      </w:r>
    </w:p>
    <w:p>
      <w:pPr>
        <w:spacing w:after="0" w:line="24"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 xml:space="preserve">Itron is a world-leading technology and services company dedicated to the resourceful use of energy and water. We provide comprehensive solutions that measure, manage and analyze energy and water. Our broad product portfolio includes electricity, gas, water and thermal energy measurement devices and control technology; communications systems; software; as well as managed and consulting services. With thousands of employees supporting nearly 8,000 customers in more than 100 countries, Itron applies knowledge and technology to better manage energy and water resources. Together, we can create a more resourceful world. Join us: </w:t>
      </w:r>
      <w:r>
        <w:rPr>
          <w:rFonts w:ascii="Arial" w:cs="Arial" w:eastAsia="Arial" w:hAnsi="Arial"/>
          <w:sz w:val="20"/>
          <w:szCs w:val="20"/>
          <w:u w:val="single" w:color="auto"/>
          <w:color w:val="0000FF"/>
        </w:rPr>
        <w:t>www.itron.com</w:t>
      </w:r>
      <w:r>
        <w:rPr>
          <w:rFonts w:ascii="Arial" w:cs="Arial" w:eastAsia="Arial" w:hAnsi="Arial"/>
          <w:sz w:val="20"/>
          <w:szCs w:val="20"/>
          <w:color w:val="auto"/>
        </w:rPr>
        <w:t>.</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For additional information, contact:</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Itron, Inc.</w:t>
      </w:r>
    </w:p>
    <w:p>
      <w:pPr>
        <w:spacing w:after="0" w:line="131" w:lineRule="exact"/>
        <w:rPr>
          <w:sz w:val="20"/>
          <w:szCs w:val="20"/>
          <w:color w:val="auto"/>
        </w:rPr>
      </w:pPr>
    </w:p>
    <w:p>
      <w:pPr>
        <w:spacing w:after="0"/>
        <w:rPr>
          <w:sz w:val="20"/>
          <w:szCs w:val="20"/>
          <w:color w:val="auto"/>
        </w:rPr>
      </w:pPr>
      <w:r>
        <w:rPr>
          <w:rFonts w:ascii="Arial" w:cs="Arial" w:eastAsia="Arial" w:hAnsi="Arial"/>
          <w:sz w:val="20"/>
          <w:szCs w:val="20"/>
          <w:color w:val="auto"/>
        </w:rPr>
        <w:t>Sharelynn Moore</w:t>
      </w:r>
    </w:p>
    <w:p>
      <w:pPr>
        <w:spacing w:after="0"/>
        <w:rPr>
          <w:sz w:val="20"/>
          <w:szCs w:val="20"/>
          <w:color w:val="auto"/>
        </w:rPr>
      </w:pPr>
      <w:r>
        <w:rPr>
          <w:rFonts w:ascii="Arial" w:cs="Arial" w:eastAsia="Arial" w:hAnsi="Arial"/>
          <w:sz w:val="20"/>
          <w:szCs w:val="20"/>
          <w:color w:val="auto"/>
        </w:rPr>
        <w:t>Vice President, Corporate Marketing &amp; Public Affairs</w:t>
      </w:r>
    </w:p>
    <w:p>
      <w:pPr>
        <w:spacing w:after="0"/>
        <w:rPr>
          <w:sz w:val="20"/>
          <w:szCs w:val="20"/>
          <w:color w:val="auto"/>
        </w:rPr>
      </w:pPr>
      <w:r>
        <w:rPr>
          <w:rFonts w:ascii="Arial" w:cs="Arial" w:eastAsia="Arial" w:hAnsi="Arial"/>
          <w:sz w:val="20"/>
          <w:szCs w:val="20"/>
          <w:color w:val="auto"/>
        </w:rPr>
        <w:t>509.891.3524</w:t>
      </w:r>
    </w:p>
    <w:p>
      <w:pPr>
        <w:spacing w:after="0" w:line="337" w:lineRule="exact"/>
        <w:rPr>
          <w:sz w:val="20"/>
          <w:szCs w:val="20"/>
          <w:color w:val="auto"/>
        </w:rPr>
      </w:pPr>
    </w:p>
    <w:p>
      <w:pPr>
        <w:spacing w:after="0"/>
        <w:rPr>
          <w:sz w:val="20"/>
          <w:szCs w:val="20"/>
          <w:color w:val="auto"/>
        </w:rPr>
      </w:pPr>
      <w:r>
        <w:rPr>
          <w:rFonts w:ascii="Arial" w:cs="Arial" w:eastAsia="Arial" w:hAnsi="Arial"/>
          <w:sz w:val="20"/>
          <w:szCs w:val="20"/>
          <w:color w:val="auto"/>
        </w:rPr>
        <w:t>Barbara Doyle</w:t>
      </w:r>
    </w:p>
    <w:p>
      <w:pPr>
        <w:spacing w:after="0"/>
        <w:rPr>
          <w:sz w:val="20"/>
          <w:szCs w:val="20"/>
          <w:color w:val="auto"/>
        </w:rPr>
      </w:pPr>
      <w:r>
        <w:rPr>
          <w:rFonts w:ascii="Arial" w:cs="Arial" w:eastAsia="Arial" w:hAnsi="Arial"/>
          <w:sz w:val="20"/>
          <w:szCs w:val="20"/>
          <w:color w:val="auto"/>
        </w:rPr>
        <w:t>Vice President, Investor Relations</w:t>
      </w:r>
    </w:p>
    <w:p>
      <w:pPr>
        <w:spacing w:after="0"/>
        <w:rPr>
          <w:sz w:val="20"/>
          <w:szCs w:val="20"/>
          <w:color w:val="auto"/>
        </w:rPr>
      </w:pPr>
      <w:r>
        <w:rPr>
          <w:rFonts w:ascii="Arial" w:cs="Arial" w:eastAsia="Arial" w:hAnsi="Arial"/>
          <w:sz w:val="20"/>
          <w:szCs w:val="20"/>
          <w:color w:val="auto"/>
        </w:rPr>
        <w:t>509.891.3443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2111 North Molter Road</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Liberty Lake, WA 99019</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1.800.635.5461</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D02124"/>
        </w:rPr>
        <w:t>www.itron.com</w:t>
      </w:r>
    </w:p>
    <w:sectPr>
      <w:pgSz w:w="11900" w:h="16838" w:orient="portrait"/>
      <w:cols w:equalWidth="0" w:num="1">
        <w:col w:w="11200"/>
      </w:cols>
      <w:pgMar w:left="240" w:top="144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2019-12-05T22:49:11Z</dcterms:created>
  <dcterms:modified xsi:type="dcterms:W3CDTF">2019-12-05T22:49:11Z</dcterms:modified>
</cp:coreProperties>
</file>