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311150</wp:posOffset>
            </wp:positionH>
            <wp:positionV relativeFrom="page">
              <wp:posOffset>723265</wp:posOffset>
            </wp:positionV>
            <wp:extent cx="69265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9"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1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02" w:lineRule="exact"/>
        <w:rPr>
          <w:sz w:val="24"/>
          <w:szCs w:val="24"/>
          <w:color w:val="auto"/>
        </w:rPr>
      </w:pPr>
    </w:p>
    <w:p>
      <w:pPr>
        <w:ind w:left="660"/>
        <w:spacing w:after="0"/>
        <w:tabs>
          <w:tab w:leader="none" w:pos="35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000-22418</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CB2C30"/>
        </w:rPr>
        <w:t>Itron, Inc.</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99060</wp:posOffset>
            </wp:positionV>
            <wp:extent cx="1062990"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2990" cy="445770"/>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Washington</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91-1011792</w:t>
      </w:r>
    </w:p>
    <w:p>
      <w:pPr>
        <w:spacing w:after="0" w:line="3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1285"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2111 N Molter Road, Liberty Lake, Washington 99019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(509) 924-9900</w:t>
      </w:r>
    </w:p>
    <w:p>
      <w:pPr>
        <w:spacing w:after="0" w:line="11" w:lineRule="exact"/>
        <w:rPr>
          <w:sz w:val="24"/>
          <w:szCs w:val="24"/>
          <w:color w:val="auto"/>
        </w:rPr>
      </w:pPr>
    </w:p>
    <w:tbl>
      <w:tblPr>
        <w:tblLayout w:type="fixed"/>
        <w:tblInd w:w="8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7960" w:type="dxa"/>
            <w:vAlign w:val="bottom"/>
            <w:gridSpan w:val="5"/>
          </w:tcPr>
          <w:p>
            <w:pPr>
              <w:jc w:val="center"/>
              <w:ind w:right="3090"/>
              <w:spacing w:after="0"/>
              <w:rPr>
                <w:sz w:val="20"/>
                <w:szCs w:val="20"/>
                <w:color w:val="auto"/>
              </w:rPr>
            </w:pPr>
            <w:r>
              <w:rPr>
                <w:rFonts w:ascii="Times New Roman" w:cs="Times New Roman" w:eastAsia="Times New Roman" w:hAnsi="Times New Roman"/>
                <w:sz w:val="14"/>
                <w:szCs w:val="14"/>
                <w:b w:val="1"/>
                <w:bCs w:val="1"/>
                <w:color w:val="auto"/>
              </w:rPr>
              <w:t>(Address and telephone number of registrant's principal executive offices)</w:t>
            </w:r>
          </w:p>
        </w:tc>
      </w:tr>
      <w:tr>
        <w:trPr>
          <w:trHeight w:val="469"/>
        </w:trPr>
        <w:tc>
          <w:tcPr>
            <w:tcW w:w="3140" w:type="dxa"/>
            <w:vAlign w:val="bottom"/>
          </w:tcPr>
          <w:p>
            <w:pPr>
              <w:spacing w:after="0"/>
              <w:rPr>
                <w:sz w:val="24"/>
                <w:szCs w:val="24"/>
                <w:color w:val="auto"/>
              </w:rPr>
            </w:pPr>
          </w:p>
        </w:tc>
        <w:tc>
          <w:tcPr>
            <w:tcW w:w="7960" w:type="dxa"/>
            <w:vAlign w:val="bottom"/>
            <w:gridSpan w:val="5"/>
          </w:tcPr>
          <w:p>
            <w:pPr>
              <w:jc w:val="center"/>
              <w:ind w:right="30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56"/>
        </w:trPr>
        <w:tc>
          <w:tcPr>
            <w:tcW w:w="314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40" w:type="dxa"/>
            <w:vAlign w:val="bottom"/>
            <w:tcBorders>
              <w:top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ITRI</w:t>
            </w:r>
          </w:p>
        </w:tc>
        <w:tc>
          <w:tcPr>
            <w:tcW w:w="10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17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Rule</w:t>
            </w:r>
          </w:p>
        </w:tc>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12b-2</w:t>
            </w:r>
          </w:p>
        </w:tc>
        <w:tc>
          <w:tcPr>
            <w:tcW w:w="1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of</w:t>
            </w:r>
          </w:p>
        </w:tc>
        <w:tc>
          <w:tcPr>
            <w:tcW w:w="1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w:t>
            </w:r>
          </w:p>
        </w:tc>
        <w:tc>
          <w:tcPr>
            <w:tcW w:w="1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Exchange</w:t>
            </w: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Act.</w:t>
            </w:r>
          </w:p>
        </w:tc>
      </w:tr>
      <w:tr>
        <w:trPr>
          <w:trHeight w:val="301"/>
        </w:trPr>
        <w:tc>
          <w:tcPr>
            <w:tcW w:w="24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Large accelerated filer</w:t>
            </w:r>
          </w:p>
        </w:tc>
        <w:tc>
          <w:tcPr>
            <w:tcW w:w="17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Accelerated filer</w:t>
            </w:r>
          </w:p>
        </w:tc>
        <w:tc>
          <w:tcPr>
            <w:tcW w:w="1260" w:type="dxa"/>
            <w:vAlign w:val="bottom"/>
          </w:tcPr>
          <w:p>
            <w:pPr>
              <w:spacing w:after="0"/>
              <w:rPr>
                <w:sz w:val="24"/>
                <w:szCs w:val="24"/>
                <w:color w:val="auto"/>
              </w:rPr>
            </w:pP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19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Non-accelerated filer</w:t>
            </w:r>
          </w:p>
        </w:tc>
        <w:tc>
          <w:tcPr>
            <w:tcW w:w="480" w:type="dxa"/>
            <w:vAlign w:val="bottom"/>
          </w:tcPr>
          <w:p>
            <w:pPr>
              <w:spacing w:after="0"/>
              <w:rPr>
                <w:sz w:val="24"/>
                <w:szCs w:val="24"/>
                <w:color w:val="auto"/>
              </w:rPr>
            </w:pPr>
          </w:p>
        </w:tc>
        <w:tc>
          <w:tcPr>
            <w:tcW w:w="17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1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4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July 25, 2025, there were outstanding 45,717,933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6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gridSpan w:val="3"/>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Itron, Inc.</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gridSpan w:val="3"/>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60" w:type="dxa"/>
            <w:vAlign w:val="bottom"/>
            <w:vMerge w:val="restart"/>
          </w:tcPr>
          <w:p>
            <w:pPr>
              <w:spacing w:after="0"/>
              <w:rPr>
                <w:sz w:val="24"/>
                <w:szCs w:val="24"/>
                <w:color w:val="auto"/>
              </w:rPr>
            </w:pPr>
          </w:p>
        </w:tc>
        <w:tc>
          <w:tcPr>
            <w:tcW w:w="102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9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60" w:type="dxa"/>
            <w:vAlign w:val="bottom"/>
            <w:vMerge w:val="continue"/>
          </w:tcPr>
          <w:p>
            <w:pPr>
              <w:spacing w:after="0"/>
              <w:rPr>
                <w:sz w:val="14"/>
                <w:szCs w:val="14"/>
                <w:color w:val="auto"/>
              </w:rPr>
            </w:pPr>
          </w:p>
        </w:tc>
        <w:tc>
          <w:tcPr>
            <w:tcW w:w="10200" w:type="dxa"/>
            <w:vAlign w:val="bottom"/>
            <w:gridSpan w:val="17"/>
            <w:vMerge w:val="continue"/>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tcPr>
          <w:p>
            <w:pPr>
              <w:ind w:left="38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Financial Statements (Unaudited)</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6400" w:type="dxa"/>
            <w:vAlign w:val="bottom"/>
            <w:gridSpan w:val="5"/>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3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4920" w:type="dxa"/>
            <w:vAlign w:val="bottom"/>
            <w:gridSpan w:val="2"/>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Equity</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tcPr>
          <w:p>
            <w:pPr>
              <w:ind w:left="38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Management's Discussion and Analysis of Financial Condition and Results of Operations</w:t>
            </w: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26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Quantitative and Qualitative Disclosures About Market Risk</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Controls and Procedures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vMerge w:val="restart"/>
          </w:tcPr>
          <w:p>
            <w:pPr>
              <w:spacing w:after="0"/>
              <w:rPr>
                <w:sz w:val="12"/>
                <w:szCs w:val="12"/>
                <w:color w:val="auto"/>
              </w:rPr>
            </w:pPr>
          </w:p>
        </w:tc>
        <w:tc>
          <w:tcPr>
            <w:tcW w:w="102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3"/>
        </w:trPr>
        <w:tc>
          <w:tcPr>
            <w:tcW w:w="60" w:type="dxa"/>
            <w:vAlign w:val="bottom"/>
            <w:vMerge w:val="continue"/>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60" w:type="dxa"/>
            <w:vAlign w:val="bottom"/>
          </w:tcPr>
          <w:p>
            <w:pPr>
              <w:spacing w:after="0"/>
              <w:rPr>
                <w:sz w:val="24"/>
                <w:szCs w:val="24"/>
                <w:color w:val="auto"/>
              </w:rPr>
            </w:pPr>
          </w:p>
        </w:tc>
        <w:tc>
          <w:tcPr>
            <w:tcW w:w="2780" w:type="dxa"/>
            <w:vAlign w:val="bottom"/>
            <w:tcBorders>
              <w:top w:val="single" w:sz="8" w:color="0000FF"/>
            </w:tcBorders>
            <w:gridSpan w:val="8"/>
          </w:tcPr>
          <w:p>
            <w:pPr>
              <w:ind w:left="38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Legal Proceedings</w:t>
            </w:r>
          </w:p>
        </w:tc>
        <w:tc>
          <w:tcPr>
            <w:tcW w:w="7420" w:type="dxa"/>
            <w:vAlign w:val="bottom"/>
            <w:gridSpan w:val="9"/>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color w:val="0000FF"/>
              </w:rPr>
              <w:t>Risk Factors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Unregistered Sales of Equity Securities and Use of Proceeds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color w:val="0000FF"/>
              </w:rPr>
              <w:t>Other Information</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6: </w:t>
            </w:r>
            <w:r>
              <w:rPr>
                <w:rFonts w:ascii="Times New Roman" w:cs="Times New Roman" w:eastAsia="Times New Roman" w:hAnsi="Times New Roman"/>
                <w:sz w:val="18"/>
                <w:szCs w:val="18"/>
                <w:color w:val="0000FF"/>
              </w:rPr>
              <w:t>Exhibits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260" w:type="dxa"/>
            <w:vAlign w:val="bottom"/>
            <w:gridSpan w:val="18"/>
            <w:vMerge w:val="restart"/>
          </w:tcPr>
          <w:p>
            <w:pPr>
              <w:ind w:left="60"/>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6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10260" w:type="dxa"/>
            <w:vAlign w:val="bottom"/>
            <w:gridSpan w:val="18"/>
            <w:vMerge w:val="continue"/>
          </w:tcPr>
          <w:p>
            <w:pPr>
              <w:spacing w:after="0"/>
              <w:rPr>
                <w:sz w:val="24"/>
                <w:szCs w:val="24"/>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2"/>
        </w:trPr>
        <w:tc>
          <w:tcPr>
            <w:tcW w:w="60" w:type="dxa"/>
            <w:vAlign w:val="bottom"/>
            <w:tcBorders>
              <w:bottom w:val="single" w:sz="8" w:color="9A9A9A"/>
            </w:tcBorders>
          </w:tcPr>
          <w:p>
            <w:pPr>
              <w:spacing w:after="0"/>
              <w:rPr>
                <w:sz w:val="24"/>
                <w:szCs w:val="24"/>
                <w:color w:val="auto"/>
              </w:rPr>
            </w:pPr>
          </w:p>
        </w:tc>
        <w:tc>
          <w:tcPr>
            <w:tcW w:w="9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1:</w:t>
        <w:tab/>
        <w:t>Financial Statements (Unaudited)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60" w:type="dxa"/>
            <w:vAlign w:val="bottom"/>
          </w:tcPr>
          <w:p>
            <w:pPr>
              <w:spacing w:after="0"/>
              <w:rPr>
                <w:sz w:val="18"/>
                <w:szCs w:val="18"/>
                <w:color w:val="auto"/>
              </w:rPr>
            </w:pPr>
          </w:p>
        </w:tc>
        <w:tc>
          <w:tcPr>
            <w:tcW w:w="31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Pr>
          <w:p>
            <w:pPr>
              <w:spacing w:after="0"/>
              <w:rPr>
                <w:sz w:val="18"/>
                <w:szCs w:val="18"/>
                <w:color w:val="auto"/>
              </w:rPr>
            </w:pPr>
          </w:p>
        </w:tc>
        <w:tc>
          <w:tcPr>
            <w:tcW w:w="3020" w:type="dxa"/>
            <w:vAlign w:val="bottom"/>
            <w:gridSpan w:val="4"/>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2"/>
        </w:trPr>
        <w:tc>
          <w:tcPr>
            <w:tcW w:w="4300" w:type="dxa"/>
            <w:vAlign w:val="bottom"/>
            <w:tcBorders>
              <w:bottom w:val="single" w:sz="8" w:color="auto"/>
            </w:tcBorders>
            <w:vMerge w:val="continue"/>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revenues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1,040,325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1,060,729</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Service revenues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89,577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76,162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173,587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151,782</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1,213,912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1,212,511</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cost of revenues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713,454</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Service cost of revenues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45,749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41,862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83,218</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cost of revenues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383,143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398,609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773,075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796,672</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415,839</w:t>
            </w:r>
          </w:p>
        </w:tc>
        <w:tc>
          <w:tcPr>
            <w:tcW w:w="0" w:type="dxa"/>
            <w:vAlign w:val="bottom"/>
          </w:tcPr>
          <w:p>
            <w:pPr>
              <w:spacing w:after="0"/>
              <w:rPr>
                <w:sz w:val="1"/>
                <w:szCs w:val="1"/>
                <w:color w:val="auto"/>
              </w:rPr>
            </w:pPr>
          </w:p>
        </w:tc>
      </w:tr>
      <w:tr>
        <w:trPr>
          <w:trHeight w:val="256"/>
        </w:trPr>
        <w:tc>
          <w:tcPr>
            <w:tcW w:w="4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174,384</w:t>
            </w:r>
          </w:p>
        </w:tc>
        <w:tc>
          <w:tcPr>
            <w:tcW w:w="0" w:type="dxa"/>
            <w:vAlign w:val="bottom"/>
          </w:tcPr>
          <w:p>
            <w:pPr>
              <w:spacing w:after="0"/>
              <w:rPr>
                <w:sz w:val="1"/>
                <w:szCs w:val="1"/>
                <w:color w:val="auto"/>
              </w:rPr>
            </w:pPr>
          </w:p>
        </w:tc>
      </w:tr>
      <w:tr>
        <w:trPr>
          <w:trHeight w:val="229"/>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105,454</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0" w:type="dxa"/>
            <w:vAlign w:val="bottom"/>
          </w:tcPr>
          <w:p>
            <w:pPr>
              <w:spacing w:after="0"/>
              <w:rPr>
                <w:sz w:val="1"/>
                <w:szCs w:val="1"/>
                <w:color w:val="auto"/>
              </w:rPr>
            </w:pPr>
          </w:p>
        </w:tc>
      </w:tr>
      <w:tr>
        <w:trPr>
          <w:trHeight w:val="229"/>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loss on sale of business</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147,205</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145,813</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288,211</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288,392</w:t>
            </w:r>
          </w:p>
        </w:tc>
        <w:tc>
          <w:tcPr>
            <w:tcW w:w="0" w:type="dxa"/>
            <w:vAlign w:val="bottom"/>
          </w:tcPr>
          <w:p>
            <w:pPr>
              <w:spacing w:after="0"/>
              <w:rPr>
                <w:sz w:val="1"/>
                <w:szCs w:val="1"/>
                <w:color w:val="auto"/>
              </w:rPr>
            </w:pPr>
          </w:p>
        </w:tc>
      </w:tr>
      <w:tr>
        <w:trPr>
          <w:trHeight w:val="237"/>
        </w:trPr>
        <w:tc>
          <w:tcPr>
            <w:tcW w:w="4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127,447</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8,974</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0" w:type="dxa"/>
            <w:vAlign w:val="bottom"/>
          </w:tcPr>
          <w:p>
            <w:pPr>
              <w:spacing w:after="0"/>
              <w:rPr>
                <w:sz w:val="1"/>
                <w:szCs w:val="1"/>
                <w:color w:val="auto"/>
              </w:rPr>
            </w:pPr>
          </w:p>
        </w:tc>
      </w:tr>
      <w:tr>
        <w:trPr>
          <w:trHeight w:val="236"/>
        </w:trPr>
        <w:tc>
          <w:tcPr>
            <w:tcW w:w="4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132,256</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(28,609)</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103,647</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Itron, Inc.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103,039</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 - Basic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common share - 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0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45,698</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46,441</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Pr>
          <w:p>
            <w:pPr>
              <w:spacing w:after="0"/>
              <w:rPr>
                <w:sz w:val="18"/>
                <w:szCs w:val="18"/>
                <w:color w:val="auto"/>
              </w:rPr>
            </w:pPr>
          </w:p>
        </w:tc>
        <w:tc>
          <w:tcPr>
            <w:tcW w:w="310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Pr>
          <w:p>
            <w:pPr>
              <w:spacing w:after="0"/>
              <w:rPr>
                <w:sz w:val="18"/>
                <w:szCs w:val="18"/>
                <w:color w:val="auto"/>
              </w:rPr>
            </w:pPr>
          </w:p>
        </w:tc>
        <w:tc>
          <w:tcPr>
            <w:tcW w:w="3000" w:type="dxa"/>
            <w:vAlign w:val="bottom"/>
            <w:gridSpan w:val="4"/>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auto"/>
            </w:tcBorders>
            <w:vMerge w:val="continue"/>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103,647</w:t>
            </w: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(16,269)</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 benefit obligation adjustment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50,062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(16,842)</w:t>
            </w:r>
          </w:p>
        </w:tc>
        <w:tc>
          <w:tcPr>
            <w:tcW w:w="0" w:type="dxa"/>
            <w:vAlign w:val="bottom"/>
          </w:tcPr>
          <w:p>
            <w:pPr>
              <w:spacing w:after="0"/>
              <w:rPr>
                <w:sz w:val="1"/>
                <w:szCs w:val="1"/>
                <w:color w:val="auto"/>
              </w:rPr>
            </w:pPr>
          </w:p>
        </w:tc>
      </w:tr>
      <w:tr>
        <w:trPr>
          <w:trHeight w:val="250"/>
        </w:trPr>
        <w:tc>
          <w:tcPr>
            <w:tcW w:w="43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 net of tax</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86,805</w:t>
            </w:r>
          </w:p>
        </w:tc>
        <w:tc>
          <w:tcPr>
            <w:tcW w:w="0" w:type="dxa"/>
            <w:vAlign w:val="bottom"/>
          </w:tcPr>
          <w:p>
            <w:pPr>
              <w:spacing w:after="0"/>
              <w:rPr>
                <w:sz w:val="1"/>
                <w:szCs w:val="1"/>
                <w:color w:val="auto"/>
              </w:rPr>
            </w:pPr>
          </w:p>
        </w:tc>
      </w:tr>
      <w:tr>
        <w:trPr>
          <w:trHeight w:val="250"/>
        </w:trPr>
        <w:tc>
          <w:tcPr>
            <w:tcW w:w="43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3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Comprehensive income (loss) attributable to</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noncontrolling interests, net of tax</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Itron, Inc.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86,197</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687"/>
        </w:trPr>
        <w:tc>
          <w:tcPr>
            <w:tcW w:w="1280" w:type="dxa"/>
            <w:vAlign w:val="bottom"/>
            <w:tcBorders>
              <w:top w:val="single" w:sz="8" w:color="0000FF"/>
            </w:tcBorders>
          </w:tcPr>
          <w:p>
            <w:pPr>
              <w:spacing w:after="0"/>
              <w:rPr>
                <w:sz w:val="24"/>
                <w:szCs w:val="24"/>
                <w:color w:val="auto"/>
              </w:rPr>
            </w:pPr>
          </w:p>
        </w:tc>
        <w:tc>
          <w:tcPr>
            <w:tcW w:w="548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rPr>
              <w:t>ITRON, INC.</w:t>
            </w: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5980" w:type="dxa"/>
            <w:vAlign w:val="bottom"/>
            <w:gridSpan w:val="2"/>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5480" w:type="dxa"/>
            <w:vAlign w:val="bottom"/>
          </w:tcPr>
          <w:p>
            <w:pPr>
              <w:jc w:val="center"/>
              <w:ind w:left="31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5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57"/>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00" w:type="dxa"/>
            <w:vAlign w:val="bottom"/>
          </w:tcPr>
          <w:p>
            <w:pPr>
              <w:spacing w:after="0"/>
              <w:rPr>
                <w:sz w:val="22"/>
                <w:szCs w:val="22"/>
                <w:color w:val="auto"/>
              </w:rPr>
            </w:pPr>
          </w:p>
        </w:tc>
        <w:tc>
          <w:tcPr>
            <w:tcW w:w="18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Pr>
          <w:p>
            <w:pPr>
              <w:spacing w:after="0"/>
              <w:rPr>
                <w:sz w:val="22"/>
                <w:szCs w:val="22"/>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8"/>
        </w:trPr>
        <w:tc>
          <w:tcPr>
            <w:tcW w:w="1280" w:type="dxa"/>
            <w:vAlign w:val="bottom"/>
            <w:tcBorders>
              <w:top w:val="single" w:sz="8" w:color="auto"/>
            </w:tcBorders>
          </w:tcPr>
          <w:p>
            <w:pPr>
              <w:spacing w:after="0"/>
              <w:rPr>
                <w:sz w:val="18"/>
                <w:szCs w:val="18"/>
                <w:color w:val="auto"/>
              </w:rPr>
            </w:pPr>
          </w:p>
        </w:tc>
        <w:tc>
          <w:tcPr>
            <w:tcW w:w="5480" w:type="dxa"/>
            <w:vAlign w:val="bottom"/>
            <w:tcBorders>
              <w:top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r>
      <w:tr>
        <w:trPr>
          <w:trHeight w:val="234"/>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1,224,257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1,051,237</w:t>
            </w: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350,473</w:t>
            </w: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270,725</w:t>
            </w:r>
          </w:p>
        </w:tc>
      </w:tr>
      <w:tr>
        <w:trPr>
          <w:trHeight w:val="229"/>
        </w:trPr>
        <w:tc>
          <w:tcPr>
            <w:tcW w:w="6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140,998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143,457</w:t>
            </w:r>
          </w:p>
        </w:tc>
      </w:tr>
      <w:tr>
        <w:trPr>
          <w:trHeight w:val="223"/>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1,988,873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1,815,892</w:t>
            </w:r>
          </w:p>
        </w:tc>
      </w:tr>
      <w:tr>
        <w:trPr>
          <w:trHeight w:val="203"/>
        </w:trPr>
        <w:tc>
          <w:tcPr>
            <w:tcW w:w="676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115,428</w:t>
            </w: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310,280</w:t>
            </w: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41,827</w:t>
            </w: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28,957</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43,109</w:t>
            </w:r>
          </w:p>
        </w:tc>
      </w:tr>
      <w:tr>
        <w:trPr>
          <w:trHeight w:val="229"/>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1,088,408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1,052,130</w:t>
            </w:r>
          </w:p>
        </w:tc>
      </w:tr>
      <w:tr>
        <w:trPr>
          <w:trHeight w:val="248"/>
        </w:trPr>
        <w:tc>
          <w:tcPr>
            <w:tcW w:w="67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3,623,768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3,407,623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128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30"/>
        </w:trPr>
        <w:tc>
          <w:tcPr>
            <w:tcW w:w="1280" w:type="dxa"/>
            <w:vAlign w:val="bottom"/>
            <w:shd w:val="clear" w:color="auto" w:fill="CCEEFF"/>
          </w:tcPr>
          <w:p>
            <w:pPr>
              <w:spacing w:after="0"/>
              <w:rPr>
                <w:sz w:val="19"/>
                <w:szCs w:val="19"/>
                <w:color w:val="auto"/>
              </w:rPr>
            </w:pPr>
          </w:p>
        </w:tc>
        <w:tc>
          <w:tcPr>
            <w:tcW w:w="5480" w:type="dxa"/>
            <w:vAlign w:val="bottom"/>
            <w:shd w:val="clear" w:color="auto" w:fill="CCEEFF"/>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9"/>
              </w:rPr>
              <w:t>LIABILITIES AND EQUITY</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144,929</w:t>
            </w: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61,241</w:t>
            </w: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Wages and benefits payable</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137,384</w:t>
            </w: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Taxes payable</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19,689</w:t>
            </w: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debt, net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Current portion of warranty</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14,302</w:t>
            </w: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Unearned revenue</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195,530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150,720</w:t>
            </w:r>
          </w:p>
        </w:tc>
      </w:tr>
      <w:tr>
        <w:trPr>
          <w:trHeight w:val="223"/>
        </w:trPr>
        <w:tc>
          <w:tcPr>
            <w:tcW w:w="67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973,059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528,265</w:t>
            </w:r>
          </w:p>
        </w:tc>
      </w:tr>
      <w:tr>
        <w:trPr>
          <w:trHeight w:val="203"/>
        </w:trPr>
        <w:tc>
          <w:tcPr>
            <w:tcW w:w="6760" w:type="dxa"/>
            <w:vAlign w:val="bottom"/>
            <w:gridSpan w:val="2"/>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787,023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1,242,424</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warranty</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w:t>
            </w: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59,537</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25,350</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128,221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132,215</w:t>
            </w:r>
          </w:p>
        </w:tc>
      </w:tr>
      <w:tr>
        <w:trPr>
          <w:trHeight w:val="223"/>
        </w:trPr>
        <w:tc>
          <w:tcPr>
            <w:tcW w:w="67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1,989,344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1,996,195</w:t>
            </w:r>
          </w:p>
        </w:tc>
      </w:tr>
      <w:tr>
        <w:trPr>
          <w:trHeight w:val="203"/>
        </w:trPr>
        <w:tc>
          <w:tcPr>
            <w:tcW w:w="6760" w:type="dxa"/>
            <w:vAlign w:val="bottom"/>
            <w:gridSpan w:val="2"/>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 issued or outstanding</w:t>
            </w:r>
          </w:p>
        </w:tc>
        <w:tc>
          <w:tcPr>
            <w:tcW w:w="5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676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no par value, 75,000 shares authorized, 45,710 and 45,131 shares issued</w:t>
            </w:r>
          </w:p>
        </w:tc>
        <w:tc>
          <w:tcPr>
            <w:tcW w:w="5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43"/>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and outstanding</w:t>
            </w:r>
          </w:p>
        </w:tc>
        <w:tc>
          <w:tcPr>
            <w:tcW w:w="5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1,728,667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1,689,835</w:t>
            </w: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(109,931)</w:t>
            </w:r>
          </w:p>
        </w:tc>
      </w:tr>
      <w:tr>
        <w:trPr>
          <w:trHeight w:val="230"/>
        </w:trPr>
        <w:tc>
          <w:tcPr>
            <w:tcW w:w="6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(55,490)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(189,304)</w:t>
            </w:r>
          </w:p>
        </w:tc>
      </w:tr>
      <w:tr>
        <w:trPr>
          <w:trHeight w:val="223"/>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Itron, Inc. shareholders' equity</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1,613,308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1,390,600</w:t>
            </w:r>
          </w:p>
        </w:tc>
      </w:tr>
      <w:tr>
        <w:trPr>
          <w:trHeight w:val="230"/>
        </w:trPr>
        <w:tc>
          <w:tcPr>
            <w:tcW w:w="6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20,828</w:t>
            </w:r>
          </w:p>
        </w:tc>
      </w:tr>
      <w:tr>
        <w:trPr>
          <w:trHeight w:val="223"/>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1,634,424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1,411,428</w:t>
            </w:r>
          </w:p>
        </w:tc>
      </w:tr>
      <w:tr>
        <w:trPr>
          <w:trHeight w:val="223"/>
        </w:trPr>
        <w:tc>
          <w:tcPr>
            <w:tcW w:w="67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3,623,768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3,407,623</w:t>
            </w:r>
          </w:p>
        </w:tc>
      </w:tr>
      <w:tr>
        <w:trPr>
          <w:trHeight w:val="20"/>
        </w:trPr>
        <w:tc>
          <w:tcPr>
            <w:tcW w:w="1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20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Itron, Inc.</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84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5"/>
                <w:szCs w:val="5"/>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5"/>
                <w:szCs w:val="5"/>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2"/>
                <w:szCs w:val="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line="20" w:lineRule="exact"/>
              <w:rPr>
                <w:sz w:val="1"/>
                <w:szCs w:val="1"/>
                <w:color w:val="auto"/>
              </w:rPr>
            </w:pPr>
          </w:p>
        </w:tc>
      </w:tr>
      <w:tr>
        <w:trPr>
          <w:trHeight w:val="198"/>
        </w:trPr>
        <w:tc>
          <w:tcPr>
            <w:tcW w:w="28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2025</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1,689,835</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(109,931)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(189,304)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1,390,600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1,411,428</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65,350</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13,548</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16,558</w:t>
            </w:r>
          </w:p>
        </w:tc>
        <w:tc>
          <w:tcPr>
            <w:tcW w:w="0" w:type="dxa"/>
            <w:vAlign w:val="bottom"/>
          </w:tcPr>
          <w:p>
            <w:pPr>
              <w:spacing w:after="0"/>
              <w:rPr>
                <w:sz w:val="1"/>
                <w:szCs w:val="1"/>
                <w:color w:val="auto"/>
              </w:rPr>
            </w:pPr>
          </w:p>
        </w:tc>
      </w:tr>
      <w:tr>
        <w:trPr>
          <w:trHeight w:val="189"/>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March 31, 2025</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1,708,588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1,488,375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1,509,079</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68,752</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36,514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36,514</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16,838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16,838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16,838</w:t>
            </w:r>
          </w:p>
        </w:tc>
        <w:tc>
          <w:tcPr>
            <w:tcW w:w="0" w:type="dxa"/>
            <w:vAlign w:val="bottom"/>
          </w:tcPr>
          <w:p>
            <w:pPr>
              <w:spacing w:after="0"/>
              <w:rPr>
                <w:sz w:val="1"/>
                <w:szCs w:val="1"/>
                <w:color w:val="auto"/>
              </w:rPr>
            </w:pPr>
          </w:p>
        </w:tc>
      </w:tr>
      <w:tr>
        <w:trPr>
          <w:trHeight w:val="221"/>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June 30, 2025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45,710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1,728,667</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(59,869)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(55,490)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1,613,308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1,634,424</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20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Itron, Inc.</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84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5"/>
                <w:szCs w:val="5"/>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5"/>
                <w:szCs w:val="5"/>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2"/>
                <w:szCs w:val="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line="20" w:lineRule="exact"/>
              <w:rPr>
                <w:sz w:val="1"/>
                <w:szCs w:val="1"/>
                <w:color w:val="auto"/>
              </w:rPr>
            </w:pPr>
          </w:p>
        </w:tc>
      </w:tr>
      <w:tr>
        <w:trPr>
          <w:trHeight w:val="196"/>
        </w:trPr>
        <w:tc>
          <w:tcPr>
            <w:tcW w:w="28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2024</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45,512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1,820,510</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(81,190)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(428,409)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1,310,911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1,331,431</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51,787</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(10,908)</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11,429</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Registration fee</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March 31, 2024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1,833,510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(92,098)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(376,688)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1,364,724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1,385,310</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51,860</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(5,934)</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10,416</w:t>
            </w: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Payments on call spread for convertible</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(82,304)</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(82,304)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(82,304)</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offering, net of tax</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repurchased</w:t>
            </w:r>
          </w:p>
        </w:tc>
        <w:tc>
          <w:tcPr>
            <w:tcW w:w="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(972)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Registration fee</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21"/>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June 30, 2024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44,952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1,662,965</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(98,032)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(325,370)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1,239,563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1,260,691</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4"/>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134,102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103,647</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Depreciation and amortization of intangible assets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24,182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26,263</w:t>
            </w:r>
          </w:p>
        </w:tc>
        <w:tc>
          <w:tcPr>
            <w:tcW w:w="0" w:type="dxa"/>
            <w:vAlign w:val="bottom"/>
          </w:tcPr>
          <w:p>
            <w:pPr>
              <w:spacing w:after="0"/>
              <w:rPr>
                <w:sz w:val="1"/>
                <w:szCs w:val="1"/>
                <w:color w:val="auto"/>
              </w:rPr>
            </w:pPr>
          </w:p>
        </w:tc>
      </w:tr>
      <w:tr>
        <w:trPr>
          <w:trHeight w:val="195"/>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5,843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7,634</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Stock-based compensation</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33,396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21,845</w:t>
            </w:r>
          </w:p>
        </w:tc>
        <w:tc>
          <w:tcPr>
            <w:tcW w:w="0" w:type="dxa"/>
            <w:vAlign w:val="bottom"/>
          </w:tcPr>
          <w:p>
            <w:pPr>
              <w:spacing w:after="0"/>
              <w:rPr>
                <w:sz w:val="1"/>
                <w:szCs w:val="1"/>
                <w:color w:val="auto"/>
              </w:rPr>
            </w:pPr>
          </w:p>
        </w:tc>
      </w:tr>
      <w:tr>
        <w:trPr>
          <w:trHeight w:val="195"/>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Amortization of prepaid debt fees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3,581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1,867</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Deferred taxes, net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(8,725)</w:t>
            </w:r>
          </w:p>
        </w:tc>
        <w:tc>
          <w:tcPr>
            <w:tcW w:w="0" w:type="dxa"/>
            <w:vAlign w:val="bottom"/>
          </w:tcPr>
          <w:p>
            <w:pPr>
              <w:spacing w:after="0"/>
              <w:rPr>
                <w:sz w:val="1"/>
                <w:szCs w:val="1"/>
                <w:color w:val="auto"/>
              </w:rPr>
            </w:pPr>
          </w:p>
        </w:tc>
      </w:tr>
      <w:tr>
        <w:trPr>
          <w:trHeight w:val="195"/>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(Gain) loss on sale of business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Restructuring, non-cash</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95"/>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Other adjustments, net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 and sale of business: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18,789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(13,557)</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(13,216)</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current assets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6,409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long-term assets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 other current liabilities, and taxes payable</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(31,868)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(7,128)</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Wages and benefits payable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(28,700)</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Unearned revenue</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46,431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39,039</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Warranty</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Restructuring</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(14,628)</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operating, net</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(18,927)</w:t>
            </w:r>
          </w:p>
        </w:tc>
        <w:tc>
          <w:tcPr>
            <w:tcW w:w="0" w:type="dxa"/>
            <w:vAlign w:val="bottom"/>
          </w:tcPr>
          <w:p>
            <w:pPr>
              <w:spacing w:after="0"/>
              <w:rPr>
                <w:sz w:val="1"/>
                <w:szCs w:val="1"/>
                <w:color w:val="auto"/>
              </w:rPr>
            </w:pPr>
          </w:p>
        </w:tc>
      </w:tr>
      <w:tr>
        <w:trPr>
          <w:trHeight w:val="189"/>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168,802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93,025</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proceeds related to the sale of business</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Acquisitions of property, plant, and equipment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(14,255)</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Business acquisitions, net of cash and cash equivalents acquired</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(34,126)</w:t>
            </w: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investing, net</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(47,820)</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borrowings</w:t>
            </w:r>
          </w:p>
        </w:tc>
        <w:tc>
          <w:tcPr>
            <w:tcW w:w="38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805,000</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5,436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Payments on call spread for convertible offering</w:t>
            </w:r>
          </w:p>
        </w:tc>
        <w:tc>
          <w:tcPr>
            <w:tcW w:w="38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(108,997)</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Prepaid debt fees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(21,495)</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financing, net</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0" w:type="dxa"/>
            <w:vAlign w:val="bottom"/>
          </w:tcPr>
          <w:p>
            <w:pPr>
              <w:spacing w:after="0"/>
              <w:rPr>
                <w:sz w:val="1"/>
                <w:szCs w:val="1"/>
                <w:color w:val="auto"/>
              </w:rPr>
            </w:pPr>
          </w:p>
        </w:tc>
      </w:tr>
      <w:tr>
        <w:trPr>
          <w:trHeight w:val="189"/>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4,751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576,839</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10,118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(3,454)</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in cash and cash equivalents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173,020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618,590</w:t>
            </w: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1,051,237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302,049</w:t>
            </w:r>
          </w:p>
        </w:tc>
        <w:tc>
          <w:tcPr>
            <w:tcW w:w="0" w:type="dxa"/>
            <w:vAlign w:val="bottom"/>
          </w:tcPr>
          <w:p>
            <w:pPr>
              <w:spacing w:after="0"/>
              <w:rPr>
                <w:sz w:val="1"/>
                <w:szCs w:val="1"/>
                <w:color w:val="auto"/>
              </w:rPr>
            </w:pPr>
          </w:p>
        </w:tc>
      </w:tr>
      <w:tr>
        <w:trPr>
          <w:trHeight w:val="221"/>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1,224,257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920,639</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Supplemental disclosure of cash flow information:</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Income taxes, net</w:t>
            </w: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45,869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40,006</w:t>
            </w:r>
          </w:p>
        </w:tc>
        <w:tc>
          <w:tcPr>
            <w:tcW w:w="0" w:type="dxa"/>
            <w:vAlign w:val="bottom"/>
          </w:tcPr>
          <w:p>
            <w:pPr>
              <w:spacing w:after="0"/>
              <w:rPr>
                <w:sz w:val="1"/>
                <w:szCs w:val="1"/>
                <w:color w:val="auto"/>
              </w:rPr>
            </w:pPr>
          </w:p>
        </w:tc>
      </w:tr>
      <w:tr>
        <w:trPr>
          <w:trHeight w:val="188"/>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Interest</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6,944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0" w:type="dxa"/>
            <w:vAlign w:val="bottom"/>
          </w:tcPr>
          <w:p>
            <w:pPr>
              <w:spacing w:after="0"/>
              <w:rPr>
                <w:sz w:val="1"/>
                <w:szCs w:val="1"/>
                <w:color w:val="auto"/>
              </w:rPr>
            </w:pPr>
          </w:p>
        </w:tc>
      </w:tr>
    </w:tbl>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the terms "we", "us", "our", "Itron", and the "Company" refer to Itron, Inc. and its subsidiaries.</w:t>
      </w:r>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Financial Statement Preparation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consolidated financial statements presented in this Quarterly Report on Form 10-Q are unaudited and reflect entries necessary for the fair presentation of the Consolidated Statements of Operations and the Consolidated Statements of Comprehensive Income (Loss) for the three and six months ended June 30, 2025 and 2024, Consolidated Statements of Equity for the three months ended June 30, 2025 and 2024 and March 31, 2025 and 2024, the Consolidated Statements of Cash Flows for the six months ended June 30, 2025 and 2024, and the Consolidated Balance Sheets as of June 30, 2025 and December 31, 2024, of Itron, Inc. and its subsidiaries. All entries required for the fair presentation of the financial statements are of a normal recurring nature, except as disclosed. The results of operations for the three and six months ended June 30, 2025 are not necessarily indicative of the results expected for the full year or for any other period.</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information and notes normally included in financial statements prepared in accordance with U.S. generally accepted accounting principles (GAAP) have been partially or completely omitted pursuant to the rules and regulations of the U.S. Securities and Exchange Commission (SEC) regarding interim results. These consolidated financial statements should be read in conjunction with the consolidated financial statements and the notes thereto for the fiscal year ended December 31, 2024 filed with the SEC in our Annual Report on Form 10-K on February 25, 2025 (2024 Annual Report). There have been no significant changes in financial statement preparation or significant accounting policies since December 31, 2024.</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Restricted Cash and Cash Equivalents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Cash and cash equivalents that are contractually restricted from operating use are classified as restricted cash and cash equivalents. We had $1.8 million pledged for standby letters of credit as of June 30, 2025 and December 31, 2024.</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Global economic impacts, such as pandemics and various ongoing conflicts around the world, may create disruption in customer demand and global supply chains, resulting in market volatility, which our management continues to monitor. In the aftermath of these types of events, global supply chains, including labor, may struggle to keep pace with rapidly changing demand. Temporary imbalance in supply and demand may create business uncertainties that include increased costs and lack of availability. Efforts continue with suppliers to improve supply resiliency, including the approval of alternative sources. Additionally, inflation in our raw materials and component costs, freight charges, sanctions, tariffs, and labor costs may increase above historical levels due to, among other things, the continuing impacts of an uncertain economic environment. We may or may not be able to fully recover these increased costs through pricing actions with our customers. Currently, we have not identified any significant decrease in long-term customer demand for our products and services.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limited direct business exposure in areas with current conflict, such as Ukraine, Israel, or Iran, military actions globally and any resulting sanctions or tariffs could adversely affect the global economy, as well as further disrupt the supply chain. A major disruption in the global economy and supply chain could have a material adverse effect on our business, prospects, financial condition, results of operations, and cash flows. The extent and duration of military action, sanctions, tariffs, and resulting market and/or supply disruptions are impossible to predict but could be substantial, and our management continues to monitor these events closely</w:t>
      </w:r>
      <w:r>
        <w:rPr>
          <w:rFonts w:ascii="Times New Roman" w:cs="Times New Roman" w:eastAsia="Times New Roman" w:hAnsi="Times New Roman"/>
          <w:sz w:val="18"/>
          <w:szCs w:val="18"/>
          <w:color w:val="333333"/>
        </w:rPr>
        <w: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Recent Accounting Standards Not Yet Adopted</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which amends</w:t>
      </w:r>
      <w:r>
        <w:rPr>
          <w:rFonts w:ascii="Times New Roman" w:cs="Times New Roman" w:eastAsia="Times New Roman" w:hAnsi="Times New Roman"/>
          <w:sz w:val="18"/>
          <w:szCs w:val="18"/>
          <w:i w:val="1"/>
          <w:iCs w:val="1"/>
          <w:color w:val="auto"/>
        </w:rPr>
        <w:t xml:space="preserve"> Income Taxes </w:t>
      </w:r>
      <w:r>
        <w:rPr>
          <w:rFonts w:ascii="Times New Roman" w:cs="Times New Roman" w:eastAsia="Times New Roman" w:hAnsi="Times New Roman"/>
          <w:sz w:val="18"/>
          <w:szCs w:val="18"/>
          <w:color w:val="auto"/>
        </w:rPr>
        <w:t>(Topic 740). The FASB issued this update to improve annual basis income tax disclosures related to (1)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reconciliation, (2) income taxes paid, and (3) other disclosures related to pretax income (or loss) and income tax expense (or benefit) from continuing operations. The effective date for this amendment is January 1, 2025, with early adoption permitted. These amendments are to be applied on a prospective basis; however, retrospective application is permitted. We plan to adopt the standard when it becomes effective for us beginning in our fiscal year 2025 annual financial statements, and we expect the adoption of the standard will impact certain areas of our income tax disclosures.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The new guidance is intended to enhance transparency and disclosures by requiring public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entities to disclose additional information about specific expense categories in the notes to financial statements at interim and annual reporting periods. The FASB further clarified the effective date in January 2025 with the issuance of ASU 2025-01, </w:t>
      </w:r>
      <w:r>
        <w:rPr>
          <w:rFonts w:ascii="Times New Roman" w:cs="Times New Roman" w:eastAsia="Times New Roman" w:hAnsi="Times New Roman"/>
          <w:sz w:val="18"/>
          <w:szCs w:val="18"/>
          <w:i w:val="1"/>
          <w:iCs w:val="1"/>
          <w:color w:val="auto"/>
        </w:rPr>
        <w:t>Income Statement - Reporting Comprehensive Income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 Disaggregation Disclosures (Subtopic 220-40): Clarifying the Effective Date. </w:t>
      </w:r>
      <w:r>
        <w:rPr>
          <w:rFonts w:ascii="Times New Roman" w:cs="Times New Roman" w:eastAsia="Times New Roman" w:hAnsi="Times New Roman"/>
          <w:sz w:val="18"/>
          <w:szCs w:val="18"/>
          <w:color w:val="auto"/>
        </w:rPr>
        <w:t>The ASU is effective for our annual report as of December 31, 2027,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for interim reporting periods beginning in the first quarter of 2028, with early adoption permitted. We are in the process of evaluating the impact that the adoption of this ASU will have on our consolidated financial statements and related disclosures.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Convertible Debt Instruments. </w:t>
      </w:r>
      <w:r>
        <w:rPr>
          <w:rFonts w:ascii="Times New Roman" w:cs="Times New Roman" w:eastAsia="Times New Roman" w:hAnsi="Times New Roman"/>
          <w:sz w:val="18"/>
          <w:szCs w:val="18"/>
          <w:color w:val="auto"/>
        </w:rPr>
        <w:t>The new guidance clarifies the assessment of whether a transaction should be accounted for as an induced conversion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extinguishment of convertible debt when changes are made to conversion features as part of an offer to settle the instrument. The ASU is effective beginning in 2026, with early adoption permitted. We will utilize this guidance for any future induced conversions or extinguishments of our convertible notes.</w:t>
      </w:r>
    </w:p>
    <w:p>
      <w:pPr>
        <w:spacing w:after="0" w:line="20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(EPS):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40" w:type="dxa"/>
            <w:vAlign w:val="bottom"/>
          </w:tcPr>
          <w:p>
            <w:pPr>
              <w:spacing w:after="0"/>
              <w:rPr>
                <w:sz w:val="18"/>
                <w:szCs w:val="18"/>
                <w:color w:val="auto"/>
              </w:rPr>
            </w:pPr>
          </w:p>
        </w:tc>
        <w:tc>
          <w:tcPr>
            <w:tcW w:w="2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68,340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51,318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133,814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103,039</w:t>
            </w:r>
          </w:p>
        </w:tc>
        <w:tc>
          <w:tcPr>
            <w:tcW w:w="0" w:type="dxa"/>
            <w:vAlign w:val="bottom"/>
          </w:tcPr>
          <w:p>
            <w:pPr>
              <w:spacing w:after="0"/>
              <w:rPr>
                <w:sz w:val="1"/>
                <w:szCs w:val="1"/>
                <w:color w:val="auto"/>
              </w:rPr>
            </w:pPr>
          </w:p>
        </w:tc>
      </w:tr>
      <w:tr>
        <w:trPr>
          <w:trHeight w:val="256"/>
        </w:trPr>
        <w:tc>
          <w:tcPr>
            <w:tcW w:w="4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45,633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45,745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45,486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45,698</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Dilutive effect of stock-based awards</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Dilutive effect of convertible notes</w:t>
            </w:r>
          </w:p>
        </w:tc>
        <w:tc>
          <w:tcPr>
            <w:tcW w:w="10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10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46,380</w:t>
            </w:r>
          </w:p>
        </w:tc>
        <w:tc>
          <w:tcPr>
            <w:tcW w:w="10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46,526</w:t>
            </w:r>
          </w:p>
        </w:tc>
        <w:tc>
          <w:tcPr>
            <w:tcW w:w="12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46,276</w:t>
            </w:r>
          </w:p>
        </w:tc>
        <w:tc>
          <w:tcPr>
            <w:tcW w:w="10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46,441</w:t>
            </w:r>
          </w:p>
        </w:tc>
        <w:tc>
          <w:tcPr>
            <w:tcW w:w="0" w:type="dxa"/>
            <w:vAlign w:val="bottom"/>
          </w:tcPr>
          <w:p>
            <w:pPr>
              <w:spacing w:after="0"/>
              <w:rPr>
                <w:sz w:val="1"/>
                <w:szCs w:val="1"/>
                <w:color w:val="auto"/>
              </w:rPr>
            </w:pPr>
          </w:p>
        </w:tc>
      </w:tr>
      <w:tr>
        <w:trPr>
          <w:trHeight w:val="235"/>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Basic</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40" w:type="dxa"/>
            <w:vAlign w:val="bottom"/>
            <w:vMerge w:val="continue"/>
          </w:tcPr>
          <w:p>
            <w:pPr>
              <w:spacing w:after="0"/>
              <w:rPr>
                <w:sz w:val="16"/>
                <w:szCs w:val="16"/>
                <w:color w:val="auto"/>
              </w:rPr>
            </w:pP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Awards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our common stock at the average market price during the period. Related proceeds include the amount the employee must pay upon exercise and the future compensation cost associated with the stock award. Approximately 33,000 and 24,000 stock-based awards were excluded from the calculation of diluted EPS for the three and six months ended June 30, 2025 because they were anti-dilutive. Approximately 10,000 and 33,000 stock-based awards were excluded from the calculation of diluted EPS for the three and six months ended June 30, 2024 because they were anti-dilutive. These stock-based awards could be dilutive in future periods.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Convertible Notes and Share Hedges</w:t>
      </w: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2021 Notes, Warrants and Call Option Transactions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our convertible notes issued in March 2021 (the 2021 Notes), the dilutive effect is calculated using the if-converted method. We are required, pursuant to the indenture governing the notes, to settle the principal amount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notes were converted. The average closing prices of our common stock for the quarter ended June 30, 2025 were used as the basis for determining the dilutive effect on EPS. The quarterly average closing prices for our common stock did not exceed the conversion price of $126.00, and therefore all associated shares were anti-dilutive.</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conjunction with the issuance of the 2021 Notes, we sold warrants to purchase 3.7 million shares of Itron common stock. The warrants have a strike price of $180.00 per share. For calculating the dilutive effect of the warrants, we use the treasury stock method. With this method, we assume exercise of the warrants at the beginning of the period, or at time of issuance if later, and the issuance of common stock upon exercise. Proceeds from the exercise of the warrants are assumed to be used to repurchase shares of our stock at the average market price during the period. The incremental shares, representing the number of shares assumed to be exercised with the warrants less the number of shares repurchased, are included in diluted weighted average common shares outstanding. For periods where the warrants strike price of $180.00 per share is greater than the average share price of Itron stock for the period, the warrants would be anti-dilutive. For the three and six months ended June 30, 2025, the quarterly average closing prices of our common stock did not exceed the warrant strike price, and therefore 3.7 million shares were considered anti-dilutive.</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2021 Notes, we entered into privately negotiated call option contracts on our common stock (the 2021 call option transactions) with certain commercial banks. The 2021 call option transactions cover, subject to anti-dilution adjustments substantially similar to those in the 2021 Notes, approximately 3.7 million shares of our common stock, the same number of shares initially underlying the notes, at a strike price of approximately $126.00, subject to customary adjustments. The 2021 call option transactions will expire upon the maturity of the 2021 Notes, subject to earlier exercise or termination. Exercise of the 2021 call option transactions would reduce the number of shares of our common stock outstanding and therefore would be anti-dilutive.</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2024 Notes and Capped Call Transactions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our convertible notes issued in June 2024 (the 2024 Notes), the dilutive effect is calculated using the if-converted method. We are required, pursuant to the indenture governing our convertible notes, to settle the principal amount of the convertible notes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convertible notes were converted. The average closing prices of our common stock for the quarter ended June 30, 2025 were used as the basis for determining the dilutive effect on EPS. The quarterly average closing prices for our common stock did not exceed the conversion price of $131.24, and therefore all associated shares were anti-dilutive.</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the 2024 Notes, we entered into privately negotiated capped call transactions (the 2024 capped call transactions) on our common stock with certain commercial banks. The 2024 capped call transactions cover, subject to anti-dilution adjustments substantially similar to those in the 2024 Notes, approximately 6.1 million shares of our common stock, the same number of shares initially underlying the convertible notes, at a strike price of approximately $131.2353, subject to customary adjustments. The cap price of the 2024 capped call transactions will initially be $205.86 per share, which represents a premium of 100% over the last reported stock price per share of the Company's common stock on June 17, 2024, and is subject to certain adjustments under the terms of the 2024 capped call transactions. The 2024 capped call transactions will expire upon the maturity of the 2024 Notes, subject to earlier exercise or termination. Exercise of the 2024 capped call transactions would reduce the number of shares of our common stock outstanding and therefore would be anti-dilutive.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Certain Balance Sheet Components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accounts receivable from contracts with customers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Accounts receivable, net</w:t>
            </w: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Pr>
          <w:p>
            <w:pPr>
              <w:spacing w:after="0"/>
              <w:rPr>
                <w:sz w:val="19"/>
                <w:szCs w:val="19"/>
                <w:color w:val="auto"/>
              </w:rPr>
            </w:pPr>
          </w:p>
        </w:tc>
        <w:tc>
          <w:tcPr>
            <w:tcW w:w="19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60" w:type="dxa"/>
            <w:vAlign w:val="bottom"/>
          </w:tcPr>
          <w:p>
            <w:pPr>
              <w:spacing w:after="0"/>
              <w:rPr>
                <w:sz w:val="19"/>
                <w:szCs w:val="19"/>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6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 (net of allowance of $1,814 and $417)</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311,740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295,341</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Unbilled receivables</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28,581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55,132</w:t>
            </w:r>
          </w:p>
        </w:tc>
      </w:tr>
      <w:tr>
        <w:trPr>
          <w:trHeight w:val="237"/>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accounts receivable, net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340,321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350,473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Allowance for credit losses account activity</w:t>
            </w:r>
          </w:p>
        </w:tc>
        <w:tc>
          <w:tcPr>
            <w:tcW w:w="284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Borders>
              <w:bottom w:val="single" w:sz="8" w:color="auto"/>
            </w:tcBorders>
            <w:gridSpan w:val="6"/>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0" w:type="dxa"/>
            <w:vAlign w:val="bottom"/>
          </w:tcPr>
          <w:p>
            <w:pPr>
              <w:spacing w:after="0"/>
              <w:rPr>
                <w:sz w:val="1"/>
                <w:szCs w:val="1"/>
                <w:color w:val="auto"/>
              </w:rPr>
            </w:pPr>
          </w:p>
        </w:tc>
      </w:tr>
      <w:tr>
        <w:trPr>
          <w:trHeight w:val="213"/>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 (release of) doubtful accounts, net</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1,344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written-off, net</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37"/>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1,814</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6"/>
                <w:szCs w:val="16"/>
                <w:i w:val="1"/>
                <w:iCs w:val="1"/>
                <w:color w:val="auto"/>
              </w:rPr>
              <w:t>Inventories</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7"/>
        </w:trPr>
        <w:tc>
          <w:tcPr>
            <w:tcW w:w="43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222,618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198,995</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16,679</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45,209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55,051</w:t>
            </w:r>
          </w:p>
        </w:tc>
        <w:tc>
          <w:tcPr>
            <w:tcW w:w="0" w:type="dxa"/>
            <w:vAlign w:val="bottom"/>
          </w:tcPr>
          <w:p>
            <w:pPr>
              <w:spacing w:after="0"/>
              <w:rPr>
                <w:sz w:val="1"/>
                <w:szCs w:val="1"/>
                <w:color w:val="auto"/>
              </w:rPr>
            </w:pPr>
          </w:p>
        </w:tc>
      </w:tr>
      <w:tr>
        <w:trPr>
          <w:trHeight w:val="209"/>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inventories</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283,297</w:t>
            </w:r>
          </w:p>
        </w:tc>
        <w:tc>
          <w:tcPr>
            <w:tcW w:w="12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270,725</w:t>
            </w:r>
          </w:p>
        </w:tc>
        <w:tc>
          <w:tcPr>
            <w:tcW w:w="0" w:type="dxa"/>
            <w:vAlign w:val="bottom"/>
          </w:tcPr>
          <w:p>
            <w:pPr>
              <w:spacing w:after="0"/>
              <w:rPr>
                <w:sz w:val="1"/>
                <w:szCs w:val="1"/>
                <w:color w:val="auto"/>
              </w:rPr>
            </w:pPr>
          </w:p>
        </w:tc>
      </w:tr>
      <w:tr>
        <w:trPr>
          <w:trHeight w:val="21"/>
        </w:trPr>
        <w:tc>
          <w:tcPr>
            <w:tcW w:w="43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i w:val="1"/>
                <w:iCs w:val="1"/>
                <w:color w:val="auto"/>
              </w:rPr>
              <w:t>Property, plant, and equipment, net</w:t>
            </w: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0"/>
        </w:trPr>
        <w:tc>
          <w:tcPr>
            <w:tcW w:w="43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308,520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294,237</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Computers and software</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124,170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119,818</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 furniture, and improvements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105,723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115,372</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8,513</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 including purchased equipment</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22,247</w:t>
            </w:r>
          </w:p>
        </w:tc>
        <w:tc>
          <w:tcPr>
            <w:tcW w:w="0" w:type="dxa"/>
            <w:vAlign w:val="bottom"/>
          </w:tcPr>
          <w:p>
            <w:pPr>
              <w:spacing w:after="0"/>
              <w:rPr>
                <w:sz w:val="1"/>
                <w:szCs w:val="1"/>
                <w:color w:val="auto"/>
              </w:rPr>
            </w:pPr>
          </w:p>
        </w:tc>
      </w:tr>
      <w:tr>
        <w:trPr>
          <w:trHeight w:val="207"/>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cost</w:t>
            </w: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568,485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560,187</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depreciation</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(452,890)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(444,759)</w:t>
            </w:r>
          </w:p>
        </w:tc>
        <w:tc>
          <w:tcPr>
            <w:tcW w:w="0" w:type="dxa"/>
            <w:vAlign w:val="bottom"/>
          </w:tcPr>
          <w:p>
            <w:pPr>
              <w:spacing w:after="0"/>
              <w:rPr>
                <w:sz w:val="1"/>
                <w:szCs w:val="1"/>
                <w:color w:val="auto"/>
              </w:rPr>
            </w:pPr>
          </w:p>
        </w:tc>
      </w:tr>
      <w:tr>
        <w:trPr>
          <w:trHeight w:val="210"/>
        </w:trPr>
        <w:tc>
          <w:tcPr>
            <w:tcW w:w="43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115,595</w:t>
            </w:r>
          </w:p>
        </w:tc>
        <w:tc>
          <w:tcPr>
            <w:tcW w:w="12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115,428</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gridSpan w:val="4"/>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2"/>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Depreciation expense</w:t>
            </w:r>
          </w:p>
        </w:tc>
        <w:tc>
          <w:tcPr>
            <w:tcW w:w="284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Borders>
              <w:bottom w:val="single" w:sz="8" w:color="auto"/>
            </w:tcBorders>
            <w:gridSpan w:val="6"/>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expense</w:t>
            </w:r>
          </w:p>
        </w:tc>
        <w:tc>
          <w:tcPr>
            <w:tcW w:w="1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7,571</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9,008</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15,160</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4:</w:t>
        <w:tab/>
        <w:t>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and accumulated amortization of our intangible assets, other than goodwill,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3"/>
                <w:szCs w:val="13"/>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13"/>
                <w:szCs w:val="13"/>
                <w:color w:val="auto"/>
              </w:rPr>
            </w:pPr>
          </w:p>
        </w:tc>
        <w:tc>
          <w:tcPr>
            <w:tcW w:w="136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80" w:type="dxa"/>
            <w:vAlign w:val="bottom"/>
          </w:tcPr>
          <w:p>
            <w:pPr>
              <w:spacing w:after="0"/>
              <w:rPr>
                <w:sz w:val="13"/>
                <w:szCs w:val="13"/>
                <w:color w:val="auto"/>
              </w:rPr>
            </w:pP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Net</w:t>
            </w:r>
          </w:p>
        </w:tc>
        <w:tc>
          <w:tcPr>
            <w:tcW w:w="240" w:type="dxa"/>
            <w:vAlign w:val="bottom"/>
          </w:tcPr>
          <w:p>
            <w:pPr>
              <w:spacing w:after="0"/>
              <w:rPr>
                <w:sz w:val="13"/>
                <w:szCs w:val="13"/>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13"/>
                <w:szCs w:val="13"/>
                <w:color w:val="auto"/>
              </w:rPr>
            </w:pPr>
          </w:p>
        </w:tc>
        <w:tc>
          <w:tcPr>
            <w:tcW w:w="138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80" w:type="dxa"/>
            <w:vAlign w:val="bottom"/>
          </w:tcPr>
          <w:p>
            <w:pPr>
              <w:spacing w:after="0"/>
              <w:rPr>
                <w:sz w:val="13"/>
                <w:szCs w:val="13"/>
                <w:color w:val="auto"/>
              </w:rPr>
            </w:pPr>
          </w:p>
        </w:tc>
        <w:tc>
          <w:tcPr>
            <w:tcW w:w="90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3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Assets</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Core-developed technology</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11,387</w:t>
            </w:r>
          </w:p>
        </w:tc>
        <w:tc>
          <w:tcPr>
            <w:tcW w:w="0" w:type="dxa"/>
            <w:vAlign w:val="bottom"/>
          </w:tcPr>
          <w:p>
            <w:pPr>
              <w:spacing w:after="0"/>
              <w:rPr>
                <w:sz w:val="1"/>
                <w:szCs w:val="1"/>
                <w:color w:val="auto"/>
              </w:rPr>
            </w:pPr>
          </w:p>
        </w:tc>
      </w:tr>
      <w:tr>
        <w:trPr>
          <w:trHeight w:val="213"/>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contracts and relationships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332,930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(309,581)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315,744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30,303</w:t>
            </w:r>
          </w:p>
        </w:tc>
        <w:tc>
          <w:tcPr>
            <w:tcW w:w="0" w:type="dxa"/>
            <w:vAlign w:val="bottom"/>
          </w:tcPr>
          <w:p>
            <w:pPr>
              <w:spacing w:after="0"/>
              <w:rPr>
                <w:sz w:val="1"/>
                <w:szCs w:val="1"/>
                <w:color w:val="auto"/>
              </w:rPr>
            </w:pPr>
          </w:p>
        </w:tc>
      </w:tr>
      <w:tr>
        <w:trPr>
          <w:trHeight w:val="21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0" w:type="dxa"/>
            <w:vAlign w:val="bottom"/>
          </w:tcPr>
          <w:p>
            <w:pPr>
              <w:spacing w:after="0"/>
              <w:rPr>
                <w:sz w:val="1"/>
                <w:szCs w:val="1"/>
                <w:color w:val="auto"/>
              </w:rPr>
            </w:pPr>
          </w:p>
        </w:tc>
      </w:tr>
      <w:tr>
        <w:trPr>
          <w:trHeight w:val="213"/>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1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intangible assets</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423,056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(388,630)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405,608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(362,499)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43,109</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annual amortization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4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Estimated Annual</w:t>
            </w:r>
          </w:p>
        </w:tc>
        <w:tc>
          <w:tcPr>
            <w:tcW w:w="0" w:type="dxa"/>
            <w:vAlign w:val="bottom"/>
          </w:tcPr>
          <w:p>
            <w:pPr>
              <w:spacing w:after="0"/>
              <w:rPr>
                <w:sz w:val="1"/>
                <w:szCs w:val="1"/>
                <w:color w:val="auto"/>
              </w:rPr>
            </w:pPr>
          </w:p>
        </w:tc>
      </w:tr>
      <w:tr>
        <w:trPr>
          <w:trHeight w:val="214"/>
        </w:trPr>
        <w:tc>
          <w:tcPr>
            <w:tcW w:w="96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10"/>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(amount remaining at June 30,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8,814</w:t>
            </w:r>
          </w:p>
        </w:tc>
        <w:tc>
          <w:tcPr>
            <w:tcW w:w="0" w:type="dxa"/>
            <w:vAlign w:val="bottom"/>
          </w:tcPr>
          <w:p>
            <w:pPr>
              <w:spacing w:after="0"/>
              <w:rPr>
                <w:sz w:val="1"/>
                <w:szCs w:val="1"/>
                <w:color w:val="auto"/>
              </w:rPr>
            </w:pP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13,710</w:t>
            </w:r>
          </w:p>
        </w:tc>
        <w:tc>
          <w:tcPr>
            <w:tcW w:w="0" w:type="dxa"/>
            <w:vAlign w:val="bottom"/>
          </w:tcPr>
          <w:p>
            <w:pPr>
              <w:spacing w:after="0"/>
              <w:rPr>
                <w:sz w:val="1"/>
                <w:szCs w:val="1"/>
                <w:color w:val="auto"/>
              </w:rPr>
            </w:pP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8,273</w:t>
            </w:r>
          </w:p>
        </w:tc>
        <w:tc>
          <w:tcPr>
            <w:tcW w:w="0" w:type="dxa"/>
            <w:vAlign w:val="bottom"/>
          </w:tcPr>
          <w:p>
            <w:pPr>
              <w:spacing w:after="0"/>
              <w:rPr>
                <w:sz w:val="1"/>
                <w:szCs w:val="1"/>
                <w:color w:val="auto"/>
              </w:rPr>
            </w:pP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0" w:type="dxa"/>
            <w:vAlign w:val="bottom"/>
          </w:tcPr>
          <w:p>
            <w:pPr>
              <w:spacing w:after="0"/>
              <w:rPr>
                <w:sz w:val="1"/>
                <w:szCs w:val="1"/>
                <w:color w:val="auto"/>
              </w:rPr>
            </w:pP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0" w:type="dxa"/>
            <w:vAlign w:val="bottom"/>
          </w:tcPr>
          <w:p>
            <w:pPr>
              <w:spacing w:after="0"/>
              <w:rPr>
                <w:sz w:val="1"/>
                <w:szCs w:val="1"/>
                <w:color w:val="auto"/>
              </w:rPr>
            </w:pPr>
          </w:p>
        </w:tc>
      </w:tr>
      <w:tr>
        <w:trPr>
          <w:trHeight w:val="213"/>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0" w:type="dxa"/>
            <w:vAlign w:val="bottom"/>
          </w:tcPr>
          <w:p>
            <w:pPr>
              <w:spacing w:after="0"/>
              <w:rPr>
                <w:sz w:val="1"/>
                <w:szCs w:val="1"/>
                <w:color w:val="auto"/>
              </w:rPr>
            </w:pPr>
          </w:p>
        </w:tc>
      </w:tr>
      <w:tr>
        <w:trPr>
          <w:trHeight w:val="234"/>
        </w:trPr>
        <w:tc>
          <w:tcPr>
            <w:tcW w:w="9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intangible assets subject to amortization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34,426</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recognize all amortization expense within Amortization of intangible assets in the Consolidated Statements of Operations. These expenses relate to intangible assets acquired as part of business combinations.</w:t>
      </w:r>
    </w:p>
    <w:p>
      <w:pPr>
        <w:spacing w:after="0" w:line="200" w:lineRule="exact"/>
        <w:rPr>
          <w:sz w:val="20"/>
          <w:szCs w:val="20"/>
          <w:color w:val="auto"/>
        </w:rPr>
      </w:pPr>
    </w:p>
    <w:p>
      <w:pPr>
        <w:spacing w:after="0" w:line="22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changes in the carrying amount of goodwill for the six months ended June 30, 2025:</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7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Networked Solutions</w:t>
            </w:r>
          </w:p>
        </w:tc>
        <w:tc>
          <w:tcPr>
            <w:tcW w:w="280" w:type="dxa"/>
            <w:vAlign w:val="bottom"/>
          </w:tcPr>
          <w:p>
            <w:pPr>
              <w:spacing w:after="0"/>
              <w:rPr>
                <w:sz w:val="18"/>
                <w:szCs w:val="18"/>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180" w:type="dxa"/>
            <w:vAlign w:val="bottom"/>
          </w:tcPr>
          <w:p>
            <w:pPr>
              <w:spacing w:after="0"/>
              <w:rPr>
                <w:sz w:val="18"/>
                <w:szCs w:val="18"/>
                <w:color w:val="auto"/>
              </w:rPr>
            </w:pPr>
          </w:p>
        </w:tc>
        <w:tc>
          <w:tcPr>
            <w:tcW w:w="14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Company</w:t>
            </w:r>
          </w:p>
        </w:tc>
      </w:tr>
      <w:tr>
        <w:trPr>
          <w:trHeight w:val="213"/>
        </w:trPr>
        <w:tc>
          <w:tcPr>
            <w:tcW w:w="4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balance at January 1,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894,819</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157,311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1,052,130</w:t>
            </w:r>
          </w:p>
        </w:tc>
      </w:tr>
      <w:tr>
        <w:trPr>
          <w:trHeight w:val="213"/>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180" w:type="dxa"/>
            <w:vAlign w:val="bottom"/>
          </w:tcPr>
          <w:p>
            <w:pPr>
              <w:spacing w:after="0"/>
              <w:rPr>
                <w:sz w:val="18"/>
                <w:szCs w:val="18"/>
                <w:color w:val="auto"/>
              </w:rPr>
            </w:pPr>
          </w:p>
        </w:tc>
        <w:tc>
          <w:tcPr>
            <w:tcW w:w="15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31,479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36,278</w:t>
            </w:r>
          </w:p>
        </w:tc>
      </w:tr>
      <w:tr>
        <w:trPr>
          <w:trHeight w:val="234"/>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balance at June 30, 2025</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926,298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1,088,408</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6:</w:t>
        <w:tab/>
        <w:t>Debt</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components of our borrowings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0"/>
        </w:trPr>
        <w:tc>
          <w:tcPr>
            <w:tcW w:w="20" w:type="dxa"/>
            <w:vAlign w:val="bottom"/>
          </w:tcPr>
          <w:p>
            <w:pPr>
              <w:spacing w:after="0"/>
              <w:rPr>
                <w:sz w:val="18"/>
                <w:szCs w:val="18"/>
                <w:color w:val="auto"/>
              </w:rPr>
            </w:pPr>
          </w:p>
        </w:tc>
        <w:tc>
          <w:tcPr>
            <w:tcW w:w="6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Credit facility</w:t>
            </w:r>
          </w:p>
        </w:tc>
        <w:tc>
          <w:tcPr>
            <w:tcW w:w="3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 Convertible notes</w:t>
            </w: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Convertible notes</w:t>
            </w: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805,000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805,000</w:t>
            </w:r>
          </w:p>
        </w:tc>
      </w:tr>
      <w:tr>
        <w:trPr>
          <w:trHeight w:val="183"/>
        </w:trPr>
        <w:tc>
          <w:tcPr>
            <w:tcW w:w="20" w:type="dxa"/>
            <w:vAlign w:val="bottom"/>
          </w:tcPr>
          <w:p>
            <w:pPr>
              <w:spacing w:after="0"/>
              <w:rPr>
                <w:sz w:val="15"/>
                <w:szCs w:val="15"/>
                <w:color w:val="auto"/>
              </w:rPr>
            </w:pPr>
          </w:p>
        </w:tc>
        <w:tc>
          <w:tcPr>
            <w:tcW w:w="6760" w:type="dxa"/>
            <w:vAlign w:val="bottom"/>
          </w:tcPr>
          <w:p>
            <w:pPr>
              <w:ind w:left="360"/>
              <w:spacing w:after="0" w:line="183" w:lineRule="exact"/>
              <w:rPr>
                <w:sz w:val="20"/>
                <w:szCs w:val="20"/>
                <w:color w:val="auto"/>
              </w:rPr>
            </w:pPr>
            <w:r>
              <w:rPr>
                <w:rFonts w:ascii="Times New Roman" w:cs="Times New Roman" w:eastAsia="Times New Roman" w:hAnsi="Times New Roman"/>
                <w:sz w:val="16"/>
                <w:szCs w:val="16"/>
                <w:color w:val="auto"/>
              </w:rPr>
              <w:t>Total debt</w:t>
            </w:r>
          </w:p>
        </w:tc>
        <w:tc>
          <w:tcPr>
            <w:tcW w:w="360" w:type="dxa"/>
            <w:vAlign w:val="bottom"/>
            <w:tcBorders>
              <w:bottom w:val="single" w:sz="8" w:color="auto"/>
            </w:tcBorders>
          </w:tcPr>
          <w:p>
            <w:pPr>
              <w:jc w:val="right"/>
              <w:ind w:right="1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1,265,000</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1,265,000</w:t>
            </w:r>
          </w:p>
        </w:tc>
      </w:tr>
      <w:tr>
        <w:trPr>
          <w:trHeight w:val="20"/>
        </w:trPr>
        <w:tc>
          <w:tcPr>
            <w:tcW w:w="20" w:type="dxa"/>
            <w:vAlign w:val="bottom"/>
          </w:tcPr>
          <w:p>
            <w:pPr>
              <w:spacing w:after="0" w:line="20" w:lineRule="exact"/>
              <w:rPr>
                <w:sz w:val="1"/>
                <w:szCs w:val="1"/>
                <w:color w:val="auto"/>
              </w:rPr>
            </w:pPr>
          </w:p>
        </w:tc>
        <w:tc>
          <w:tcPr>
            <w:tcW w:w="67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debt, gross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460,000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prepaid debt fees - current portion of debt</w:t>
            </w: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20" w:type="dxa"/>
            <w:vAlign w:val="bottom"/>
          </w:tcPr>
          <w:p>
            <w:pPr>
              <w:spacing w:after="0"/>
              <w:rPr>
                <w:sz w:val="17"/>
                <w:szCs w:val="17"/>
                <w:color w:val="auto"/>
              </w:rPr>
            </w:pPr>
          </w:p>
        </w:tc>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Current portion of debt, net</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458,334</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0" w:type="dxa"/>
            <w:vAlign w:val="bottom"/>
          </w:tcPr>
          <w:p>
            <w:pPr>
              <w:spacing w:after="0" w:line="20" w:lineRule="exact"/>
              <w:rPr>
                <w:sz w:val="1"/>
                <w:szCs w:val="1"/>
                <w:color w:val="auto"/>
              </w:rPr>
            </w:pPr>
          </w:p>
        </w:tc>
        <w:tc>
          <w:tcPr>
            <w:tcW w:w="67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6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gross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805,000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1,265,000</w:t>
            </w: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prepaid debt fees - long-term debt</w:t>
            </w: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22,576</w:t>
            </w:r>
          </w:p>
        </w:tc>
      </w:tr>
      <w:tr>
        <w:trPr>
          <w:trHeight w:val="207"/>
        </w:trPr>
        <w:tc>
          <w:tcPr>
            <w:tcW w:w="20" w:type="dxa"/>
            <w:vAlign w:val="bottom"/>
          </w:tcPr>
          <w:p>
            <w:pPr>
              <w:spacing w:after="0"/>
              <w:rPr>
                <w:sz w:val="17"/>
                <w:szCs w:val="17"/>
                <w:color w:val="auto"/>
              </w:rPr>
            </w:pPr>
          </w:p>
        </w:tc>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Long-term debt, net</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787,023</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1,242,424</w:t>
            </w:r>
          </w:p>
        </w:tc>
      </w:tr>
      <w:tr>
        <w:trPr>
          <w:trHeight w:val="23"/>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bl>
    <w:p>
      <w:pPr>
        <w:spacing w:after="0" w:line="3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9"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Our current credit facility, entered on January 5, 2018 (as amended, the 2018 credit facility), originally provided for committed credit facilities in the amount of $1.2 billion U.S. dollars. This facility now consists of a multicurrency revolving line of credit (the revolver) with a principal amount of up to $500 million. The revolver also contains a $300 million standby letter of credit sub-facility and a $50 million swingline sub-facility. The $650 million U.S. dollar term loan (the term loan) included in the original facility was fully repaid in August 2021.</w:t>
      </w:r>
    </w:p>
    <w:p>
      <w:pPr>
        <w:spacing w:after="0" w:line="216"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The 2018 credit facility permits us and certain of our foreign subsidiaries to borrow in U.S. dollars, euros, or, with lender approval, other currencies readily convertible into U.S. dollars. All obligations under the 2018 credit facility are guaranteed by Itron, Inc. and material U.S. domestic subsidiaries and are secured by a pledge of substantially all of the assets of Itron, Inc. and material U.S. domestic subsidiaries. This includes a pledge of 100% of the capital stock of material U.S. domestic subsidiaries and up to 66% of the voting stock (100% of the non-voting stock) of first-tier foreign subsidiaries. In addition, the obligations of any foreign subsidiary who is a foreign borrower, as defined by the 2018 credit facility, are guaranteed by the foreign subsidiary and by its direct and indirect foreign parents. The 2018 credit facility includes debt covenants, which contain certain financial thresholds and place certain restrictions on the incurrence of debt, investments, and the issuance of dividends. We were in compliance with the debt covenants under the 2018 credit facility at June 30, 2025.</w:t>
      </w:r>
    </w:p>
    <w:p>
      <w:pPr>
        <w:spacing w:after="0" w:line="219"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Under the 2018 credit facility, we elect applicable market interest rates for both the term loan and any outstanding revolving loans. We also pay an applicable margin, which is based on our total net leverage ratio as defined in the credit agreement. The applicable rates per annum may be based on either:</w:t>
      </w:r>
    </w:p>
    <w:p>
      <w:pPr>
        <w:jc w:val="both"/>
        <w:ind w:left="20" w:firstLine="8"/>
        <w:spacing w:after="0" w:line="253" w:lineRule="auto"/>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LIBOR rate or EURIBOR rate (subject to a floor of 0%), plus an applicable margin, or (2) the Alternate Base Rate, plus an applicable margin. The Alternate Base Rate election is equal to the greatest of three rates: (i) the prime rate, (ii) the Federal Reserve effective rate plus 0.50%, or (iii) one-month LIBOR plus 1.00%. The cessation of LIBOR occurred in June 2023</w:t>
      </w:r>
      <w:r>
        <w:rPr>
          <w:rFonts w:ascii="Cambria" w:cs="Cambria" w:eastAsia="Cambria" w:hAnsi="Cambria"/>
          <w:sz w:val="19"/>
          <w:szCs w:val="19"/>
          <w:b w:val="1"/>
          <w:bCs w:val="1"/>
          <w:color w:val="1F497D"/>
        </w:rPr>
        <w:t>.</w:t>
      </w:r>
      <w:r>
        <w:rPr>
          <w:rFonts w:ascii="Times New Roman" w:cs="Times New Roman" w:eastAsia="Times New Roman" w:hAnsi="Times New Roman"/>
          <w:sz w:val="18"/>
          <w:szCs w:val="18"/>
          <w:color w:val="auto"/>
        </w:rPr>
        <w:t xml:space="preserve"> On November 23, 2022, we amended the 2018 credit facility to replace the LIBOR rate with the Term Secured Overnight Financing Rate (SOFR) as the base interest rate. On February 21, 2023, we entered into a sixth amendment to the 2018 credit facility. This amendment modified debt covenant provisions to allow for the addback of non-recurring cash expenses related to restructuring charges incurred during the quarter ended March 31, 2023. On October 13, 2023, we entered into a seventh amendment to extend the maturity date to October 18, 2026. However, that date may be advanced to December 14, 2025 if Itron does not settle or extend a sufficient portion of outstanding convertible notes as detailed in the amendment. In addition, the amendment revises the interest cost, as follows:</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Leverage Ratio</w:t>
            </w: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Cost</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 Fee</w:t>
            </w:r>
          </w:p>
        </w:tc>
      </w:tr>
      <w:tr>
        <w:trPr>
          <w:trHeight w:val="213"/>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4.00</w:t>
            </w:r>
          </w:p>
        </w:tc>
        <w:tc>
          <w:tcPr>
            <w:tcW w:w="10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+ 250 bps</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40 bps</w:t>
            </w:r>
          </w:p>
        </w:tc>
      </w:tr>
      <w:tr>
        <w:trPr>
          <w:trHeight w:val="213"/>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3.51 to 4.00</w:t>
            </w: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SOFR + 225 bps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35 bps</w:t>
            </w:r>
          </w:p>
        </w:tc>
      </w:tr>
      <w:tr>
        <w:trPr>
          <w:trHeight w:val="21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2.51 to 3.50</w:t>
            </w: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+ 200 bps</w:t>
            </w: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 bps</w:t>
            </w:r>
          </w:p>
        </w:tc>
      </w:tr>
      <w:tr>
        <w:trPr>
          <w:trHeight w:val="21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than or equal to 2.50</w:t>
            </w: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SOFR + 175 bps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25 bps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14, 2024, we entered into an eighth amendment of the 2018 credit facility. In contemplation of the issuance of the 2024 convertible notes, this amendment to the Credit Agreement removed the $500 million maximum amount of convertible notes we could offer.</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June 30, 2025, there were no outstanding loan balances under the 2018 credit facility, and $45.3 million was utilized by outstanding standby letters of credit, resulting in $454.7 million available for additional borrowings. As of June 30, 2025, $254.7 million was available for additional standby letters of credit under the letter of credit sub-facility, and no amounts were outstanding under the swingline sub-facility.</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2021 Notes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12, 2021, we closed the sale of $460 million of convertible notes in a private placement to qualified institutional buyers, resulting in net proceeds to us of $448.5 million after deducting initial purchasers' discounts of the offering. The 2021 Notes do not bear regular interest, and the principal amount does not accrete. The 2021 Notes will mature on March 15, 2026, unless earlier repurchased, redeemed, or converted in accordance with their terms. No sinking fund is provided for the 2021 Notes.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conversion rate of the 2021 Notes is 7.9365 shares of our common stock per $1,000 principal amount of notes, which is equivalent to an initial conversion price of approximately $126.00 per share. The conversion rate is subject to adjustment upon the occurrence of certain specified events. In addition, upon the occurrence of a make-whole fundamental change (as defined in the indenture governing the 2021 Notes) or upon a notice of redemption, we will, in certain circumstances, increase the conversion rate for a holder that elects to convert its convertible notes in connection with such make-whole fundamental change or notice of redemption, as the case may be.</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December 15, 2025, the 2021 Notes are convertible at the option of the holders only under the following circumstances: (1) during any calendar quarter commencing after the calendar quarter ending on June 30, 2021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the notes for each trading day of the measurement period was less than 98% of the product of the last reported sale price of the common stock and the conversion rate on each such trading day; (3) upon the occurrence of specified corporate events; or (4) upon redemption by us. On or after December 15, 2025, until the close of business on the second scheduled trading day immediately preceding March 15, 2026, holders of the 2021 Notes may convert all or a portion of their notes at any time. Upon conversion, we will pay cash up to the aggregate principal amount to be converted and pay and/or deliver, as the case may be, cash, shares of common stock or a combination of cash and shares of common stock, at our election, in respect of the remainder, if any, of our conversion obligation in excess of the aggregate principal amount of the notes being converted.</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Subsequent to March 20, 2024 and prior to December 15, 2025, we may redeem for cash all or part of the 2021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 The redemption price of each convertible note to be redeemed will be the principal amount of such note, plus accrued and unpaid special interest, if any. Upon the occurrence of a fundamental change (as defined in the indenture governing the convertible notes), subject to a limited exception described in the indenture governing the convertible notes, holders may require us to repurchase all or a portion of their notes for cash at a price equal to plus accrued and unpaid special interest to, but not including, the fundamental change repurchase date (as defined in the indenture governing the convertible notes).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2021 Notes are senior unsecured obligations and rank equally in right of payment with all of our existing and future unsubordinated debt and senior in right of payment to any future debt that is expressly subordinated in right of payment to the convertible notes. The convertible notes will be effectively subordinated to any of our existing and future secured debt to the extent of the assets securing such indebtedness. The convertible notes will be structurally subordinated to all existing debt and any future debt and any other liabilities of our subsidiaries.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2024 Notes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21, 2024, we closed the sale of $805 million of convertible notes in a private placement to qualified institutional buyers, resulting in net proceeds to us of $784 million after deducting initial purchasers' discounts of the offering. The 2024 Notes accrue interest at a rate of 1.375% per annum, payable semi-annually in arrears on January 15 and July 15 of each year, beginning on January 15, 2025. The 2024 Notes mature on July 15, 2030, unless earlier repurchased, redeemed, or converted in accordance with their terms.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conversion rate of the 2024 Notes is 7.6199 shares of our common stock per $1,000 principal amount of notes, which is equivalent to an initial conversion price of approximately $131.24 per share. The conversion rate of the notes is subject to adjustment upon the occurrence of certain specified events. In addition, upon the occurrence of a make-whole fundamental change (as defined in the indenture governing the convertible notes) or upon a notice of redemption, we will, in certain circumstances, increase the conversion rate for a holder that elects to convert its notes in connection with such make-whole fundamental change or notice of redemption, as the case may be.</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April 15, 2030, the 2024 Notes are convertible at the option of the holders only under the following circumstances: (1) during any calendar quarter commencing after the calendar quarter ending on September 30, 2024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the notes for each trading day of the measurement period was less than 98% of the product of the last reported sale price of the common stock and the conversion rate on each such trading day; (3) upon the occurrence of specified corporate events; or (4) upon redemption by us. On or after April 15, 2030, until the close of business on the second scheduled trading day immediately preceding July 15, 2030, holders of the notes may convert all or a portion of their notes at any time. Upon conversion, we will pay cash up to the aggregate principal amount of the notes to be converted and pay and/or deliver, as the case may be, cash, shares of common stock or a combination of cash and shares of common stock, at our election, in respect of the remainder, if any, of our conversion obligation in excess of the aggregate principal amount of the notes being converted.</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Subsequent to July 20, 2028 and prior to April 15, 2030, we may redeem for cash all or part of the 2024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 However, we may not redeem less than all of the outstanding notes unless at least $100.0 million aggregate principal amount of notes are outstanding and not called for redemption as of the time we send related redemption notices. The redemption price of each note to be redeemed will be the principal amount of such note, plus accrued and unpaid special interest, if any. Upon the occurrence of a fundamental change (as defined in the indenture governing the 2024 Notes), subject to a limited exception described in the indenture governing the notes, holders may require us to repurchase all or a portion of their notes for cash at a price equal to plus accrued and unpaid special interest to, but not including, the fundamental change repurchase date (as defined in the indenture governing the 2024 Notes).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2024 Notes are senior unsecured obligations and rank equally in right of payment with all of our existing and future unsubordinated debt and senior in right of payment to any future debt that is expressly subordinated in right of payment to the notes. The notes will be effectively subordinated to any of our existing and future secured debt to the extent of the assets securing such indebtedness. The notes will be structurally subordinated to all existing debt and any future debt and any other liabilities of our subsidiaries.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Debt Maturities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required minimum principal payments on our debt in aggregate over the next five years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Minimum Payments</w:t>
            </w:r>
          </w:p>
        </w:tc>
      </w:tr>
      <w:tr>
        <w:trPr>
          <w:trHeight w:val="211"/>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8"/>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(amount remaining at June 30, 2025)</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805,000</w:t>
            </w:r>
          </w:p>
        </w:tc>
      </w:tr>
      <w:tr>
        <w:trPr>
          <w:trHeight w:val="237"/>
        </w:trPr>
        <w:tc>
          <w:tcPr>
            <w:tcW w:w="9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minimum payments on debt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1,265,000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7:</w:t>
        <w:tab/>
        <w:t>Derivative Financial Instruments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our risk management strategy, we use derivative instruments to hedge certain foreign currency and interest rate exposures. Refer to Note 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Equity and Note 14: Fair Value of Financial Instruments for additional disclosures on our derivative instruments.</w:t>
      </w: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Relationships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June 30, 2025, a total of 34 contracts were offsetting our exposures from the euro, pound sterling, Indonesian rupiah, Canadian dollar, Australian dollar, and various other currencies, with notional amounts ranging from $110,738 to $22.8 million.</w:t>
      </w:r>
    </w:p>
    <w:p>
      <w:pPr>
        <w:spacing w:after="0" w:line="2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continue to monitor and assess our interest rate and foreign exchange risk and may institute additional derivative instruments to manage such risk in the future.</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Defined Benefit Pension Plans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sponsor both funded and unfunded defined benefit pension plans offering death and disability, retirement, and special termination benefits for certain of our international employees, primarily in Germany, France, India, and Indonesia. The defined benefit obligation is calculated annually by using the projected unit credit method. The measurement date for the pension plans was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on the Consolidated Balance Sheets consist of:</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0"/>
        </w:trPr>
        <w:tc>
          <w:tcPr>
            <w:tcW w:w="6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Plan assets in other long-term assets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pension benefit obligation in wages and benefits payable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4,123</w:t>
            </w:r>
          </w:p>
        </w:tc>
      </w:tr>
      <w:tr>
        <w:trPr>
          <w:trHeight w:val="213"/>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Long-term portion of pension benefit obligation</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65,864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59,537</w:t>
            </w:r>
          </w:p>
        </w:tc>
      </w:tr>
      <w:tr>
        <w:trPr>
          <w:trHeight w:val="23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benefit obligation, net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70,699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63,527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benefit cost for our plans include the following components: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86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40" w:type="dxa"/>
            <w:vAlign w:val="bottom"/>
            <w:tcBorders>
              <w:bottom w:val="single" w:sz="8" w:color="auto"/>
            </w:tcBorders>
          </w:tcPr>
          <w:p>
            <w:pPr>
              <w:spacing w:after="0"/>
              <w:rPr>
                <w:sz w:val="18"/>
                <w:szCs w:val="18"/>
                <w:color w:val="auto"/>
              </w:rPr>
            </w:pP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w:t>
            </w: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costs</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actuarial net loss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Curtailment</w:t>
            </w:r>
          </w:p>
        </w:tc>
        <w:tc>
          <w:tcPr>
            <w:tcW w:w="1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r>
      <w:tr>
        <w:trPr>
          <w:trHeight w:val="237"/>
        </w:trPr>
        <w:tc>
          <w:tcPr>
            <w:tcW w:w="4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periodic benefit cost</w:t>
            </w: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other than the service cost component, are included in total other income (expense) on the Consolidated Statements of Operations.</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grant stock-based compensation awards, including restricted stock units, phantom stock, and unrestricted stock units, under the Second Amended and Restated 2010 Stock Incentive Plan (Stock Incentive Plan). Prior to December 31, 2020, stock options were also granted as part of the stock-based compensation awards. In the Stock Incentive Plan, we have 13,991,273 shares of common stock authorized for issuance subject to stock splits, dividends, and other similar events, and at June 30, 2025, 3,836,067 shares were available for grant. We issue new shares of common stock upon the exercise of stock options or when vesting conditions on restricted stock units are fully satisfied. These shares are subject to a fungible share provision such that the authorized share available for grant under the Plan is reduced by (i) one share for every one share subject to a stock option or share appreciation right granted and (ii) 1.7 shares for every one share of common stock that was subject to an award other than an option or share appreciation right.</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award phantom stock units, which are settled in cash upon vesting and accounted for as liability-based awards, with no impact to the shares available for grant.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maintain the Employee Stock Purchase Plan (ESPP), for which 455,735 shares of common stock were available for future issuance at June 30,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ESPP activity and stock-based grants other than restricted stock units were not significant for the three and six months ended June 30, 2025 and 2024.</w:t>
      </w:r>
    </w:p>
    <w:p>
      <w:pPr>
        <w:spacing w:after="0" w:line="2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and the related tax benefit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21,173</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Unrestricted stock awards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w:t>
            </w: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Phantom stock units</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w:t>
            </w:r>
          </w:p>
        </w:tc>
      </w:tr>
      <w:tr>
        <w:trPr>
          <w:trHeight w:val="212"/>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18,705</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11,728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35,962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24,606</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4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Related tax benefit</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5,350</w:t>
            </w:r>
          </w:p>
        </w:tc>
      </w:tr>
      <w:tr>
        <w:trPr>
          <w:trHeight w:val="20"/>
        </w:trPr>
        <w:tc>
          <w:tcPr>
            <w:tcW w:w="4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stock option activity is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4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280" w:type="dxa"/>
            <w:vAlign w:val="bottom"/>
            <w:vMerge w:val="restart"/>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Exercise</w:t>
            </w:r>
          </w:p>
        </w:tc>
        <w:tc>
          <w:tcPr>
            <w:tcW w:w="1480" w:type="dxa"/>
            <w:vAlign w:val="bottom"/>
          </w:tcPr>
          <w:p>
            <w:pPr>
              <w:jc w:val="center"/>
              <w:ind w:left="119"/>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144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w:t>
            </w:r>
          </w:p>
        </w:tc>
        <w:tc>
          <w:tcPr>
            <w:tcW w:w="0" w:type="dxa"/>
            <w:vAlign w:val="bottom"/>
          </w:tcPr>
          <w:p>
            <w:pPr>
              <w:spacing w:after="0"/>
              <w:rPr>
                <w:sz w:val="1"/>
                <w:szCs w:val="1"/>
                <w:color w:val="auto"/>
              </w:rPr>
            </w:pPr>
          </w:p>
        </w:tc>
      </w:tr>
      <w:tr>
        <w:trPr>
          <w:trHeight w:val="214"/>
        </w:trPr>
        <w:tc>
          <w:tcPr>
            <w:tcW w:w="25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Price per Share</w:t>
            </w:r>
          </w:p>
        </w:tc>
        <w:tc>
          <w:tcPr>
            <w:tcW w:w="148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14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0" w:type="dxa"/>
            <w:vAlign w:val="bottom"/>
          </w:tcPr>
          <w:p>
            <w:pPr>
              <w:spacing w:after="0"/>
              <w:rPr>
                <w:sz w:val="1"/>
                <w:szCs w:val="1"/>
                <w:color w:val="auto"/>
              </w:rPr>
            </w:pPr>
          </w:p>
        </w:tc>
      </w:tr>
      <w:tr>
        <w:trPr>
          <w:trHeight w:val="210"/>
        </w:trPr>
        <w:tc>
          <w:tcPr>
            <w:tcW w:w="2580" w:type="dxa"/>
            <w:vAlign w:val="bottom"/>
          </w:tcPr>
          <w:p>
            <w:pPr>
              <w:spacing w:after="0"/>
              <w:rPr>
                <w:sz w:val="18"/>
                <w:szCs w:val="18"/>
                <w:color w:val="auto"/>
              </w:rPr>
            </w:pPr>
          </w:p>
        </w:tc>
        <w:tc>
          <w:tcPr>
            <w:tcW w:w="1280" w:type="dxa"/>
            <w:vAlign w:val="bottom"/>
            <w:tcBorders>
              <w:top w:val="single" w:sz="8" w:color="auto"/>
            </w:tcBorders>
          </w:tcPr>
          <w:p>
            <w:pPr>
              <w:jc w:val="center"/>
              <w:ind w:left="27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i w:val="1"/>
                <w:iCs w:val="1"/>
                <w:color w:val="auto"/>
                <w:w w:val="98"/>
              </w:rPr>
              <w:t>Years</w:t>
            </w: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2024</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61.36</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Canceled</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June 30, 2024</w:t>
            </w:r>
          </w:p>
        </w:tc>
        <w:tc>
          <w:tcPr>
            <w:tcW w:w="12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62.27</w:t>
            </w:r>
          </w:p>
        </w:tc>
        <w:tc>
          <w:tcPr>
            <w:tcW w:w="12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3.5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5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Outstanding, January 1, 2025</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tcPr>
          <w:p>
            <w:pPr>
              <w:spacing w:after="0"/>
              <w:rPr>
                <w:sz w:val="18"/>
                <w:szCs w:val="18"/>
                <w:color w:val="auto"/>
              </w:rPr>
            </w:pP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64.55</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3.2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39.28</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Canceled</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June 30, 2025</w:t>
            </w:r>
          </w:p>
        </w:tc>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CCEEFF"/>
              <w:bottom w:val="single" w:sz="8" w:color="auto"/>
            </w:tcBorders>
            <w:shd w:val="clear" w:color="auto" w:fill="CCEEFF"/>
          </w:tcPr>
          <w:p>
            <w:pPr>
              <w:spacing w:after="0"/>
              <w:rPr>
                <w:sz w:val="19"/>
                <w:szCs w:val="19"/>
                <w:color w:val="auto"/>
              </w:rPr>
            </w:pPr>
          </w:p>
        </w:tc>
        <w:tc>
          <w:tcPr>
            <w:tcW w:w="2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June 30, 2025</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75.51</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3.6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2025, all stock-based compensation expense related to nonvested stock options has been recognized.</w:t>
      </w: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218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340" w:type="dxa"/>
            <w:vAlign w:val="bottom"/>
          </w:tcPr>
          <w:p>
            <w:pPr>
              <w:spacing w:after="0"/>
              <w:rPr>
                <w:sz w:val="16"/>
                <w:szCs w:val="16"/>
                <w:color w:val="auto"/>
              </w:rPr>
            </w:pPr>
          </w:p>
        </w:tc>
        <w:tc>
          <w:tcPr>
            <w:tcW w:w="1840" w:type="dxa"/>
            <w:vAlign w:val="bottom"/>
            <w:vMerge w:val="restart"/>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fair value</w:t>
            </w:r>
          </w:p>
        </w:tc>
        <w:tc>
          <w:tcPr>
            <w:tcW w:w="2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34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460" w:type="dxa"/>
            <w:vAlign w:val="bottom"/>
            <w:vMerge w:val="continue"/>
          </w:tcPr>
          <w:p>
            <w:pPr>
              <w:spacing w:after="0"/>
              <w:rPr>
                <w:sz w:val="18"/>
                <w:szCs w:val="18"/>
                <w:color w:val="auto"/>
              </w:rPr>
            </w:pPr>
          </w:p>
        </w:tc>
        <w:tc>
          <w:tcPr>
            <w:tcW w:w="21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340" w:type="dxa"/>
            <w:vAlign w:val="bottom"/>
          </w:tcPr>
          <w:p>
            <w:pPr>
              <w:spacing w:after="0"/>
              <w:rPr>
                <w:sz w:val="18"/>
                <w:szCs w:val="18"/>
                <w:color w:val="auto"/>
              </w:rPr>
            </w:pPr>
          </w:p>
        </w:tc>
        <w:tc>
          <w:tcPr>
            <w:tcW w:w="18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11"/>
        </w:trPr>
        <w:tc>
          <w:tcPr>
            <w:tcW w:w="4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2024</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28,739</w:t>
            </w:r>
          </w:p>
        </w:tc>
        <w:tc>
          <w:tcPr>
            <w:tcW w:w="0" w:type="dxa"/>
            <w:vAlign w:val="bottom"/>
          </w:tcPr>
          <w:p>
            <w:pPr>
              <w:spacing w:after="0"/>
              <w:rPr>
                <w:sz w:val="1"/>
                <w:szCs w:val="1"/>
                <w:color w:val="auto"/>
              </w:rPr>
            </w:pPr>
          </w:p>
        </w:tc>
      </w:tr>
      <w:tr>
        <w:trPr>
          <w:trHeight w:val="213"/>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June 30, 2024</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2025</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46,091</w:t>
            </w:r>
          </w:p>
        </w:tc>
        <w:tc>
          <w:tcPr>
            <w:tcW w:w="0" w:type="dxa"/>
            <w:vAlign w:val="bottom"/>
          </w:tcPr>
          <w:p>
            <w:pPr>
              <w:spacing w:after="0"/>
              <w:rPr>
                <w:sz w:val="1"/>
                <w:szCs w:val="1"/>
                <w:color w:val="auto"/>
              </w:rPr>
            </w:pPr>
          </w:p>
        </w:tc>
      </w:tr>
      <w:tr>
        <w:trPr>
          <w:trHeight w:val="213"/>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80.02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June 30, 2025</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but not released, June 30, 2025</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Shares released is presented as gross shares and does not reflect shares withheld by us for employee payroll tax obligations.</w:t>
      </w:r>
    </w:p>
    <w:p>
      <w:pPr>
        <w:spacing w:after="0" w:line="23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June 30, 2025, total unrecognized compensation expense on restricted stock units was $65.9 million, which is expected to be recognized over a weighted average period of approximately 1.7 years.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weighted average assumptions used to estimate the fair value of performance-based restricted stock units granted with a service and market condition and the resulting weighted average fair value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20" w:type="dxa"/>
            <w:vAlign w:val="bottom"/>
          </w:tcPr>
          <w:p>
            <w:pPr>
              <w:spacing w:after="0"/>
              <w:rPr>
                <w:sz w:val="18"/>
                <w:szCs w:val="18"/>
                <w:color w:val="auto"/>
              </w:rPr>
            </w:pPr>
          </w:p>
        </w:tc>
        <w:tc>
          <w:tcPr>
            <w:tcW w:w="298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40" w:type="dxa"/>
            <w:vAlign w:val="bottom"/>
            <w:tcBorders>
              <w:bottom w:val="single" w:sz="8" w:color="auto"/>
            </w:tcBorders>
          </w:tcPr>
          <w:p>
            <w:pPr>
              <w:spacing w:after="0"/>
              <w:rPr>
                <w:sz w:val="18"/>
                <w:szCs w:val="18"/>
                <w:color w:val="auto"/>
              </w:rPr>
            </w:pPr>
          </w:p>
        </w:tc>
      </w:tr>
      <w:tr>
        <w:trPr>
          <w:trHeight w:val="211"/>
        </w:trPr>
        <w:tc>
          <w:tcPr>
            <w:tcW w:w="76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r>
      <w:tr>
        <w:trPr>
          <w:trHeight w:val="21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45.7 %</w:t>
            </w:r>
          </w:p>
        </w:tc>
      </w:tr>
      <w:tr>
        <w:trPr>
          <w:trHeight w:val="21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(years)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57"/>
        </w:trPr>
        <w:tc>
          <w:tcPr>
            <w:tcW w:w="7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1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fair value</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105.89</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83.26</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determine the interim tax benefit (provision) by applying an estimate of the annual effective tax rate to the year-to-date pretax book income (loss) and adjusting for discrete items during the reporting period, if any. Tax jurisdictions with losses for which tax benefits cannot be realized, as well as significant unusual or infrequently occurring items that are separately reported, are excluded from the annual effective tax rate.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tax rate for the three and six months ended June 30, 2025 of 18% and 19% differed from the federal statutory rate of 21% due to the impact of valuation allowances on deferred tax assets, the forecasted mix of earnings in domestic and international jurisdictions, the effect of cross-border tax laws, nondeductible executive compensation, a benefit related to stock-based compensation, tax credits, state taxes, and uncertain tax positions.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tax rate for the three and six months ended June 30, 2024 of 23% and 22%, differed from the federal statutory rate of 21% due to the impact of valuation allowances on deferred tax assets, the forecasted mix of earnings in domestic and international jurisdictions, U.S. taxation of foreign earnings including GILTI (Global Intangible Low Taxed Income) tax, net of Section 250 deduction (largely driven by research and development capitalization), Subpart F income, a benefit related to stock-based compensation, tax credits, state taxes, and uncertain tax positions.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sweeping legislative package formally titled "An act to provide for reconciliation pursuant to title II of H. Con. Res. 14" (the "Act") was signed into law on July 4, 2025. Since ASC 740 requires the income tax effects of a change in tax law to be recognized in the period of enactment, this Act does not have any impact on our annual effective tax rate as of June 30, 2025. The legislation includes numerous changes to existing tax law that are retroactive to 2025, including provisions for the current deductibility of certain property additions and domestic research and development costs. Additionally, multiple changes</w:t>
      </w:r>
    </w:p>
    <w:p>
      <w:pPr>
        <w:spacing w:after="0" w:line="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are effective beginning in 2026. We anticipate the 2025 provisions to reduce and defer income tax payments to future tax years. We are in the process of evaluating the impact the Act will have on our subsequent consolidated financial statements and related disclosures.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guidance under the Base Erosion and Profit Shifting (BEPS) initiative aims to minimize perceived tax abuses and modernize global tax policy, including the implementation of a global minimum effective tax rate of 15%. In December 2022, the Council of the European Union adopted OECD Pillar 2 for implementation by European Union member states by December 31, 2023. The resulting legislation in most countries where Itron has significant operations took effect for calendar year 2024. The OECD continues to release more guidance on these rules and framework and we are evaluating the impact to our financial position. These enactments or amendments could adversely affect our tax rate and ultimately result in a negative impact on our operating results and cash flows. Consistent with calculations for calendar year 2024, the Company anticipates it will meet the safe harbors in most jurisdictions in 2025, and any remaining top-up tax should be immaterial.</w:t>
      </w:r>
    </w:p>
    <w:p>
      <w:pPr>
        <w:spacing w:after="0" w:line="2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classify interest expense and penalties related to unrecognized tax benefits and interest income on tax overpayments as components of income tax expense. The net interest and penalties expense recognized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84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and penalties expense</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and penalties recognized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14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2"/>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314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8,673</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6,418</w:t>
            </w:r>
          </w:p>
        </w:tc>
      </w:tr>
      <w:tr>
        <w:trPr>
          <w:trHeight w:val="210"/>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penalties</w:t>
            </w:r>
          </w:p>
        </w:tc>
        <w:tc>
          <w:tcPr>
            <w:tcW w:w="3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r>
    </w:tbl>
    <w:p>
      <w:pPr>
        <w:spacing w:after="0" w:line="32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Unrecognized tax benefits related to uncertain tax positions and the amount of unrecognized tax benefits that, if recognized, would affect our effective tax rate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64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tax benefits related to uncertain tax positions</w:t>
            </w:r>
          </w:p>
        </w:tc>
        <w:tc>
          <w:tcPr>
            <w:tcW w:w="64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98,327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106,132</w:t>
            </w:r>
          </w:p>
        </w:tc>
      </w:tr>
      <w:tr>
        <w:trPr>
          <w:trHeight w:val="210"/>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amount of unrecognized tax benefits that, if recognized, would affect our effective tax rate</w:t>
            </w:r>
          </w:p>
        </w:tc>
        <w:tc>
          <w:tcPr>
            <w:tcW w:w="6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106,122</w:t>
            </w:r>
          </w:p>
        </w:tc>
      </w:tr>
    </w:tbl>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2025,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cash flows.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file income tax returns in various jurisdictions. The material jurisdictions where we are subject to examination include, among others, the United States, France, Germany, India, Italy, Indonesia, and the United Kingdom.</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11:</w:t>
        <w:tab/>
        <w:t>Commitments and Contingencies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Guarantees and Indemnifications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often required to obtain standby letters of credit (LOCs) or bonds in support of our obligations for customer contracts. These standby LOCs or bonds typically provide a guarantee to the customer for our future performance, which usually covers the installation phase of a contract and may, on occasion, cover the operations and maintenance phase of outsourcing contracts.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available lines of credit, outstanding standby LOCs, and bonds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0"/>
        </w:trPr>
        <w:tc>
          <w:tcPr>
            <w:tcW w:w="6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3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3"/>
        </w:trPr>
        <w:tc>
          <w:tcPr>
            <w:tcW w:w="6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(45,253)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(46,013)</w:t>
            </w:r>
          </w:p>
        </w:tc>
      </w:tr>
      <w:tr>
        <w:trPr>
          <w:trHeight w:val="235"/>
        </w:trPr>
        <w:tc>
          <w:tcPr>
            <w:tcW w:w="67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available for additional borrowings under the multicurrency revolving line of credit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454,747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453,987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8"/>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available for additional standby LOCs under sub-facility</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254,747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253,987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multicurrency revolving lines of credit with various financial institutions</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3"/>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lines of credit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96,259</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87,230</w:t>
            </w:r>
          </w:p>
        </w:tc>
      </w:tr>
      <w:tr>
        <w:trPr>
          <w:trHeight w:val="21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(19,541)</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36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676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available for additional borrowings and LOCs</w:t>
            </w: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67,689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surety bonds in force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350,490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363,097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any such standby LOC or bond were called, we would be obligated to reimburse the issuer of the standby LOC or bond. As of July 31, 2025, we are not aware of any valid claims against our outstanding standby LOCs or bonds.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terms of our indemnifications generally do not limit the maximum potential payments. It is not possible to predict the maximum potential amount of future payments under these or similar agreements.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would be recognized and charged to operating expense when we determine that a loss is probable and the amount can be reasonably estimated. Additionally, we disclose contingencies for which a material loss is reasonably possible, but not probable.</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warranty accrual account activity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22,164</w:t>
            </w:r>
          </w:p>
        </w:tc>
      </w:tr>
      <w:tr>
        <w:trPr>
          <w:trHeight w:val="213"/>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New product warranties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3,227</w:t>
            </w:r>
          </w:p>
        </w:tc>
      </w:tr>
      <w:tr>
        <w:trPr>
          <w:trHeight w:val="21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adjustments and expirations, net</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r>
      <w:tr>
        <w:trPr>
          <w:trHeight w:val="213"/>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Claims activity</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(3,934)</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(3,343)</w:t>
            </w:r>
          </w:p>
        </w:tc>
      </w:tr>
      <w:tr>
        <w:trPr>
          <w:trHeight w:val="21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07"/>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20,767</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22,839</w:t>
            </w: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warranty</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13,312</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14,612</w:t>
            </w:r>
          </w:p>
        </w:tc>
      </w:tr>
      <w:tr>
        <w:trPr>
          <w:trHeight w:val="212"/>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Long-term warranty</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7,455</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8,227</w:t>
            </w:r>
          </w:p>
        </w:tc>
      </w:tr>
      <w:tr>
        <w:trPr>
          <w:trHeight w:val="21"/>
        </w:trPr>
        <w:tc>
          <w:tcPr>
            <w:tcW w:w="4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warranty expense is classified within cost of revenues and consists of new product warranties issued, costs related to insurance and supplier recoveries, other changes and adjustments to warranties, and customer claims.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expense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90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warranty expense</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4,155</w:t>
            </w:r>
          </w:p>
        </w:tc>
      </w:tr>
    </w:tbl>
    <w:p>
      <w:pPr>
        <w:spacing w:after="0" w:line="30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12:</w:t>
        <w:tab/>
        <w:t>Restructuring</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2023 Projects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23, 2023, our Board of Directors approved a restructuring plan (the 2023 Projects). The 2023 Projects include activities that continue Itron's efforts to optimize its global supply chain and manufacturing operations, sales and marketing organizations, and other overhead. These projects were substantially complete as of March 31, 2025.</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total expected restructuring costs, the restructuring costs recognized, and the remaining expected restructuring costs related to the 2023 Projects were as follows:</w:t>
      </w:r>
    </w:p>
    <w:tbl>
      <w:tblPr>
        <w:tblLayout w:type="fixed"/>
        <w:tblInd w:w="0" w:type="dxa"/>
        <w:tblCellMar>
          <w:top w:w="0" w:type="dxa"/>
          <w:left w:w="0" w:type="dxa"/>
          <w:bottom w:w="0" w:type="dxa"/>
          <w:right w:w="0" w:type="dxa"/>
        </w:tblCellMar>
      </w:tblPr>
      <w:tr>
        <w:trPr>
          <w:trHeight w:val="165"/>
        </w:trPr>
        <w:tc>
          <w:tcPr>
            <w:tcW w:w="2620" w:type="dxa"/>
            <w:vAlign w:val="bottom"/>
          </w:tcPr>
          <w:p>
            <w:pPr>
              <w:spacing w:after="0"/>
              <w:rPr>
                <w:sz w:val="14"/>
                <w:szCs w:val="14"/>
                <w:color w:val="auto"/>
              </w:rPr>
            </w:pPr>
          </w:p>
        </w:tc>
        <w:tc>
          <w:tcPr>
            <w:tcW w:w="2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Expected Costs at June</w:t>
            </w:r>
          </w:p>
        </w:tc>
        <w:tc>
          <w:tcPr>
            <w:tcW w:w="120" w:type="dxa"/>
            <w:vAlign w:val="bottom"/>
          </w:tcPr>
          <w:p>
            <w:pPr>
              <w:spacing w:after="0"/>
              <w:rPr>
                <w:sz w:val="14"/>
                <w:szCs w:val="14"/>
                <w:color w:val="auto"/>
              </w:rPr>
            </w:pPr>
          </w:p>
        </w:tc>
        <w:tc>
          <w:tcPr>
            <w:tcW w:w="2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Costs Recognized in Prior</w:t>
            </w:r>
          </w:p>
        </w:tc>
        <w:tc>
          <w:tcPr>
            <w:tcW w:w="140" w:type="dxa"/>
            <w:vAlign w:val="bottom"/>
          </w:tcPr>
          <w:p>
            <w:pPr>
              <w:spacing w:after="0"/>
              <w:rPr>
                <w:sz w:val="14"/>
                <w:szCs w:val="14"/>
                <w:color w:val="auto"/>
              </w:rPr>
            </w:pPr>
          </w:p>
        </w:tc>
        <w:tc>
          <w:tcPr>
            <w:tcW w:w="204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rPr>
              <w:t>Adjustments Recognized</w:t>
            </w:r>
          </w:p>
        </w:tc>
        <w:tc>
          <w:tcPr>
            <w:tcW w:w="208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Expected Remaining Costs to</w:t>
            </w: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1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During the Six Months</w:t>
            </w:r>
          </w:p>
        </w:tc>
        <w:tc>
          <w:tcPr>
            <w:tcW w:w="120" w:type="dxa"/>
            <w:vAlign w:val="bottom"/>
          </w:tcPr>
          <w:p>
            <w:pPr>
              <w:spacing w:after="0"/>
              <w:rPr>
                <w:sz w:val="14"/>
                <w:szCs w:val="14"/>
                <w:color w:val="auto"/>
              </w:rPr>
            </w:pPr>
          </w:p>
        </w:tc>
        <w:tc>
          <w:tcPr>
            <w:tcW w:w="1960" w:type="dxa"/>
            <w:vAlign w:val="bottom"/>
          </w:tcPr>
          <w:p>
            <w:pPr>
              <w:jc w:val="right"/>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be Recognized at June 30,</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30, 2025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Periods</w:t>
            </w:r>
          </w:p>
        </w:tc>
        <w:tc>
          <w:tcPr>
            <w:tcW w:w="140" w:type="dxa"/>
            <w:vAlign w:val="bottom"/>
          </w:tcPr>
          <w:p>
            <w:pPr>
              <w:spacing w:after="0"/>
              <w:rPr>
                <w:sz w:val="18"/>
                <w:szCs w:val="18"/>
                <w:color w:val="auto"/>
              </w:rPr>
            </w:pPr>
          </w:p>
        </w:tc>
        <w:tc>
          <w:tcPr>
            <w:tcW w:w="2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Ended June 30, 2025</w:t>
            </w:r>
          </w:p>
        </w:tc>
        <w:tc>
          <w:tcPr>
            <w:tcW w:w="120" w:type="dxa"/>
            <w:vAlign w:val="bottom"/>
          </w:tcPr>
          <w:p>
            <w:pPr>
              <w:spacing w:after="0"/>
              <w:rPr>
                <w:sz w:val="18"/>
                <w:szCs w:val="18"/>
                <w:color w:val="auto"/>
              </w:rPr>
            </w:pPr>
          </w:p>
        </w:tc>
        <w:tc>
          <w:tcPr>
            <w:tcW w:w="196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severance costs</w:t>
            </w: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40,538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42,078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Asset impairments &amp; net loss (gain) on</w:t>
            </w:r>
          </w:p>
        </w:tc>
        <w:tc>
          <w:tcPr>
            <w:tcW w:w="42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 or disposal</w:t>
            </w:r>
          </w:p>
        </w:tc>
        <w:tc>
          <w:tcPr>
            <w:tcW w:w="42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restructuring costs</w:t>
            </w:r>
          </w:p>
        </w:tc>
        <w:tc>
          <w:tcPr>
            <w:tcW w:w="4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0" w:type="dxa"/>
            <w:vAlign w:val="bottom"/>
          </w:tcPr>
          <w:p>
            <w:pPr>
              <w:spacing w:after="0"/>
              <w:rPr>
                <w:sz w:val="1"/>
                <w:szCs w:val="1"/>
                <w:color w:val="auto"/>
              </w:rPr>
            </w:pPr>
          </w:p>
        </w:tc>
      </w:tr>
      <w:tr>
        <w:trPr>
          <w:trHeight w:val="212"/>
        </w:trPr>
        <w:tc>
          <w:tcPr>
            <w:tcW w:w="26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52,068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50,174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within the restructuring related balance sheet accounts for the 2023 Projects during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Accrued Employee</w:t>
            </w:r>
          </w:p>
        </w:tc>
        <w:tc>
          <w:tcPr>
            <w:tcW w:w="140" w:type="dxa"/>
            <w:vAlign w:val="bottom"/>
          </w:tcPr>
          <w:p>
            <w:pPr>
              <w:spacing w:after="0"/>
              <w:rPr>
                <w:sz w:val="16"/>
                <w:szCs w:val="16"/>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Asset Impairments &amp; Net</w:t>
            </w: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Loss (Gain) on Sale or</w:t>
            </w:r>
          </w:p>
        </w:tc>
        <w:tc>
          <w:tcPr>
            <w:tcW w:w="200" w:type="dxa"/>
            <w:vAlign w:val="bottom"/>
          </w:tcPr>
          <w:p>
            <w:pPr>
              <w:spacing w:after="0"/>
              <w:rPr>
                <w:sz w:val="14"/>
                <w:szCs w:val="14"/>
                <w:color w:val="auto"/>
              </w:rPr>
            </w:pPr>
          </w:p>
        </w:tc>
        <w:tc>
          <w:tcPr>
            <w:tcW w:w="1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Other Accrued Costs</w:t>
            </w:r>
          </w:p>
        </w:tc>
        <w:tc>
          <w:tcPr>
            <w:tcW w:w="480" w:type="dxa"/>
            <w:vAlign w:val="bottom"/>
          </w:tcPr>
          <w:p>
            <w:pPr>
              <w:spacing w:after="0"/>
              <w:rPr>
                <w:sz w:val="14"/>
                <w:szCs w:val="14"/>
                <w:color w:val="auto"/>
              </w:rPr>
            </w:pPr>
          </w:p>
        </w:tc>
        <w:tc>
          <w:tcPr>
            <w:tcW w:w="1600" w:type="dxa"/>
            <w:vAlign w:val="bottom"/>
            <w:vMerge w:val="restart"/>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Severance</w:t>
            </w:r>
          </w:p>
        </w:tc>
        <w:tc>
          <w:tcPr>
            <w:tcW w:w="14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Disposal</w:t>
            </w:r>
          </w:p>
        </w:tc>
        <w:tc>
          <w:tcPr>
            <w:tcW w:w="200" w:type="dxa"/>
            <w:vAlign w:val="bottom"/>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January 1, 2025</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38,115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41,331</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charged to expense</w:t>
            </w: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payments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(14,542)</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receipts</w:t>
            </w:r>
          </w:p>
        </w:tc>
        <w:tc>
          <w:tcPr>
            <w:tcW w:w="24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assets disposed and impaired</w:t>
            </w:r>
          </w:p>
        </w:tc>
        <w:tc>
          <w:tcPr>
            <w:tcW w:w="2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0" w:type="dxa"/>
            <w:vAlign w:val="bottom"/>
          </w:tcPr>
          <w:p>
            <w:pPr>
              <w:spacing w:after="0"/>
              <w:rPr>
                <w:sz w:val="1"/>
                <w:szCs w:val="1"/>
                <w:color w:val="auto"/>
              </w:rPr>
            </w:pPr>
          </w:p>
        </w:tc>
      </w:tr>
      <w:tr>
        <w:trPr>
          <w:trHeight w:val="237"/>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June 30, 2025</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31,128</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Itron's employees are represented by unions or works councils, which requires consultation, and potential restructuring projects may be subject to regulatory approval, both of which could impact the timing of planned savings in certain jurisdictions.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restructuring costs include expenses for employee relocation, professional fees associated with employee severance, costs to exit the facilities once the operations in those facilities have ceased, and other costs associated with the liquidation of any affected legal entities.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 Restructuring expense is recognized within the Corporate unallocated segment and does not impact the results of our operating segments.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portions of restructuring liabilities were $21.3 million and $24.3 million as of June 30, 2025 and December 31, 2024 and are classified within other current liabilities on the Consolidated Balance Sheets. The long-term portions of restructuring liabilities were $9.8 million and $17.0 million as of June 30, 2025 and December 31, 2024. The long-term portions of restructuring liabilities are classified within other long-term obligations on the Consolidated Balance Sheets and include severance accruals and facility exit costs.</w:t>
      </w:r>
    </w:p>
    <w:p>
      <w:pPr>
        <w:spacing w:after="0" w:line="20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authorized the issuance of 10 million shares of preferred stock with no par value. In the event of a liquidation, dissolution, or winding up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June 30, 2025 or December 31, 2024.</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Repurchase Programs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September 19, 2024, Itron's Board of Directors authorized a repurchase up to $100 million of our common stock over an 18-month period (the 2024 Stock Repurchase Program). The repurchase program is intended to comply with Rule 10b-18 promulgated under the Securities Exchange Act of 1934, as amended. We have repurchased no shares under the 2024 Stock Repurchase Program.</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May 11, 2023, Itron's Board of Directors authorized a repurchase up to $100 million of our common stock over an 18-month period (the 2023 Stock Repurchase Program). In June 2024, we repurchased 971,534 shares under the 2023 Stock Repurchase Program at an average price of $102.93 (excluding commissions) for a total of $100.0 million. This repurchase was completed in conjunction with the issuance of the 2024 convertible notes.</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2021 Call Option Transactions</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We paid an aggregate amount of $84.1 million for the 2021 call option transactions. The 2021 call option transactions cover, subject to anti-dilution adjustments substantially similar to those in the 2021 Notes, approximately 3.7 million shares of our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common stock, the same number of shares initially underlying the 2021 Notes, at a strike price of approximately $126.00, subject to customary adjustments. The 2021 call option transactions will expire upon the maturity of the 2021 Notes, subject to earlier exercise or termination. The 2021 call option transactions are expected generally to reduce the potential dilutive effect of the conversion of our 2021 Notes and/or offset any cash payments we are required to make in excess of the principal amount of the converted notes, as the case may be, in the event that the market price per share of our common stock, as measured under the terms of the 2021 call option transactions, is greater than the strike price of the 2021 call option transactions. The 2021 call option transactions meet the criteria in Accounting Standards Codification (ASC) 815-40 to be classified within Stockholders' Equity, and therefore they are not revalued after their issuance.</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made a tax election to integrate the 2021 Notes and the 2021 call option transactions. We are retaining the identification statements in our books and records, together with a schedule providing the accruals on the synthetic debt instruments. The accounting impact of this tax election makes the call options deductible as original issue discount for tax purposes over the term of the 2021 Notes, and results in a $20.6 million deferred tax asset recognized through equity.</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Warrant Transactions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concurrently with entering into the 2021 call option transactions, we separately entered into privately-negotiated warrant transactions (the warrant transactions), whereby we sold to the counterparties warrants to acquire, collectively, subject to anti-dilution adjustments, 3.7 million shares of our common stock at an initial strike price of $180.00 per share, which represents a premium of 100% over the public offering price in the common stock issuance. We received aggregate proceeds of $45.3 million from the warrant transactions with the counterparties, with such proceeds partially offsetting the costs of entering into the convertible note hedge transactions. The warrants expire in June 2026. If the market value per share of our common stock, as measured under the warrant transactions, exceeds the strike price of the warrants, the warrants will have a dilutive effect on our earnings per share, unless we elect, subject to certain conditions, to settle the warrants in cash. The warrants meet the criteria in ASC 815-40 to be classified within Stockholders' Equity, and therefore the warrants are not revalued after issuance.</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2024 Capped Call Transactions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issuance of the 2024 Notes, we entered into privately negotiated capped call transactions on our common stock with certain commercial banks. The 2024 capped call transactions cover, subject to anti-dilution adjustments substantially similar to those in the 2024 Notes, approximately 6.1 million shares of our common stock, the same number of shares initially underlying the convertible notes, at a strike price of approximately $131.2353, subject to customary adjustments. The cap price of the 2024 capped call transactions will initially be $205.86 per share, which represents a premium of 100% over the last reported stock price per share of the Company's common stock on June 17, 2024, and is subject to certain adjustments under the terms of the 2024 capped call transactions. The 2024 capped call transactions will expire upon the maturity of the 2024 Notes, subject to earlier exercise or termination.</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made a tax election to integrate the 2024 Notes and the 2024 capped call transactions. We are retaining the identification statements in our books and records, together with a schedule providing the accruals on the synthetic debt instruments. The accounting impact of this tax election makes the capped call transactions deductible as original issue discount for tax purposes over the term of the 2024 Notes, and results in a $26.7 million deferred tax asset recognized through equity.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components of accumulated other comprehensive income (loss) (AOCI), net of tax,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5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Net Unrealized</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Unrealized</w:t>
            </w:r>
          </w:p>
        </w:tc>
        <w:tc>
          <w:tcPr>
            <w:tcW w:w="140" w:type="dxa"/>
            <w:vAlign w:val="bottom"/>
          </w:tcPr>
          <w:p>
            <w:pPr>
              <w:spacing w:after="0"/>
              <w:rPr>
                <w:sz w:val="16"/>
                <w:szCs w:val="16"/>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Pension Benefit</w:t>
            </w: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Gain (Loss) on</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Gain (Loss) on</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4"/>
                <w:szCs w:val="14"/>
                <w:color w:val="auto"/>
              </w:rPr>
            </w:pPr>
          </w:p>
        </w:tc>
        <w:tc>
          <w:tcPr>
            <w:tcW w:w="136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40" w:type="dxa"/>
            <w:vAlign w:val="bottom"/>
          </w:tcPr>
          <w:p>
            <w:pPr>
              <w:spacing w:after="0"/>
              <w:rPr>
                <w:sz w:val="14"/>
                <w:szCs w:val="14"/>
                <w:color w:val="auto"/>
              </w:rPr>
            </w:pPr>
          </w:p>
        </w:tc>
        <w:tc>
          <w:tcPr>
            <w:tcW w:w="14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Nonderivative</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Obligation</w:t>
            </w:r>
          </w:p>
        </w:tc>
        <w:tc>
          <w:tcPr>
            <w:tcW w:w="140" w:type="dxa"/>
            <w:vAlign w:val="bottom"/>
          </w:tcPr>
          <w:p>
            <w:pPr>
              <w:spacing w:after="0"/>
              <w:rPr>
                <w:sz w:val="14"/>
                <w:szCs w:val="14"/>
                <w:color w:val="auto"/>
              </w:rPr>
            </w:pPr>
          </w:p>
        </w:tc>
        <w:tc>
          <w:tcPr>
            <w:tcW w:w="1300" w:type="dxa"/>
            <w:vAlign w:val="bottom"/>
          </w:tcPr>
          <w:p>
            <w:pPr>
              <w:jc w:val="right"/>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36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3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0" w:type="dxa"/>
            <w:vAlign w:val="bottom"/>
          </w:tcPr>
          <w:p>
            <w:pPr>
              <w:spacing w:after="0"/>
              <w:rPr>
                <w:sz w:val="1"/>
                <w:szCs w:val="1"/>
                <w:color w:val="auto"/>
              </w:rPr>
            </w:pPr>
          </w:p>
        </w:tc>
      </w:tr>
      <w:tr>
        <w:trPr>
          <w:trHeight w:val="211"/>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1, 2024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(67,643)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(81,190)</w:t>
            </w:r>
          </w:p>
        </w:tc>
        <w:tc>
          <w:tcPr>
            <w:tcW w:w="0" w:type="dxa"/>
            <w:vAlign w:val="bottom"/>
          </w:tcPr>
          <w:p>
            <w:pPr>
              <w:spacing w:after="0"/>
              <w:rPr>
                <w:sz w:val="1"/>
                <w:szCs w:val="1"/>
                <w:color w:val="auto"/>
              </w:rPr>
            </w:pPr>
          </w:p>
        </w:tc>
      </w:tr>
      <w:tr>
        <w:trPr>
          <w:trHeight w:val="207"/>
        </w:trPr>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(16,269)</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0" w:type="dxa"/>
            <w:vAlign w:val="bottom"/>
          </w:tcPr>
          <w:p>
            <w:pPr>
              <w:spacing w:after="0"/>
              <w:rPr>
                <w:sz w:val="1"/>
                <w:szCs w:val="1"/>
                <w:color w:val="auto"/>
              </w:rPr>
            </w:pPr>
          </w:p>
        </w:tc>
      </w:tr>
      <w:tr>
        <w:trPr>
          <w:trHeight w:val="207"/>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(16,269)</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(16,842)</w:t>
            </w: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June 30,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(83,912)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(98,032)</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1,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(97,556)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(109,931)</w:t>
            </w:r>
          </w:p>
        </w:tc>
        <w:tc>
          <w:tcPr>
            <w:tcW w:w="0" w:type="dxa"/>
            <w:vAlign w:val="bottom"/>
          </w:tcPr>
          <w:p>
            <w:pPr>
              <w:spacing w:after="0"/>
              <w:rPr>
                <w:sz w:val="1"/>
                <w:szCs w:val="1"/>
                <w:color w:val="auto"/>
              </w:rPr>
            </w:pPr>
          </w:p>
        </w:tc>
      </w:tr>
      <w:tr>
        <w:trPr>
          <w:trHeight w:val="207"/>
        </w:trPr>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50,168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50,178</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07"/>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50,168</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50,062</w:t>
            </w: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June 30,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(47,388)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(59,869)</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before-tax, income tax (provision) benefit, and net-of-tax amounts related to each component of other comprehensive income (OCI)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0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Pr>
          <w:p>
            <w:pPr>
              <w:spacing w:after="0"/>
              <w:rPr>
                <w:sz w:val="18"/>
                <w:szCs w:val="18"/>
                <w:color w:val="auto"/>
              </w:rPr>
            </w:pPr>
          </w:p>
        </w:tc>
        <w:tc>
          <w:tcPr>
            <w:tcW w:w="300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Before-tax amount</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(16,361)</w:t>
            </w: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0" w:type="dxa"/>
            <w:vAlign w:val="bottom"/>
          </w:tcPr>
          <w:p>
            <w:pPr>
              <w:spacing w:after="0"/>
              <w:rPr>
                <w:sz w:val="1"/>
                <w:szCs w:val="1"/>
                <w:color w:val="auto"/>
              </w:rPr>
            </w:pPr>
          </w:p>
        </w:tc>
      </w:tr>
      <w:tr>
        <w:trPr>
          <w:trHeight w:val="212"/>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before tax</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36,734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50,299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(17,049)</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Tax (provision) benefit</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142"/>
        </w:trPr>
        <w:tc>
          <w:tcPr>
            <w:tcW w:w="43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Total other comprehensive income (loss) tax (provision)</w:t>
            </w:r>
          </w:p>
        </w:tc>
        <w:tc>
          <w:tcPr>
            <w:tcW w:w="3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2"/>
                <w:szCs w:val="12"/>
                <w:color w:val="auto"/>
              </w:rPr>
            </w:pPr>
          </w:p>
        </w:tc>
        <w:tc>
          <w:tcPr>
            <w:tcW w:w="3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2"/>
                <w:szCs w:val="12"/>
                <w:color w:val="auto"/>
              </w:rPr>
            </w:pPr>
          </w:p>
        </w:tc>
        <w:tc>
          <w:tcPr>
            <w:tcW w:w="3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2"/>
                <w:szCs w:val="12"/>
                <w:color w:val="auto"/>
              </w:rPr>
            </w:pPr>
          </w:p>
        </w:tc>
        <w:tc>
          <w:tcPr>
            <w:tcW w:w="3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194"/>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3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Net-of-tax amount</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(16,269)</w:t>
            </w: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0" w:type="dxa"/>
            <w:vAlign w:val="bottom"/>
          </w:tcPr>
          <w:p>
            <w:pPr>
              <w:spacing w:after="0"/>
              <w:rPr>
                <w:sz w:val="1"/>
                <w:szCs w:val="1"/>
                <w:color w:val="auto"/>
              </w:rPr>
            </w:pPr>
          </w:p>
        </w:tc>
      </w:tr>
      <w:tr>
        <w:trPr>
          <w:trHeight w:val="212"/>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net of tax</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36,514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50,062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(16,842)</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fair values at June 30, 2025 and December 31, 2024 do not reflect subsequent changes in the economy, interest rates, tax rates, and other variables that may affect the determination of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3"/>
                <w:szCs w:val="13"/>
                <w:color w:val="auto"/>
              </w:rPr>
            </w:pPr>
          </w:p>
        </w:tc>
        <w:tc>
          <w:tcPr>
            <w:tcW w:w="1960" w:type="dxa"/>
            <w:vAlign w:val="bottom"/>
            <w:gridSpan w:val="3"/>
          </w:tcPr>
          <w:p>
            <w:pPr>
              <w:jc w:val="center"/>
              <w:ind w:right="92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120" w:type="dxa"/>
            <w:vAlign w:val="bottom"/>
          </w:tcPr>
          <w:p>
            <w:pPr>
              <w:jc w:val="center"/>
              <w:ind w:right="439"/>
              <w:spacing w:after="0" w:line="158"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gridSpan w:val="3"/>
          </w:tcPr>
          <w:p>
            <w:pPr>
              <w:jc w:val="center"/>
              <w:ind w:right="102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20" w:type="dxa"/>
            <w:vAlign w:val="bottom"/>
          </w:tcPr>
          <w:p>
            <w:pPr>
              <w:jc w:val="right"/>
              <w:ind w:right="579"/>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43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3"/>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520" w:type="dxa"/>
            <w:vAlign w:val="bottom"/>
            <w:gridSpan w:val="3"/>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060" w:type="dxa"/>
            <w:vAlign w:val="bottom"/>
            <w:gridSpan w:val="3"/>
          </w:tcPr>
          <w:p>
            <w:pPr>
              <w:jc w:val="center"/>
              <w:ind w:right="10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9"/>
        </w:trPr>
        <w:tc>
          <w:tcPr>
            <w:tcW w:w="4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152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   $</w:t>
            </w:r>
          </w:p>
        </w:tc>
        <w:tc>
          <w:tcPr>
            <w:tcW w:w="206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notes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1,245,357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1,480,890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1,242,424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1,330,670</w:t>
            </w: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in estimating fair values: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Due to the liquid nature of these instruments, the carrying amount approximates fair value (Level 1).</w:t>
      </w: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Credit facility - multicurrency revolving line of credit: </w:t>
      </w:r>
      <w:r>
        <w:rPr>
          <w:rFonts w:ascii="Times New Roman" w:cs="Times New Roman" w:eastAsia="Times New Roman" w:hAnsi="Times New Roman"/>
          <w:sz w:val="18"/>
          <w:szCs w:val="18"/>
          <w:color w:val="auto"/>
        </w:rPr>
        <w:t>The revolver is not traded publicly. The fair values, which are determined based upon a hypothetical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participant, are calculated using a discounted cash flow model with Level 2 inputs, including estimates of incremental borrowing rates for debt with similar terms, maturities, and credit profiles. Refer to Note 6: Debt for further discussion of our debt.</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Convertible notes: </w:t>
      </w:r>
      <w:r>
        <w:rPr>
          <w:rFonts w:ascii="Times New Roman" w:cs="Times New Roman" w:eastAsia="Times New Roman" w:hAnsi="Times New Roman"/>
          <w:sz w:val="18"/>
          <w:szCs w:val="18"/>
          <w:color w:val="auto"/>
        </w:rPr>
        <w:t>The convertible notes are not listed on any securities exchange but may be actively traded. The fair value is estimated using Level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 as it is based on quoted prices for these instruments in active markets.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Derivatives: </w:t>
      </w:r>
      <w:r>
        <w:rPr>
          <w:rFonts w:ascii="Times New Roman" w:cs="Times New Roman" w:eastAsia="Times New Roman" w:hAnsi="Times New Roman"/>
          <w:sz w:val="18"/>
          <w:szCs w:val="18"/>
          <w:color w:val="auto"/>
        </w:rPr>
        <w:t>Each derivative asset and liability has a carrying value equal to fair value. The fair values of our derivative instruments are determined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income approach and significant other observable inputs (and are classified as Level 2 in the fair value hierarchy). We have used observable market inputs based on the type of derivative and the nature of the underlying instrument. The key inputs include foreign exchange spot and forward rates, all of which are available in an active market. We have utilized the mid-market pricing convention for these inputs.</w:t>
      </w:r>
    </w:p>
    <w:p>
      <w:pPr>
        <w:spacing w:after="0" w:line="20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operate under the Itron brand worldwide and manage and report under three operating segments: Device Solutions, Networked Solutions, and Outcomes. We define these segments based on the structure in which internally reported financial information is regularly provided to the chief operating decision maker (CODM) to analyze financial performance, make strategic decisions, and allocate resources. The Company's CODM is the chief executive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Products</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Device Solutions </w:t>
      </w:r>
      <w:r>
        <w:rPr>
          <w:rFonts w:ascii="Times New Roman" w:cs="Times New Roman" w:eastAsia="Times New Roman" w:hAnsi="Times New Roman"/>
          <w:sz w:val="18"/>
          <w:szCs w:val="18"/>
          <w:color w:val="auto"/>
        </w:rPr>
        <w:t>– This segment primarily includes hardware products used for measurement, control, or sensing that can have communications capability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embedded for use with our broader Itron systems, i.e., hardware-based products that may be part of a complete end-to-end solution. Examples from the Device Solutions portfolio include: standard endpoints that are shipped without Itron communications, such as our standard electricity, gas, and water meters for a variety of global markets and adhering to regulations and standards within those markets, as well as our heat and allocation products; communicating meters that may be sold as part of an Itron end-to-end solution and designed to meet market requirements; and the implementation and installation of communicating and non-communicating devices.</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Networked Solutions </w:t>
      </w:r>
      <w:r>
        <w:rPr>
          <w:rFonts w:ascii="Times New Roman" w:cs="Times New Roman" w:eastAsia="Times New Roman" w:hAnsi="Times New Roman"/>
          <w:sz w:val="18"/>
          <w:szCs w:val="18"/>
          <w:color w:val="auto"/>
        </w:rPr>
        <w:t>– This segment primarily includes a combination of communicating devices (e.g., smart meters, modules, endpoints, and sensors),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infrastructure, network design services, and associated head-end management and application software designed and sold as a complete solution for acquiring and transporting robust application-specific data. Networked Solutions includes products and software for the implementation, installation, and management of communicating devices and data networks. The Industrial Internet of Things (IIoT) solutions supported by this segment include automated meter reading (AMR); advanced metering infrastructure (AMI) for electricity, water, and gas; distributed energy resource management (DERMs); grid edge devices; distribution automation communications; smart street lighting; smart city sensors and applications; and leak detection and applications for both gas and water systems. Our IIoT platform allows utility and smart city applications to be run and managed on a flexible multi-purpose network.</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Outcomes </w:t>
      </w:r>
      <w:r>
        <w:rPr>
          <w:rFonts w:ascii="Times New Roman" w:cs="Times New Roman" w:eastAsia="Times New Roman" w:hAnsi="Times New Roman"/>
          <w:sz w:val="18"/>
          <w:szCs w:val="18"/>
          <w:color w:val="auto"/>
        </w:rPr>
        <w:t>– This segment primarily includes our value-added, enhanced software and services in which we enable grid edge intelligence and manage,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organize, analyze, and interpret raw, anonymized data using artificial intelligence, machine learning, statistical modeling, and other analytics. This delivers new value for utilities and smart cities through improving decision making, maximizing operational profitability, engaging consumers, enhancing resource efficiency, and improving grid resiliency and reliability. Outcomes supports high-value use cases, such as data management, grid operations, distributed intelligence, AMI operations, gas distribution and safety, water operations management, revenue assurance, DERMs, energy forecasting, consumer engagement, smart payment, and fleet energy resource management. Utilities leverage these outcomes to unlock the capabilities of their networks and devices, improve the productivity of their workforce, increase the reliability of their operations, manage and optimize the proliferation of distributed energy resources (DERs), address grid complexity, and enhance the customer experience. Revenue from these offerings are primarily recurring in nature and would include any direct management of Device Solutions, Networked Solutions, and other third-parties' products on behalf of our end customers.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CODM assesses the segments' performance primarily by using each segment's revenues and gross profit (gross margin). Intersegment revenues are minimal. Certain operating expenses are allocated to the operating segments based upon internally established allocation methodologies. Corporate operating expenses, interest income, interest expense, other income (expense), and the income tax provision (benefit) are neither allocated to the segments, nor are they included in the measure of segment performance. Goodwill impairment charges are recognized in Corporate unallocated. No asset information for reportable segments is provided to the CODM. We do not manage the performance of the segments on a balance sheet basis.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CODM assesses revenues and gross profit for each segment predominantly in the annual budget and periodic forecasting process. The CODM considers budget-to-actual and forecast-to-actual variances for these measures when making decisions about the allocation of operating and capital resources to each segment. The CODM primarily uses segment gross profit for evaluating pricing strategy and the performance of each segment.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reporting segments and Corporate unallocated and the reconciliation to income before income taxes was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80" w:type="dxa"/>
            <w:vAlign w:val="bottom"/>
          </w:tcPr>
          <w:p>
            <w:pPr>
              <w:spacing w:after="0"/>
              <w:rPr>
                <w:sz w:val="14"/>
                <w:szCs w:val="14"/>
                <w:color w:val="auto"/>
              </w:rPr>
            </w:pPr>
          </w:p>
        </w:tc>
        <w:tc>
          <w:tcPr>
            <w:tcW w:w="1220" w:type="dxa"/>
            <w:vAlign w:val="bottom"/>
            <w:gridSpan w:val="2"/>
          </w:tcPr>
          <w:p>
            <w:pPr>
              <w:jc w:val="center"/>
              <w:ind w:right="300"/>
              <w:spacing w:after="0" w:line="168" w:lineRule="exact"/>
              <w:rPr>
                <w:sz w:val="20"/>
                <w:szCs w:val="20"/>
                <w:color w:val="auto"/>
              </w:rPr>
            </w:pPr>
            <w:r>
              <w:rPr>
                <w:rFonts w:ascii="Times New Roman" w:cs="Times New Roman" w:eastAsia="Times New Roman" w:hAnsi="Times New Roman"/>
                <w:sz w:val="16"/>
                <w:szCs w:val="16"/>
                <w:b w:val="1"/>
                <w:bCs w:val="1"/>
                <w:color w:val="auto"/>
              </w:rPr>
              <w:t>Networked</w:t>
            </w:r>
          </w:p>
        </w:tc>
        <w:tc>
          <w:tcPr>
            <w:tcW w:w="180" w:type="dxa"/>
            <w:vAlign w:val="bottom"/>
          </w:tcPr>
          <w:p>
            <w:pPr>
              <w:spacing w:after="0"/>
              <w:rPr>
                <w:sz w:val="14"/>
                <w:szCs w:val="14"/>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200" w:type="dxa"/>
            <w:vAlign w:val="bottom"/>
          </w:tcPr>
          <w:p>
            <w:pPr>
              <w:spacing w:after="0"/>
              <w:rPr>
                <w:sz w:val="14"/>
                <w:szCs w:val="14"/>
                <w:color w:val="auto"/>
              </w:rPr>
            </w:pPr>
          </w:p>
        </w:tc>
        <w:tc>
          <w:tcPr>
            <w:tcW w:w="118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Segments</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Pr>
          <w:p>
            <w:pPr>
              <w:spacing w:after="0"/>
              <w:rPr>
                <w:sz w:val="14"/>
                <w:szCs w:val="14"/>
                <w:color w:val="auto"/>
              </w:rPr>
            </w:pPr>
          </w:p>
        </w:tc>
        <w:tc>
          <w:tcPr>
            <w:tcW w:w="11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Unallocated</w:t>
            </w: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revenues</w:t>
            </w: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111,939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379,481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517,184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Service revenues</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29,453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59,303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89,577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revenues</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408,934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606,761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79,169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251,691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52,283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383,143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Gross profit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unallocated expenses</w:t>
            </w:r>
          </w:p>
        </w:tc>
        <w:tc>
          <w:tcPr>
            <w:tcW w:w="4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25,454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120,999</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15,687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162,140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(78,658)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83,482</w:t>
            </w:r>
          </w:p>
        </w:tc>
        <w:tc>
          <w:tcPr>
            <w:tcW w:w="0" w:type="dxa"/>
            <w:vAlign w:val="bottom"/>
          </w:tcPr>
          <w:p>
            <w:pPr>
              <w:spacing w:after="0"/>
              <w:rPr>
                <w:sz w:val="1"/>
                <w:szCs w:val="1"/>
                <w:color w:val="auto"/>
              </w:rPr>
            </w:pPr>
          </w:p>
        </w:tc>
      </w:tr>
      <w:tr>
        <w:trPr>
          <w:trHeight w:val="20"/>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30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80" w:type="dxa"/>
            <w:vAlign w:val="bottom"/>
          </w:tcPr>
          <w:p>
            <w:pPr>
              <w:spacing w:after="0"/>
              <w:rPr>
                <w:sz w:val="14"/>
                <w:szCs w:val="14"/>
                <w:color w:val="auto"/>
              </w:rPr>
            </w:pPr>
          </w:p>
        </w:tc>
        <w:tc>
          <w:tcPr>
            <w:tcW w:w="1220" w:type="dxa"/>
            <w:vAlign w:val="bottom"/>
            <w:gridSpan w:val="2"/>
          </w:tcPr>
          <w:p>
            <w:pPr>
              <w:jc w:val="center"/>
              <w:ind w:right="300"/>
              <w:spacing w:after="0" w:line="168" w:lineRule="exact"/>
              <w:rPr>
                <w:sz w:val="20"/>
                <w:szCs w:val="20"/>
                <w:color w:val="auto"/>
              </w:rPr>
            </w:pPr>
            <w:r>
              <w:rPr>
                <w:rFonts w:ascii="Times New Roman" w:cs="Times New Roman" w:eastAsia="Times New Roman" w:hAnsi="Times New Roman"/>
                <w:sz w:val="16"/>
                <w:szCs w:val="16"/>
                <w:b w:val="1"/>
                <w:bCs w:val="1"/>
                <w:color w:val="auto"/>
              </w:rPr>
              <w:t>Networked</w:t>
            </w:r>
          </w:p>
        </w:tc>
        <w:tc>
          <w:tcPr>
            <w:tcW w:w="180" w:type="dxa"/>
            <w:vAlign w:val="bottom"/>
          </w:tcPr>
          <w:p>
            <w:pPr>
              <w:spacing w:after="0"/>
              <w:rPr>
                <w:sz w:val="14"/>
                <w:szCs w:val="14"/>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200" w:type="dxa"/>
            <w:vAlign w:val="bottom"/>
          </w:tcPr>
          <w:p>
            <w:pPr>
              <w:spacing w:after="0"/>
              <w:rPr>
                <w:sz w:val="14"/>
                <w:szCs w:val="14"/>
                <w:color w:val="auto"/>
              </w:rPr>
            </w:pPr>
          </w:p>
        </w:tc>
        <w:tc>
          <w:tcPr>
            <w:tcW w:w="118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Segments</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Pr>
          <w:p>
            <w:pPr>
              <w:spacing w:after="0"/>
              <w:rPr>
                <w:sz w:val="14"/>
                <w:szCs w:val="14"/>
                <w:color w:val="auto"/>
              </w:rPr>
            </w:pPr>
          </w:p>
        </w:tc>
        <w:tc>
          <w:tcPr>
            <w:tcW w:w="11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Unallocated</w:t>
            </w: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revenues</w:t>
            </w: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237,326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754,003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48,996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1,040,325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Service revenues</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57,663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114,619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173,587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revenues</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811,666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1,213,912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167,287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505,709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100,079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773,075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Gross profit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305,957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440,837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unallocated expenses</w:t>
            </w:r>
          </w:p>
        </w:tc>
        <w:tc>
          <w:tcPr>
            <w:tcW w:w="4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55,925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237,108</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30,017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323,050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(157,289)</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165,761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80" w:type="dxa"/>
            <w:vAlign w:val="bottom"/>
          </w:tcPr>
          <w:p>
            <w:pPr>
              <w:spacing w:after="0"/>
              <w:rPr>
                <w:sz w:val="14"/>
                <w:szCs w:val="14"/>
                <w:color w:val="auto"/>
              </w:rPr>
            </w:pPr>
          </w:p>
        </w:tc>
        <w:tc>
          <w:tcPr>
            <w:tcW w:w="1220" w:type="dxa"/>
            <w:vAlign w:val="bottom"/>
            <w:gridSpan w:val="2"/>
          </w:tcPr>
          <w:p>
            <w:pPr>
              <w:jc w:val="center"/>
              <w:ind w:right="300"/>
              <w:spacing w:after="0" w:line="168" w:lineRule="exact"/>
              <w:rPr>
                <w:sz w:val="20"/>
                <w:szCs w:val="20"/>
                <w:color w:val="auto"/>
              </w:rPr>
            </w:pPr>
            <w:r>
              <w:rPr>
                <w:rFonts w:ascii="Times New Roman" w:cs="Times New Roman" w:eastAsia="Times New Roman" w:hAnsi="Times New Roman"/>
                <w:sz w:val="16"/>
                <w:szCs w:val="16"/>
                <w:b w:val="1"/>
                <w:bCs w:val="1"/>
                <w:color w:val="auto"/>
              </w:rPr>
              <w:t>Networked</w:t>
            </w:r>
          </w:p>
        </w:tc>
        <w:tc>
          <w:tcPr>
            <w:tcW w:w="180" w:type="dxa"/>
            <w:vAlign w:val="bottom"/>
          </w:tcPr>
          <w:p>
            <w:pPr>
              <w:spacing w:after="0"/>
              <w:rPr>
                <w:sz w:val="14"/>
                <w:szCs w:val="14"/>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200" w:type="dxa"/>
            <w:vAlign w:val="bottom"/>
          </w:tcPr>
          <w:p>
            <w:pPr>
              <w:spacing w:after="0"/>
              <w:rPr>
                <w:sz w:val="14"/>
                <w:szCs w:val="14"/>
                <w:color w:val="auto"/>
              </w:rPr>
            </w:pPr>
          </w:p>
        </w:tc>
        <w:tc>
          <w:tcPr>
            <w:tcW w:w="118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Segments</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Pr>
          <w:p>
            <w:pPr>
              <w:spacing w:after="0"/>
              <w:rPr>
                <w:sz w:val="14"/>
                <w:szCs w:val="14"/>
                <w:color w:val="auto"/>
              </w:rPr>
            </w:pPr>
          </w:p>
        </w:tc>
        <w:tc>
          <w:tcPr>
            <w:tcW w:w="11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Unallocated</w:t>
            </w: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revenues</w:t>
            </w: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117,929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387,351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532,907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Service revenues</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25,353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50,188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76,162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revenues</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412,704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609,069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260,547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50,743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398,609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Gross profit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unallocated expenses</w:t>
            </w:r>
          </w:p>
        </w:tc>
        <w:tc>
          <w:tcPr>
            <w:tcW w:w="4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23,725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117,444</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151,820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(84,780)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67,040</w:t>
            </w:r>
          </w:p>
        </w:tc>
        <w:tc>
          <w:tcPr>
            <w:tcW w:w="0" w:type="dxa"/>
            <w:vAlign w:val="bottom"/>
          </w:tcPr>
          <w:p>
            <w:pPr>
              <w:spacing w:after="0"/>
              <w:rPr>
                <w:sz w:val="1"/>
                <w:szCs w:val="1"/>
                <w:color w:val="auto"/>
              </w:rPr>
            </w:pPr>
          </w:p>
        </w:tc>
      </w:tr>
      <w:tr>
        <w:trPr>
          <w:trHeight w:val="20"/>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30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80" w:type="dxa"/>
            <w:vAlign w:val="bottom"/>
          </w:tcPr>
          <w:p>
            <w:pPr>
              <w:spacing w:after="0"/>
              <w:rPr>
                <w:sz w:val="14"/>
                <w:szCs w:val="14"/>
                <w:color w:val="auto"/>
              </w:rPr>
            </w:pPr>
          </w:p>
        </w:tc>
        <w:tc>
          <w:tcPr>
            <w:tcW w:w="1220" w:type="dxa"/>
            <w:vAlign w:val="bottom"/>
            <w:gridSpan w:val="2"/>
          </w:tcPr>
          <w:p>
            <w:pPr>
              <w:jc w:val="center"/>
              <w:ind w:right="300"/>
              <w:spacing w:after="0" w:line="168" w:lineRule="exact"/>
              <w:rPr>
                <w:sz w:val="20"/>
                <w:szCs w:val="20"/>
                <w:color w:val="auto"/>
              </w:rPr>
            </w:pPr>
            <w:r>
              <w:rPr>
                <w:rFonts w:ascii="Times New Roman" w:cs="Times New Roman" w:eastAsia="Times New Roman" w:hAnsi="Times New Roman"/>
                <w:sz w:val="16"/>
                <w:szCs w:val="16"/>
                <w:b w:val="1"/>
                <w:bCs w:val="1"/>
                <w:color w:val="auto"/>
              </w:rPr>
              <w:t>Networked</w:t>
            </w:r>
          </w:p>
        </w:tc>
        <w:tc>
          <w:tcPr>
            <w:tcW w:w="180" w:type="dxa"/>
            <w:vAlign w:val="bottom"/>
          </w:tcPr>
          <w:p>
            <w:pPr>
              <w:spacing w:after="0"/>
              <w:rPr>
                <w:sz w:val="14"/>
                <w:szCs w:val="14"/>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200" w:type="dxa"/>
            <w:vAlign w:val="bottom"/>
          </w:tcPr>
          <w:p>
            <w:pPr>
              <w:spacing w:after="0"/>
              <w:rPr>
                <w:sz w:val="14"/>
                <w:szCs w:val="14"/>
                <w:color w:val="auto"/>
              </w:rPr>
            </w:pPr>
          </w:p>
        </w:tc>
        <w:tc>
          <w:tcPr>
            <w:tcW w:w="118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Segments</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Pr>
          <w:p>
            <w:pPr>
              <w:spacing w:after="0"/>
              <w:rPr>
                <w:sz w:val="14"/>
                <w:szCs w:val="14"/>
                <w:color w:val="auto"/>
              </w:rPr>
            </w:pPr>
          </w:p>
        </w:tc>
        <w:tc>
          <w:tcPr>
            <w:tcW w:w="11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Unallocated</w:t>
            </w: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revenues</w:t>
            </w: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243,837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768,656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48,236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1,060,729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Service revenues</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51,564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98,753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151,782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revenues</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820,220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1,212,511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184,007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517,038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95,627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796,672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Gross profit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415,839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unallocated expenses</w:t>
            </w:r>
          </w:p>
        </w:tc>
        <w:tc>
          <w:tcPr>
            <w:tcW w:w="4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45,428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234,122</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19,742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299,292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(167,036)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132,256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six months ended June 30, 2025 and 2024, no single customer represented more than 10% of total company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region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and Canada</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500,535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498,388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986,747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980,484</w:t>
            </w: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78,579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86,781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174,905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185,437</w:t>
            </w: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27,647</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52,260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46,590</w:t>
            </w:r>
          </w:p>
        </w:tc>
      </w:tr>
      <w:tr>
        <w:trPr>
          <w:trHeight w:val="207"/>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606,761</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609,069</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1,213,912</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1,212,511</w:t>
            </w:r>
          </w:p>
        </w:tc>
      </w:tr>
      <w:tr>
        <w:trPr>
          <w:trHeight w:val="23"/>
        </w:trPr>
        <w:tc>
          <w:tcPr>
            <w:tcW w:w="43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is allocated to the operating segments based upon each segment's use of the assets. All amortization expense is recognized within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unallocated. Depreciation and amortization of intangible assets expense associated with our operating segments was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Device Solutions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5,430</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Networked Solutions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8,015</w:t>
            </w: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Outcomes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2,960</w:t>
            </w:r>
          </w:p>
        </w:tc>
      </w:tr>
      <w:tr>
        <w:trPr>
          <w:trHeight w:val="213"/>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unallocated</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5,114</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9,858</w:t>
            </w:r>
          </w:p>
        </w:tc>
      </w:tr>
      <w:tr>
        <w:trPr>
          <w:trHeight w:val="235"/>
        </w:trPr>
        <w:tc>
          <w:tcPr>
            <w:tcW w:w="4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12,114</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26,263</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Revenues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significant net changes in the contract assets and the contract liabilities balances during the period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6"/>
                <w:szCs w:val="16"/>
                <w:color w:val="auto"/>
              </w:rPr>
            </w:pPr>
          </w:p>
        </w:tc>
        <w:tc>
          <w:tcPr>
            <w:tcW w:w="20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Contract Liabilities, Less</w:t>
            </w:r>
          </w:p>
        </w:tc>
        <w:tc>
          <w:tcPr>
            <w:tcW w:w="0" w:type="dxa"/>
            <w:vAlign w:val="bottom"/>
          </w:tcPr>
          <w:p>
            <w:pPr>
              <w:spacing w:after="0"/>
              <w:rPr>
                <w:sz w:val="1"/>
                <w:szCs w:val="1"/>
                <w:color w:val="auto"/>
              </w:rPr>
            </w:pPr>
          </w:p>
        </w:tc>
      </w:tr>
      <w:tr>
        <w:trPr>
          <w:trHeight w:val="214"/>
        </w:trPr>
        <w:tc>
          <w:tcPr>
            <w:tcW w:w="90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Contract Assets</w:t>
            </w:r>
          </w:p>
        </w:tc>
        <w:tc>
          <w:tcPr>
            <w:tcW w:w="0" w:type="dxa"/>
            <w:vAlign w:val="bottom"/>
          </w:tcPr>
          <w:p>
            <w:pPr>
              <w:spacing w:after="0"/>
              <w:rPr>
                <w:sz w:val="1"/>
                <w:szCs w:val="1"/>
                <w:color w:val="auto"/>
              </w:rPr>
            </w:pPr>
          </w:p>
        </w:tc>
      </w:tr>
      <w:tr>
        <w:trPr>
          <w:trHeight w:val="211"/>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January 1,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127,557</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 recognized from beginning contract liability</w:t>
            </w:r>
          </w:p>
        </w:tc>
        <w:tc>
          <w:tcPr>
            <w:tcW w:w="1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(68,159)</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Cumulative catch-up adjustments</w:t>
            </w: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Increases due to amounts collected or due</w:t>
            </w:r>
          </w:p>
        </w:tc>
        <w:tc>
          <w:tcPr>
            <w:tcW w:w="1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207,401</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recognized from current period increases</w:t>
            </w: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(81,383)</w:t>
            </w:r>
          </w:p>
        </w:tc>
        <w:tc>
          <w:tcPr>
            <w:tcW w:w="0" w:type="dxa"/>
            <w:vAlign w:val="bottom"/>
          </w:tcPr>
          <w:p>
            <w:pPr>
              <w:spacing w:after="0"/>
              <w:rPr>
                <w:sz w:val="1"/>
                <w:szCs w:val="1"/>
                <w:color w:val="auto"/>
              </w:rPr>
            </w:pPr>
          </w:p>
        </w:tc>
      </w:tr>
      <w:tr>
        <w:trPr>
          <w:trHeight w:val="21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0" w:type="dxa"/>
            <w:vAlign w:val="bottom"/>
          </w:tcPr>
          <w:p>
            <w:pPr>
              <w:spacing w:after="0"/>
              <w:rPr>
                <w:sz w:val="1"/>
                <w:szCs w:val="1"/>
                <w:color w:val="auto"/>
              </w:rPr>
            </w:pPr>
          </w:p>
        </w:tc>
      </w:tr>
      <w:tr>
        <w:trPr>
          <w:trHeight w:val="237"/>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June 30,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183,967</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 2025, total contract assets were $65.4 million and total contract liabilities were $193.0 million. On June 30, 2025, total contract assets were $56.6 million and total contract liabilities were $240.6 million. The contract assets primarily relate to contracts that include a retention clause and allocations related to contracts with multiple performance obligations. The contract liabilities primarily relate to deferred revenue, such as extended warranty and maintenance agreements. The cumulative catch-up adjustments relate to contract modifications, measure-of-progress changes, and changes in the estimate of the transaction price.</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Transaction price allocated to the remaining performance obligations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transaction price allocated to remaining performance obligations represents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transaction price allocated to remaining performance obligations related to contracts is approximately $1.1 billion for the next 12 months and approximately $1.1 billion for periods longer than 12 months. The total remaining performance obligations consist of product and service components. The service component relates primarily to maintenance agreements for which customers pay a full year's maintenance in advance, and service revenues are generally recognized over the service period. Total transaction price allocated to remaining performance obligations also includes our extended warranty contracts, for which revenue is recognized over the extended warranty period, and hardware, which is recognized as units are delivered. The estimate of when remaining performance obligations will be recognized requires significant judgment.</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Cost to obtain a contract and cost to fulfill a contract with a customer</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Cost to obtain a contract and costs to fulfill a contract were capitalized and amortized using a systematic rational approach to align with the transfer of control of underlying contracts with customers. While amounts were capitalized, they are not material.</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Refer to Note 15: Segment Information and the Consolidated Statements of Operations for disclosure regarding the disaggregation of revenue into categories, which depict how revenue and cash flows are affected by economic factors. Specifically, our operating segments and geographical regions as disclosed, and categories for products, which include hardware and software and services, are presented.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unaudited consolidated financial statements and notes included in this report and with the consolidated financial statements and the notes thereto for the fiscal year ended December 31, 2024 filed with the Securities and Exchange Commission (SEC) in our Annual Report on Form 10-K on February 25, 2025 (2024 Annual Report).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objective of Management's Discussion and Analysis is to provide our assessment of the financial condition and results of operations, including an evaluation of our liquidity and capital resources along with material events occurring during the year. The discussion and analysis focuses on material events and uncertainties known to management that are reasonably likely to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cause reported financial information not to be necessarily indicative of future operating results or of future financial condition. In addition, we address matters that are reasonably likely, based on management's assessment, to have a material impact on future operations. We expect the analysis will enhance a reader's understanding of our financial condition, cash flows, and other changes in financial condition and results of operations.</w:t>
      </w: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Documents we provide to the SEC are available free of charge under the Investors section of our website at </w:t>
      </w:r>
      <w:r>
        <w:rPr>
          <w:rFonts w:ascii="Times New Roman" w:cs="Times New Roman" w:eastAsia="Times New Roman" w:hAnsi="Times New Roman"/>
          <w:sz w:val="18"/>
          <w:szCs w:val="18"/>
          <w:i w:val="1"/>
          <w:iCs w:val="1"/>
          <w:color w:val="auto"/>
        </w:rPr>
        <w:t>www.itron.com</w:t>
      </w:r>
      <w:r>
        <w:rPr>
          <w:rFonts w:ascii="Times New Roman" w:cs="Times New Roman" w:eastAsia="Times New Roman" w:hAnsi="Times New Roman"/>
          <w:sz w:val="18"/>
          <w:szCs w:val="18"/>
          <w:color w:val="auto"/>
        </w:rPr>
        <w:t xml:space="preserve"> as soon as practicable after they are filed with or furnished to the SEC. In addition, these documents are available at the SEC's website (</w:t>
      </w:r>
      <w:r>
        <w:rPr>
          <w:rFonts w:ascii="Times New Roman" w:cs="Times New Roman" w:eastAsia="Times New Roman" w:hAnsi="Times New Roman"/>
          <w:sz w:val="18"/>
          <w:szCs w:val="18"/>
          <w:i w:val="1"/>
          <w:iCs w:val="1"/>
          <w:color w:val="auto"/>
        </w:rPr>
        <w:t>http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Forward-Looking Statements</w:t>
      </w: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222222"/>
        </w:rPr>
        <w:t>This report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Quarterly Report on Form 10-Q.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regulations, tariffs, sanctions, trade policies and retaliatory responses,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and other factors that are more fully described in Part I, Item 1A: Risk Factors included in our 2024 Annual Report and other reports on file with the SEC. We undertake no obligation to update or revise any forward-looking statement, whether written or oral.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technology, solutions, and service company, and we are a leader in the Industrial Internet of Things (IIoT). We offer solutions that enable utilities and municipalities to safely, securely, and reliably operate their critical infrastructure. Our solutions include the deployment of smart networks, software, services, devices, sensors, and data analytics that allow our customers to manage assets, secure revenue, lower operational costs, improve customer service, improve safety, and enable efficient management of valuable resources. Our comprehensive solutions and data analytics address the unique challenges facing the energy, water, and municipality sectors, including increasing demand on resources, non-technical loss, leak detection, environmental and regulatory compliance, and improved operational reliability.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under the Itron brand worldwide and manage and report under three operating segments: Device Solutions, Networked Solutions,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Outcomes. The product and operating definitions of the three segments are as follows:</w:t>
      </w:r>
    </w:p>
    <w:p>
      <w:pPr>
        <w:spacing w:after="0" w:line="2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Device Solutions </w:t>
      </w:r>
      <w:r>
        <w:rPr>
          <w:rFonts w:ascii="Times New Roman" w:cs="Times New Roman" w:eastAsia="Times New Roman" w:hAnsi="Times New Roman"/>
          <w:sz w:val="18"/>
          <w:szCs w:val="18"/>
          <w:color w:val="auto"/>
        </w:rPr>
        <w:t>– This segment primarily includes hardware products used for measurement, control, or sensing that can have communications capability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embedded for use with our broader Itron systems, i.e., hardware-based products that may be part of a complete end-to-end solution. Examples from the Device Solutions portfolio include: standard endpoints that are shipped without Itron communications, such as our standard electricity, gas, and water meters for a variety of global markets and adhering to regulations and standards within those markets, as well as our heat and allocation products; communicating meters that may be sold as part of an Itron end-to-end solution and designed to meet market requirements; and the implementation and installation of communicating and non-communicating devices.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Networked Solutions </w:t>
      </w:r>
      <w:r>
        <w:rPr>
          <w:rFonts w:ascii="Times New Roman" w:cs="Times New Roman" w:eastAsia="Times New Roman" w:hAnsi="Times New Roman"/>
          <w:sz w:val="18"/>
          <w:szCs w:val="18"/>
          <w:color w:val="auto"/>
        </w:rPr>
        <w:t>– This segment primarily includes a combination of communicating devices (e.g., smart meters, modules, endpoints, and sensors),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infrastructure, network design services, and associated head-end management and application software designed and sold as a complete solution for acquiring and transporting robust application-specific data. Networked Solutions includes products and software for the implementation, installation, and management of communicating devices and data networks. The IIoT solutions supported by this segment include automated meter reading (AMR); advanced metering infrastructure (AMI) for electricity, water, and gas; distributed energy resource management (DERMs); grid edge devices; distribution automation communications; smart street lighting; smart city sensors and applications; and leak detection and applications for both gas and water systems. Our IIoT platform allows utility and smart city applications to be run and managed on a flexible multi-purpose network.</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Outcomes </w:t>
      </w:r>
      <w:r>
        <w:rPr>
          <w:rFonts w:ascii="Times New Roman" w:cs="Times New Roman" w:eastAsia="Times New Roman" w:hAnsi="Times New Roman"/>
          <w:sz w:val="18"/>
          <w:szCs w:val="18"/>
          <w:color w:val="auto"/>
        </w:rPr>
        <w:t>– This segment primarily includes our value-added, enhanced software and services in which we enable grid edge intelligence and manage,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organize, analyze, and interpret raw, anonymized data using artificial intelligence, machine learning, statistical modeling, and other analytics. This delivers new value for utilities and smart cities through improving decision making, maximizing operational profitability, engaging consumers, enhancing resource efficiency, and improving grid resiliency and reliability. Outcomes supports high-value use cases, such as data management, grid operations, distributed intelligence, AMI operations, gas distribution and safety, water operations management, revenue assurance, DERMs, energy forecasting, consumer engagement, smart payment, and fleet energy resource management. Utilities leverage these outcomes to unlock the capabilities of their networks and devices, improve the productivity of their workforce, increase the reliability of their operations, manage and optimize the proliferation of distributed energy resources (DERs), address grid complexity, and enhance the customer experience. Revenue from these offerings are primarily recurring in nature and would include any direct management of Device Solutions, Networked Solutions, and other third-parties' products on behalf of our end customers.</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the income tax provision (benefit), and certain corporate operating expenses are neither allocated to the segments nor included in the measures of segment performance.</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Non-GAAP Measures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free cash flow, and constant currency.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our discussions of the operating results below, we may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constant currency</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Refer to the </w:t>
      </w:r>
      <w:r>
        <w:rPr>
          <w:rFonts w:ascii="Times New Roman" w:cs="Times New Roman" w:eastAsia="Times New Roman" w:hAnsi="Times New Roman"/>
          <w:sz w:val="18"/>
          <w:szCs w:val="18"/>
          <w:i w:val="1"/>
          <w:iCs w:val="1"/>
          <w:color w:val="auto"/>
        </w:rPr>
        <w:t>Non-GAAP Measures</w:t>
      </w:r>
      <w:r>
        <w:rPr>
          <w:rFonts w:ascii="Times New Roman" w:cs="Times New Roman" w:eastAsia="Times New Roman" w:hAnsi="Times New Roman"/>
          <w:sz w:val="18"/>
          <w:szCs w:val="18"/>
          <w:color w:val="auto"/>
        </w:rPr>
        <w:t xml:space="preserve"> section below on pages 42-45 for information about these non-GAAP measures and the detailed reconciliation of items that impacted non-GAAP operating expenses, non-GAAP operating income, non-GAAP net income, non-GAAP diluted EPS, adjusted EBITDA, and free cash flow in the periods presented.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Company Highlights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 xml:space="preserve">Highlights and significant developments for the </w:t>
      </w:r>
      <w:r>
        <w:rPr>
          <w:rFonts w:ascii="Times New Roman" w:cs="Times New Roman" w:eastAsia="Times New Roman" w:hAnsi="Times New Roman"/>
          <w:sz w:val="18"/>
          <w:szCs w:val="18"/>
          <w:i w:val="1"/>
          <w:iCs w:val="1"/>
          <w:color w:val="000000"/>
        </w:rPr>
        <w:t>three months ended June 30, 2025 compared with the three months ended June 30, 2024</w:t>
      </w:r>
    </w:p>
    <w:p>
      <w:pPr>
        <w:spacing w:after="0" w:line="65" w:lineRule="exact"/>
        <w:rPr>
          <w:sz w:val="20"/>
          <w:szCs w:val="20"/>
          <w:color w:val="auto"/>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Revenues were $606.8 million compared with $609.1 million in 2024</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Gross margin was </w:t>
      </w:r>
      <w:r>
        <w:rPr>
          <w:rFonts w:ascii="Times New Roman" w:cs="Times New Roman" w:eastAsia="Times New Roman" w:hAnsi="Times New Roman"/>
          <w:sz w:val="18"/>
          <w:szCs w:val="18"/>
          <w:color w:val="000000"/>
        </w:rPr>
        <w:t>36.9%</w:t>
      </w:r>
      <w:r>
        <w:rPr>
          <w:rFonts w:ascii="Times New Roman" w:cs="Times New Roman" w:eastAsia="Times New Roman" w:hAnsi="Times New Roman"/>
          <w:sz w:val="18"/>
          <w:szCs w:val="18"/>
          <w:color w:val="222222"/>
        </w:rPr>
        <w:t>, compared with 34.6% in 2024</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Operating expenses increased $1.4 million, or 1%, compared with 2024</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Net income attributable to Itron, Inc. was $68.3 million compared with net income of $51.3 million in 2024</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GAAP diluted EPS increased by </w:t>
      </w:r>
      <w:r>
        <w:rPr>
          <w:rFonts w:ascii="Times New Roman" w:cs="Times New Roman" w:eastAsia="Times New Roman" w:hAnsi="Times New Roman"/>
          <w:sz w:val="18"/>
          <w:szCs w:val="18"/>
          <w:color w:val="000000"/>
        </w:rPr>
        <w:t>$0.37</w:t>
      </w:r>
      <w:r>
        <w:rPr>
          <w:rFonts w:ascii="Times New Roman" w:cs="Times New Roman" w:eastAsia="Times New Roman" w:hAnsi="Times New Roman"/>
          <w:sz w:val="18"/>
          <w:szCs w:val="18"/>
          <w:color w:val="222222"/>
        </w:rPr>
        <w:t xml:space="preserve"> to $1.47 in 2025</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net income attributable to Itron, Inc. was $75.1 million compared with $56.1 million in 2024</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diluted EPS was $1.62, an increase of $0.41 compared with 2024</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Adjusted EBITDA was $89.8 million compared with $77.1 million in 2024</w:t>
      </w:r>
    </w:p>
    <w:p>
      <w:pPr>
        <w:spacing w:after="0" w:line="63" w:lineRule="exact"/>
        <w:rPr>
          <w:rFonts w:ascii="Times New Roman" w:cs="Times New Roman" w:eastAsia="Times New Roman" w:hAnsi="Times New Roman"/>
          <w:sz w:val="18"/>
          <w:szCs w:val="18"/>
          <w:color w:val="222222"/>
        </w:rPr>
      </w:pPr>
    </w:p>
    <w:p>
      <w:pPr>
        <w:ind w:left="260" w:hanging="171"/>
        <w:spacing w:after="0" w:line="282" w:lineRule="auto"/>
        <w:tabs>
          <w:tab w:leader="none" w:pos="255"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Total backlog was $4.5 billion, and twelve-month backlog was $1.5 billion at </w:t>
      </w:r>
      <w:r>
        <w:rPr>
          <w:rFonts w:ascii="Times New Roman" w:cs="Times New Roman" w:eastAsia="Times New Roman" w:hAnsi="Times New Roman"/>
          <w:sz w:val="18"/>
          <w:szCs w:val="18"/>
          <w:color w:val="000000"/>
        </w:rPr>
        <w:t>June 30, 2025, compared with</w:t>
      </w:r>
      <w:r>
        <w:rPr>
          <w:rFonts w:ascii="Times New Roman" w:cs="Times New Roman" w:eastAsia="Times New Roman" w:hAnsi="Times New Roman"/>
          <w:sz w:val="18"/>
          <w:szCs w:val="18"/>
          <w:color w:val="222222"/>
        </w:rPr>
        <w:t xml:space="preserve"> $4.1 billion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222222"/>
        </w:rPr>
        <w:t xml:space="preserve"> $1.8 billion </w:t>
      </w:r>
      <w:r>
        <w:rPr>
          <w:rFonts w:ascii="Times New Roman" w:cs="Times New Roman" w:eastAsia="Times New Roman" w:hAnsi="Times New Roman"/>
          <w:sz w:val="18"/>
          <w:szCs w:val="18"/>
          <w:color w:val="000000"/>
        </w:rPr>
        <w:t>at June 30,</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2024</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 xml:space="preserve">Highlights and significant developments for the </w:t>
      </w:r>
      <w:r>
        <w:rPr>
          <w:rFonts w:ascii="Times New Roman" w:cs="Times New Roman" w:eastAsia="Times New Roman" w:hAnsi="Times New Roman"/>
          <w:sz w:val="18"/>
          <w:szCs w:val="18"/>
          <w:i w:val="1"/>
          <w:iCs w:val="1"/>
          <w:color w:val="000000"/>
        </w:rPr>
        <w:t>six</w:t>
      </w:r>
      <w:r>
        <w:rPr>
          <w:rFonts w:ascii="Times New Roman" w:cs="Times New Roman" w:eastAsia="Times New Roman" w:hAnsi="Times New Roman"/>
          <w:sz w:val="18"/>
          <w:szCs w:val="18"/>
          <w:i w:val="1"/>
          <w:iCs w:val="1"/>
          <w:color w:val="222222"/>
        </w:rPr>
        <w:t xml:space="preserve"> months ended </w:t>
      </w:r>
      <w:r>
        <w:rPr>
          <w:rFonts w:ascii="Times New Roman" w:cs="Times New Roman" w:eastAsia="Times New Roman" w:hAnsi="Times New Roman"/>
          <w:sz w:val="18"/>
          <w:szCs w:val="18"/>
          <w:i w:val="1"/>
          <w:iCs w:val="1"/>
          <w:color w:val="000000"/>
        </w:rPr>
        <w:t>June 30, 2025 compared with the six months ended June 30, 2024</w:t>
      </w:r>
    </w:p>
    <w:p>
      <w:pPr>
        <w:spacing w:after="0" w:line="65" w:lineRule="exact"/>
        <w:rPr>
          <w:sz w:val="20"/>
          <w:szCs w:val="20"/>
          <w:color w:val="auto"/>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Revenues were $1.2 billion in both periods</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Gross margin was 36.3% compared with 34.3% in 2024</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Operating expenses decreased $0.2 million compared with 2024</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 xml:space="preserve">Net income attributable to Itron, Inc. was $133.8 million compared with net income of $103.0 million in </w:t>
      </w:r>
      <w:r>
        <w:rPr>
          <w:rFonts w:ascii="Times New Roman" w:cs="Times New Roman" w:eastAsia="Times New Roman" w:hAnsi="Times New Roman"/>
          <w:sz w:val="18"/>
          <w:szCs w:val="18"/>
          <w:color w:val="222222"/>
        </w:rPr>
        <w:t>2024</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GAAP diluted EPS increased by $0.67 to $2.89 in 2025</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Non-GAAP net income attributable to Itron, Inc. was </w:t>
      </w:r>
      <w:r>
        <w:rPr>
          <w:rFonts w:ascii="Times New Roman" w:cs="Times New Roman" w:eastAsia="Times New Roman" w:hAnsi="Times New Roman"/>
          <w:sz w:val="18"/>
          <w:szCs w:val="18"/>
          <w:color w:val="000000"/>
        </w:rPr>
        <w:t>$145.2 million</w:t>
      </w:r>
      <w:r>
        <w:rPr>
          <w:rFonts w:ascii="Times New Roman" w:cs="Times New Roman" w:eastAsia="Times New Roman" w:hAnsi="Times New Roman"/>
          <w:sz w:val="18"/>
          <w:szCs w:val="18"/>
          <w:color w:val="222222"/>
        </w:rPr>
        <w:t xml:space="preserve"> compared with </w:t>
      </w:r>
      <w:r>
        <w:rPr>
          <w:rFonts w:ascii="Times New Roman" w:cs="Times New Roman" w:eastAsia="Times New Roman" w:hAnsi="Times New Roman"/>
          <w:sz w:val="18"/>
          <w:szCs w:val="18"/>
          <w:color w:val="000000"/>
        </w:rPr>
        <w:t>$113.4 million</w:t>
      </w:r>
      <w:r>
        <w:rPr>
          <w:rFonts w:ascii="Times New Roman" w:cs="Times New Roman" w:eastAsia="Times New Roman" w:hAnsi="Times New Roman"/>
          <w:sz w:val="18"/>
          <w:szCs w:val="18"/>
          <w:color w:val="222222"/>
        </w:rPr>
        <w:t xml:space="preserve"> in 2024</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diluted EPS was $3.14, an increase of $0.70 compared with 2024</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 xml:space="preserve">Adjusted EBITDA was $177.7 million compared with $153.6 million in </w:t>
      </w:r>
      <w:r>
        <w:rPr>
          <w:rFonts w:ascii="Times New Roman" w:cs="Times New Roman" w:eastAsia="Times New Roman" w:hAnsi="Times New Roman"/>
          <w:sz w:val="18"/>
          <w:szCs w:val="18"/>
          <w:color w:val="222222"/>
        </w:rPr>
        <w:t>2024</w:t>
      </w:r>
    </w:p>
    <w:p>
      <w:pPr>
        <w:spacing w:after="0" w:line="3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Repurchase Programs</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September 19, 2024, Itron's Board of Directors authorized a repurchase up to $100 million of our common stock over an 18-month period (the 2024 Stock Repurchase Program). The repurchase program is intended to comply with Rule 10b-18 promulgated under the Securities Exchange Act of 1934, as amended. We have repurchased no shares under the 2024 Stock Repurchase Program.</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Company GAAP and Non-GAAP Highlights and Endpoints Under Management:</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00" w:type="dxa"/>
            <w:vAlign w:val="bottom"/>
            <w:gridSpan w:val="7"/>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20" w:type="dxa"/>
            <w:vAlign w:val="bottom"/>
          </w:tcPr>
          <w:p>
            <w:pPr>
              <w:spacing w:after="0"/>
              <w:rPr>
                <w:sz w:val="18"/>
                <w:szCs w:val="18"/>
                <w:color w:val="auto"/>
              </w:rPr>
            </w:pPr>
          </w:p>
        </w:tc>
        <w:tc>
          <w:tcPr>
            <w:tcW w:w="2580" w:type="dxa"/>
            <w:vAlign w:val="bottom"/>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920" w:type="dxa"/>
            <w:vAlign w:val="bottom"/>
          </w:tcPr>
          <w:p>
            <w:pPr>
              <w:spacing w:after="0"/>
              <w:rPr>
                <w:sz w:val="18"/>
                <w:szCs w:val="18"/>
                <w:color w:val="auto"/>
              </w:rPr>
            </w:pPr>
          </w:p>
        </w:tc>
      </w:tr>
      <w:tr>
        <w:trPr>
          <w:trHeight w:val="214"/>
        </w:trPr>
        <w:tc>
          <w:tcPr>
            <w:tcW w:w="2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i w:val="1"/>
                <w:iCs w:val="1"/>
                <w:color w:val="auto"/>
              </w:rPr>
              <w:t>In thousands, except margin and per share data</w:t>
            </w: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71"/>
        </w:trPr>
        <w:tc>
          <w:tcPr>
            <w:tcW w:w="20" w:type="dxa"/>
            <w:vAlign w:val="bottom"/>
          </w:tcPr>
          <w:p>
            <w:pPr>
              <w:spacing w:after="0"/>
              <w:rPr>
                <w:sz w:val="14"/>
                <w:szCs w:val="14"/>
                <w:color w:val="auto"/>
              </w:rPr>
            </w:pPr>
          </w:p>
        </w:tc>
        <w:tc>
          <w:tcPr>
            <w:tcW w:w="3720" w:type="dxa"/>
            <w:vAlign w:val="bottom"/>
            <w:gridSpan w:val="5"/>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GAAP</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Revenues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Product revenues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517,184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532,907</w:t>
            </w:r>
          </w:p>
        </w:tc>
        <w:tc>
          <w:tcPr>
            <w:tcW w:w="11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1,040,325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1,060,729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w w:val="99"/>
              </w:rPr>
              <w:t>(2)%</w:t>
            </w:r>
          </w:p>
        </w:tc>
      </w:tr>
      <w:tr>
        <w:trPr>
          <w:trHeight w:val="213"/>
        </w:trPr>
        <w:tc>
          <w:tcPr>
            <w:tcW w:w="20" w:type="dxa"/>
            <w:vAlign w:val="bottom"/>
            <w:tcBorders>
              <w:bottom w:val="single" w:sz="8" w:color="CCEEFF"/>
            </w:tcBorders>
          </w:tcPr>
          <w:p>
            <w:pPr>
              <w:spacing w:after="0"/>
              <w:rPr>
                <w:sz w:val="18"/>
                <w:szCs w:val="18"/>
                <w:color w:val="auto"/>
              </w:rPr>
            </w:pPr>
          </w:p>
        </w:tc>
        <w:tc>
          <w:tcPr>
            <w:tcW w:w="3720" w:type="dxa"/>
            <w:vAlign w:val="bottom"/>
            <w:tcBorders>
              <w:bottom w:val="single" w:sz="8" w:color="CCEEFF"/>
            </w:tcBorders>
            <w:gridSpan w:val="5"/>
          </w:tcPr>
          <w:p>
            <w:pPr>
              <w:ind w:left="200"/>
              <w:spacing w:after="0"/>
              <w:rPr>
                <w:sz w:val="20"/>
                <w:szCs w:val="20"/>
                <w:color w:val="auto"/>
              </w:rPr>
            </w:pPr>
            <w:r>
              <w:rPr>
                <w:rFonts w:ascii="Times New Roman" w:cs="Times New Roman" w:eastAsia="Times New Roman" w:hAnsi="Times New Roman"/>
                <w:sz w:val="16"/>
                <w:szCs w:val="16"/>
                <w:color w:val="auto"/>
              </w:rPr>
              <w:t>Service revenues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89,577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76,162</w:t>
            </w:r>
          </w:p>
        </w:tc>
        <w:tc>
          <w:tcPr>
            <w:tcW w:w="116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173,587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151,782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center"/>
              <w:ind w:right="79"/>
              <w:spacing w:after="0"/>
              <w:rPr>
                <w:sz w:val="20"/>
                <w:szCs w:val="20"/>
                <w:color w:val="auto"/>
              </w:rPr>
            </w:pPr>
            <w:r>
              <w:rPr>
                <w:rFonts w:ascii="Times New Roman" w:cs="Times New Roman" w:eastAsia="Times New Roman" w:hAnsi="Times New Roman"/>
                <w:sz w:val="16"/>
                <w:szCs w:val="16"/>
                <w:color w:val="auto"/>
                <w:w w:val="95"/>
              </w:rPr>
              <w:t>14%</w:t>
            </w:r>
          </w:p>
        </w:tc>
      </w:tr>
      <w:tr>
        <w:trPr>
          <w:trHeight w:val="212"/>
        </w:trPr>
        <w:tc>
          <w:tcPr>
            <w:tcW w:w="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606,761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609,069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1,213,912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1,212,511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w w:val="95"/>
              </w:rPr>
              <w:t>—%</w:t>
            </w:r>
          </w:p>
        </w:tc>
      </w:tr>
      <w:tr>
        <w:trPr>
          <w:trHeight w:val="257"/>
        </w:trPr>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223,618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210,460</w:t>
            </w:r>
          </w:p>
        </w:tc>
        <w:tc>
          <w:tcPr>
            <w:tcW w:w="11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440,837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415,839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w w:val="93"/>
              </w:rPr>
              <w:t>6%</w:t>
            </w: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147,205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145,813</w:t>
            </w:r>
          </w:p>
        </w:tc>
        <w:tc>
          <w:tcPr>
            <w:tcW w:w="11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288,211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288,392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5"/>
              </w:rPr>
              <w:t>—%</w:t>
            </w: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76,413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64,647</w:t>
            </w:r>
          </w:p>
        </w:tc>
        <w:tc>
          <w:tcPr>
            <w:tcW w:w="11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152,626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127,447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w w:val="95"/>
              </w:rPr>
              <w:t>20%</w:t>
            </w: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7,069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2,393</w:t>
            </w:r>
          </w:p>
        </w:tc>
        <w:tc>
          <w:tcPr>
            <w:tcW w:w="11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13,135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4,809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6"/>
              </w:rPr>
              <w:t>173%</w:t>
            </w: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(14,730)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(15,180)</w:t>
            </w:r>
          </w:p>
        </w:tc>
        <w:tc>
          <w:tcPr>
            <w:tcW w:w="11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(31,659)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(28,609)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w w:val="95"/>
              </w:rPr>
              <w:t>11%</w:t>
            </w: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income attributable to Itron, Inc.</w:t>
            </w: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68,340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51,318</w:t>
            </w:r>
          </w:p>
        </w:tc>
        <w:tc>
          <w:tcPr>
            <w:tcW w:w="11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133,814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103,039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5"/>
              </w:rPr>
              <w:t>30%</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175"/>
        </w:trPr>
        <w:tc>
          <w:tcPr>
            <w:tcW w:w="20" w:type="dxa"/>
            <w:vAlign w:val="bottom"/>
          </w:tcPr>
          <w:p>
            <w:pPr>
              <w:spacing w:after="0"/>
              <w:rPr>
                <w:sz w:val="15"/>
                <w:szCs w:val="15"/>
                <w:color w:val="auto"/>
              </w:rPr>
            </w:pPr>
          </w:p>
        </w:tc>
        <w:tc>
          <w:tcPr>
            <w:tcW w:w="3720" w:type="dxa"/>
            <w:vAlign w:val="bottom"/>
            <w:gridSpan w:val="5"/>
          </w:tcPr>
          <w:p>
            <w:pPr>
              <w:spacing w:after="0" w:line="176" w:lineRule="exact"/>
              <w:rPr>
                <w:sz w:val="20"/>
                <w:szCs w:val="20"/>
                <w:color w:val="auto"/>
              </w:rPr>
            </w:pPr>
            <w:r>
              <w:rPr>
                <w:rFonts w:ascii="Times New Roman" w:cs="Times New Roman" w:eastAsia="Times New Roman" w:hAnsi="Times New Roman"/>
                <w:sz w:val="15"/>
                <w:szCs w:val="15"/>
                <w:b w:val="1"/>
                <w:bCs w:val="1"/>
                <w:color w:val="auto"/>
              </w:rPr>
              <w:t>Non-GAAP</w:t>
            </w:r>
            <w:r>
              <w:rPr>
                <w:rFonts w:ascii="Times New Roman" w:cs="Times New Roman" w:eastAsia="Times New Roman" w:hAnsi="Times New Roman"/>
                <w:sz w:val="20"/>
                <w:szCs w:val="20"/>
                <w:b w:val="1"/>
                <w:bCs w:val="1"/>
                <w:color w:val="auto"/>
                <w:vertAlign w:val="superscript"/>
              </w:rPr>
              <w:t>(1)</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141,392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141,376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278,342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279,430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w w:val="95"/>
              </w:rPr>
              <w:t>—%</w:t>
            </w: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Non-GAAP operating income</w:t>
            </w: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82,226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69,084</w:t>
            </w:r>
          </w:p>
        </w:tc>
        <w:tc>
          <w:tcPr>
            <w:tcW w:w="11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162,495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136,409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5"/>
              </w:rPr>
              <w:t>19%</w:t>
            </w: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net income attributable to Itron, Inc.</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75,114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56,102</w:t>
            </w:r>
          </w:p>
        </w:tc>
        <w:tc>
          <w:tcPr>
            <w:tcW w:w="11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145,224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113,393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w w:val="95"/>
              </w:rPr>
              <w:t>28%</w:t>
            </w: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89,799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77,105</w:t>
            </w:r>
          </w:p>
        </w:tc>
        <w:tc>
          <w:tcPr>
            <w:tcW w:w="11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177,730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153,585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5"/>
              </w:rPr>
              <w:t>16%</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175"/>
        </w:trPr>
        <w:tc>
          <w:tcPr>
            <w:tcW w:w="20" w:type="dxa"/>
            <w:vAlign w:val="bottom"/>
          </w:tcPr>
          <w:p>
            <w:pPr>
              <w:spacing w:after="0"/>
              <w:rPr>
                <w:sz w:val="15"/>
                <w:szCs w:val="15"/>
                <w:color w:val="auto"/>
              </w:rPr>
            </w:pPr>
          </w:p>
        </w:tc>
        <w:tc>
          <w:tcPr>
            <w:tcW w:w="372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GAAP Margins and EPS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72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Product gross margin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33.1 %</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 gross margin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72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Total gross margin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34.6 %</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Operating margin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per common share - Basic</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73"/>
        </w:trPr>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176"/>
        </w:trPr>
        <w:tc>
          <w:tcPr>
            <w:tcW w:w="20" w:type="dxa"/>
            <w:vAlign w:val="bottom"/>
          </w:tcPr>
          <w:p>
            <w:pPr>
              <w:spacing w:after="0"/>
              <w:rPr>
                <w:sz w:val="15"/>
                <w:szCs w:val="15"/>
                <w:color w:val="auto"/>
              </w:rPr>
            </w:pPr>
          </w:p>
        </w:tc>
        <w:tc>
          <w:tcPr>
            <w:tcW w:w="3720" w:type="dxa"/>
            <w:vAlign w:val="bottom"/>
            <w:gridSpan w:val="5"/>
          </w:tcPr>
          <w:p>
            <w:pPr>
              <w:spacing w:after="0" w:line="176" w:lineRule="exact"/>
              <w:rPr>
                <w:sz w:val="20"/>
                <w:szCs w:val="20"/>
                <w:color w:val="auto"/>
              </w:rPr>
            </w:pPr>
            <w:r>
              <w:rPr>
                <w:rFonts w:ascii="Times New Roman" w:cs="Times New Roman" w:eastAsia="Times New Roman" w:hAnsi="Times New Roman"/>
                <w:sz w:val="15"/>
                <w:szCs w:val="15"/>
                <w:b w:val="1"/>
                <w:bCs w:val="1"/>
                <w:color w:val="auto"/>
              </w:rPr>
              <w:t xml:space="preserve">Non-GAAP EPS </w:t>
            </w:r>
            <w:r>
              <w:rPr>
                <w:rFonts w:ascii="Times New Roman" w:cs="Times New Roman" w:eastAsia="Times New Roman" w:hAnsi="Times New Roman"/>
                <w:sz w:val="20"/>
                <w:szCs w:val="20"/>
                <w:b w:val="1"/>
                <w:bCs w:val="1"/>
                <w:color w:val="auto"/>
                <w:vertAlign w:val="superscript"/>
              </w:rPr>
              <w:t>(1)</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diluted EPS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bl>
    <w:p>
      <w:pPr>
        <w:spacing w:after="0" w:line="81" w:lineRule="exact"/>
        <w:rPr>
          <w:sz w:val="20"/>
          <w:szCs w:val="20"/>
          <w:color w:val="auto"/>
        </w:rPr>
      </w:pPr>
    </w:p>
    <w:p>
      <w:pPr>
        <w:ind w:left="340" w:right="20" w:hanging="332"/>
        <w:spacing w:after="0" w:line="225" w:lineRule="auto"/>
        <w:tabs>
          <w:tab w:leader="none" w:pos="32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measures exclude certain expenses that we do not believe are indicative of our core operating results. See pages 42-45 for information about these non-GAAP measures and reconciliations to the most comparable GAAP measures.</w:t>
      </w: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Definition of an Endpoint Under Management</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 "endpoint under management" is a unique endpoint, or data from that endpoint, which Itron manages via our networked platform or a third party's platform that is connected to one or multiple types of endpoints. Itron's management of an endpoint occurs when, on behalf of our client, we manage one or more of the physical endpoints, operating system, data, application, data analytics, and/or outcome deriving from this unique endpoint. Itron has the ability to monitor and/or manage endpoints or the data from the endpoints via Network-as-a-Service (NaaS), Software-as-a-Service (SaaS), and/or a licensed offering at a remote location designated by our client. Our offerings typically, but not exclusively, provide an Itron product or Itron certified partner product to our clients that has the capability of one-way communication or two-way communication of data that may include remote product configuration and upgradability. Examples of these offerings include our Temetra, OpenWay®, OpenWay® Riva, and Gen X.</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metric primarily includes Itron or third-party endpoints deployed within the electricity, water, and gas utility industries, as well as within cities and municipalities around the globe. Endpoints under management also include smart communication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modules and network interface cards (NICs) within Itron's platforms. At times, these NICs are communicating modules that were sold separately from an Itron product directly to our customers or to third party manufacturers for use in endpoints such as electric, water, and gas meters; streetlights and other types of IIoT sensors and actuators; sensors and other capabilities that the end customer would like Itron to connect and manage on its behalf.</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endpoints under management metric only accounts for the specific, unique endpoint itself, though that endpoint may have multiple applications, services, outcomes, and higher margin recurring offerings associated with it. This metric does not reflect the multi-application value that can be derived from the individual endpoint itself. Additionally, this metric excludes those endpoints that are non-communicating, non-Itron system hardware component sales or licensed applications for which Itron does not manage the unit or the data from that unit directly.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one-time sale of the platform and endpoints is primarily delivered via our Networked Solutions segment, our enhanced solutions, on-going monitoring, maintenance, software, analytics, and distributed intelligent applications are predominantly recognized in our Outcomes segment. We anticipate the opportunity to increase our penetration of Outcomes applications, software, and managed applications will increase as our endpoints under management increases. Management believes using the endpoints under management metric enhances insight of the strategic and operational direction of our Networked Solutions and Outcomes segments to serve clients for years following their one-time installation of an endpoint.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endpoints under management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230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1100" w:type="dxa"/>
            <w:vAlign w:val="bottom"/>
            <w:tcBorders>
              <w:bottom w:val="single" w:sz="8" w:color="auto"/>
            </w:tcBorders>
          </w:tcPr>
          <w:p>
            <w:pPr>
              <w:spacing w:after="0"/>
              <w:rPr>
                <w:sz w:val="18"/>
                <w:szCs w:val="18"/>
                <w:color w:val="auto"/>
              </w:rPr>
            </w:pP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Units in thousands</w:t>
            </w:r>
          </w:p>
        </w:tc>
        <w:tc>
          <w:tcPr>
            <w:tcW w:w="16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Endpoints under management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112,771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100,946</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results of and effects of changes in foreign currency exchange rates on revenues and gross profit were as follows: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0" w:type="dxa"/>
            <w:vAlign w:val="bottom"/>
            <w:gridSpan w:val="4"/>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606,761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609,069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w:t>
            </w:r>
          </w:p>
        </w:tc>
        <w:tc>
          <w:tcPr>
            <w:tcW w:w="0" w:type="dxa"/>
            <w:vAlign w:val="bottom"/>
          </w:tcPr>
          <w:p>
            <w:pPr>
              <w:spacing w:after="0"/>
              <w:rPr>
                <w:sz w:val="1"/>
                <w:szCs w:val="1"/>
                <w:color w:val="auto"/>
              </w:rPr>
            </w:pPr>
          </w:p>
        </w:tc>
      </w:tr>
      <w:tr>
        <w:trPr>
          <w:trHeight w:val="210"/>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210,460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13,158</w:t>
            </w:r>
          </w:p>
        </w:tc>
        <w:tc>
          <w:tcPr>
            <w:tcW w:w="0" w:type="dxa"/>
            <w:vAlign w:val="bottom"/>
          </w:tcPr>
          <w:p>
            <w:pPr>
              <w:spacing w:after="0"/>
              <w:rPr>
                <w:sz w:val="1"/>
                <w:szCs w:val="1"/>
                <w:color w:val="auto"/>
              </w:rPr>
            </w:pPr>
          </w:p>
        </w:tc>
      </w:tr>
      <w:tr>
        <w:trPr>
          <w:trHeight w:val="789"/>
        </w:trPr>
        <w:tc>
          <w:tcPr>
            <w:tcW w:w="3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0" w:type="dxa"/>
            <w:vAlign w:val="bottom"/>
            <w:gridSpan w:val="4"/>
            <w:vMerge w:val="restart"/>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0" w:type="dxa"/>
            <w:vAlign w:val="bottom"/>
          </w:tcPr>
          <w:p>
            <w:pPr>
              <w:spacing w:after="0"/>
              <w:rPr>
                <w:sz w:val="24"/>
                <w:szCs w:val="24"/>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1,213,912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1,212,511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0" w:type="dxa"/>
            <w:vAlign w:val="bottom"/>
          </w:tcPr>
          <w:p>
            <w:pPr>
              <w:spacing w:after="0"/>
              <w:rPr>
                <w:sz w:val="1"/>
                <w:szCs w:val="1"/>
                <w:color w:val="auto"/>
              </w:rPr>
            </w:pPr>
          </w:p>
        </w:tc>
      </w:tr>
      <w:tr>
        <w:trPr>
          <w:trHeight w:val="210"/>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440,837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415,839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24,998</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June 30, 2025 vs. Three months ended June 30, 2024</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revenues decreased $2.3 million in the current 2025 quarter, compared with the same period in 2024. Product revenues decreased by $15.7 million, and service revenues increased $13.4 million. Device Solutions decreased by $5.8 million; Networked Solutions decreased by $3.8 million; and Outcomes increased by $7.3 million when compared with the same period last year. Changes in exchange rates favorably impacted total revenues by $4.4 million, of which $3.8 million favorably impacted Device Solutions.</w:t>
      </w: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Six months ended June 30, 2025 vs. Six months ended June 30, 2024</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222222"/>
        </w:rPr>
        <w:t xml:space="preserve">Total revenues increased $1.4 million compared with the same period in </w:t>
      </w:r>
      <w:r>
        <w:rPr>
          <w:rFonts w:ascii="Times New Roman" w:cs="Times New Roman" w:eastAsia="Times New Roman" w:hAnsi="Times New Roman"/>
          <w:sz w:val="18"/>
          <w:szCs w:val="18"/>
          <w:color w:val="000000"/>
        </w:rPr>
        <w:t>2024. Product revenues decreased by $20.4 million, and service revenues</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increased by $21.8 million. </w:t>
      </w:r>
      <w:r>
        <w:rPr>
          <w:rFonts w:ascii="Times New Roman" w:cs="Times New Roman" w:eastAsia="Times New Roman" w:hAnsi="Times New Roman"/>
          <w:sz w:val="18"/>
          <w:szCs w:val="18"/>
          <w:color w:val="222222"/>
        </w:rPr>
        <w:t>Device Solutions decreased by $6.7 million; Networked Solutions decreased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22222"/>
        </w:rPr>
        <w:t xml:space="preserve">by </w:t>
      </w:r>
      <w:r>
        <w:rPr>
          <w:rFonts w:ascii="Times New Roman" w:cs="Times New Roman" w:eastAsia="Times New Roman" w:hAnsi="Times New Roman"/>
          <w:sz w:val="18"/>
          <w:szCs w:val="18"/>
          <w:color w:val="000000"/>
        </w:rPr>
        <w:t>$8.6 million</w:t>
      </w:r>
      <w:r>
        <w:rPr>
          <w:rFonts w:ascii="Times New Roman" w:cs="Times New Roman" w:eastAsia="Times New Roman" w:hAnsi="Times New Roman"/>
          <w:sz w:val="18"/>
          <w:szCs w:val="18"/>
          <w:color w:val="222222"/>
        </w:rPr>
        <w:t>; and Outcomes increased by $16.6 million when compared with the same period last year. C</w:t>
      </w:r>
      <w:r>
        <w:rPr>
          <w:rFonts w:ascii="Times New Roman" w:cs="Times New Roman" w:eastAsia="Times New Roman" w:hAnsi="Times New Roman"/>
          <w:sz w:val="18"/>
          <w:szCs w:val="18"/>
          <w:color w:val="000000"/>
        </w:rPr>
        <w:t>hanges in exchange rates unfavorably impacted</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total revenues by </w:t>
      </w:r>
      <w:r>
        <w:rPr>
          <w:rFonts w:ascii="Times New Roman" w:cs="Times New Roman" w:eastAsia="Times New Roman" w:hAnsi="Times New Roman"/>
          <w:sz w:val="18"/>
          <w:szCs w:val="18"/>
          <w:color w:val="222222"/>
        </w:rPr>
        <w:t>$0.8 million</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 - Three months ended June 30, 2025 vs. Three months ended June 30, 2024</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222222"/>
        </w:rPr>
        <w:t xml:space="preserve">Gross margin in the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22222"/>
        </w:rPr>
        <w:t xml:space="preserve"> period was 36.9%, compared with 34.6% in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22222"/>
        </w:rPr>
        <w:t xml:space="preserve">. Product sales gross margin increased to 34.8% for the quarter in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22222"/>
        </w:rPr>
        <w:t xml:space="preserve">, compared with 33.1% in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22222"/>
        </w:rPr>
        <w:t xml:space="preserve">. Gross margin on service revenues increased to 48.9% in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22222"/>
        </w:rPr>
        <w:t xml:space="preserve">, compared with 45.0% in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22222"/>
        </w:rPr>
        <w:t>.</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 - Six months ended June 30, 2025 vs. Six months ended June 30, 2024</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222222"/>
        </w:rPr>
        <w:t xml:space="preserve">Gross margin was 36.3%, compared with 34.3% in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22222"/>
        </w:rPr>
        <w:t xml:space="preserve">. Product sales gross margin increased to 34.3%, compared with 32.7% in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22222"/>
        </w:rPr>
        <w:t xml:space="preserve"> and gross margin on service revenues increased to 48.6%, compared with 45.2% in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22222"/>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Operating Segment Results section below for further detail on total company revenues and gross margin.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results of and effects of changes in foreign currency exchange rates on operating expenses were as follows: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27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20" w:type="dxa"/>
            <w:vAlign w:val="bottom"/>
          </w:tcPr>
          <w:p>
            <w:pPr>
              <w:spacing w:after="0"/>
              <w:rPr>
                <w:sz w:val="10"/>
                <w:szCs w:val="10"/>
                <w:color w:val="auto"/>
              </w:rPr>
            </w:pPr>
          </w:p>
        </w:tc>
        <w:tc>
          <w:tcPr>
            <w:tcW w:w="2740" w:type="dxa"/>
            <w:vAlign w:val="bottom"/>
            <w:tcBorders>
              <w:bottom w:val="single" w:sz="8" w:color="auto"/>
            </w:tcBorders>
            <w:gridSpan w:val="4"/>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2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10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87,615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0" w:type="dxa"/>
            <w:vAlign w:val="bottom"/>
          </w:tcPr>
          <w:p>
            <w:pPr>
              <w:spacing w:after="0"/>
              <w:rPr>
                <w:sz w:val="1"/>
                <w:szCs w:val="1"/>
                <w:color w:val="auto"/>
              </w:rPr>
            </w:pPr>
          </w:p>
        </w:tc>
      </w:tr>
      <w:tr>
        <w:trPr>
          <w:trHeight w:val="213"/>
        </w:trPr>
        <w:tc>
          <w:tcPr>
            <w:tcW w:w="3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53,810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3"/>
        </w:trPr>
        <w:tc>
          <w:tcPr>
            <w:tcW w:w="3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 loss on sale of business</w:t>
            </w:r>
          </w:p>
        </w:tc>
        <w:tc>
          <w:tcPr>
            <w:tcW w:w="10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7"/>
        </w:trPr>
        <w:tc>
          <w:tcPr>
            <w:tcW w:w="3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147,205</w:t>
            </w:r>
          </w:p>
        </w:tc>
        <w:tc>
          <w:tcPr>
            <w:tcW w:w="10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145,813</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0"/>
        </w:trPr>
        <w:tc>
          <w:tcPr>
            <w:tcW w:w="3020" w:type="dxa"/>
            <w:vAlign w:val="bottom"/>
          </w:tcPr>
          <w:p>
            <w:pPr>
              <w:spacing w:after="0"/>
              <w:rPr>
                <w:sz w:val="24"/>
                <w:szCs w:val="24"/>
                <w:color w:val="auto"/>
              </w:rPr>
            </w:pPr>
          </w:p>
        </w:tc>
        <w:tc>
          <w:tcPr>
            <w:tcW w:w="2740" w:type="dxa"/>
            <w:vAlign w:val="bottom"/>
            <w:gridSpan w:val="4"/>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20" w:type="dxa"/>
            <w:vAlign w:val="bottom"/>
          </w:tcPr>
          <w:p>
            <w:pPr>
              <w:spacing w:after="0"/>
              <w:rPr>
                <w:sz w:val="10"/>
                <w:szCs w:val="10"/>
                <w:color w:val="auto"/>
              </w:rPr>
            </w:pPr>
          </w:p>
        </w:tc>
        <w:tc>
          <w:tcPr>
            <w:tcW w:w="2740" w:type="dxa"/>
            <w:vAlign w:val="bottom"/>
            <w:tcBorders>
              <w:bottom w:val="single" w:sz="8" w:color="auto"/>
            </w:tcBorders>
            <w:gridSpan w:val="4"/>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2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10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174,526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174,384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13"/>
        </w:trPr>
        <w:tc>
          <w:tcPr>
            <w:tcW w:w="3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103,900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105,454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213"/>
        </w:trPr>
        <w:tc>
          <w:tcPr>
            <w:tcW w:w="3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 loss on sale of business</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07"/>
        </w:trPr>
        <w:tc>
          <w:tcPr>
            <w:tcW w:w="3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288,211</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288,392</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expenses increased $1.4 million for the second quarter of 2025 as compared with the same period in 2024. This was primarily the result of a $1.3 million increase in restructuring expenses.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decreased $0.2 million for the six months ended June 30, 2025 as compared with the same period in 2024. This was primarily the result of a $1.6 million decrease in research and development expenses driven by reduced professional service expenses, partially offset by a $0.6 million increase in restructuring expenses and a $0.5 million increase in amortization of intangible assets. Refer to Item 1: Financial Statements (Unaudited), Note 4: Intangible Assets and Note 12: Restructuring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other income (expense):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40" w:type="dxa"/>
            <w:vAlign w:val="bottom"/>
          </w:tcPr>
          <w:p>
            <w:pPr>
              <w:spacing w:after="0"/>
              <w:rPr>
                <w:sz w:val="18"/>
                <w:szCs w:val="18"/>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6"/>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340" w:type="dxa"/>
            <w:vAlign w:val="bottom"/>
          </w:tcPr>
          <w:p>
            <w:pPr>
              <w:spacing w:after="0"/>
              <w:rPr>
                <w:sz w:val="20"/>
                <w:szCs w:val="20"/>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13"/>
        </w:trPr>
        <w:tc>
          <w:tcPr>
            <w:tcW w:w="2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12,303</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5,128</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24,013</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8,974</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168%</w:t>
            </w:r>
          </w:p>
        </w:tc>
      </w:tr>
      <w:tr>
        <w:trPr>
          <w:trHeight w:val="207"/>
        </w:trPr>
        <w:tc>
          <w:tcPr>
            <w:tcW w:w="2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prepaid debt fees</w:t>
            </w: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0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(3,581)</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92%</w:t>
            </w:r>
          </w:p>
        </w:tc>
      </w:tr>
      <w:tr>
        <w:trPr>
          <w:trHeight w:val="219"/>
        </w:trPr>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interest expense</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0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(7,660)</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231%</w:t>
            </w:r>
          </w:p>
        </w:tc>
      </w:tr>
      <w:tr>
        <w:trPr>
          <w:trHeight w:val="207"/>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(5,648)</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10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(11,241)</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169%</w:t>
            </w:r>
          </w:p>
        </w:tc>
      </w:tr>
      <w:tr>
        <w:trPr>
          <w:trHeight w:val="21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NM</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r>
      <w:tr>
        <w:trPr>
          <w:trHeight w:val="209"/>
        </w:trPr>
        <w:tc>
          <w:tcPr>
            <w:tcW w:w="2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7,069</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10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13,135</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4,809</w:t>
            </w:r>
          </w:p>
        </w:tc>
        <w:tc>
          <w:tcPr>
            <w:tcW w:w="100" w:type="dxa"/>
            <w:vAlign w:val="bottom"/>
            <w:tcBorders>
              <w:bottom w:val="single" w:sz="8" w:color="auto"/>
            </w:tcBorders>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173%</w:t>
            </w:r>
          </w:p>
        </w:tc>
      </w:tr>
      <w:tr>
        <w:trPr>
          <w:trHeight w:val="21"/>
        </w:trPr>
        <w:tc>
          <w:tcPr>
            <w:tcW w:w="2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other income (expense) for the three and six months ended June 30, 2025 was income of $7.1 million and $13.1 million, compared with income of $2.4 million and $4.8 million in the same period in 2024. The increase in net other income for the three months ended June 30, 2025, as compared with the same period in 2024, was driven by the $7.2 million increase in interest income primarily due to interest earned on the invested proceeds from the 2024 Notes, partially offset by the interest cost of those same notes, totaling $2.8 million in 2025, compared with $0.3 million in 2024.</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net other income for the six months ended June 30, 2025, as compared with the same period in 2024, was driven by the $15.0 million increase in interest income primarily due to interest earned on the invested proceeds from the 2024 Notes. This increase was offset by an increase in other interest expense driven by a $5.5 million interest accrual for the 2024 Notes recognized during the period as well as a $1.7 million increase in amortization of prepaid debt fees compared with the same period in 2024. Refer to Item 1: Financial Statements (Unaudited), Note 6: Debt included in this Quarterly Report on Form 10-Q for additional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three and six months ended June 30, 2025, our income tax expense was $14.7 million and $31.7 million, compared with income tax expense of $15.2 million and $28.6 million for the same period in 2024. Our tax rate for the three and six months ended June 30, 2025 of 18% and 19% differed from the federal statutory rate of 21% due to the impact of valuation allowances on deferred tax assets, the forecasted mix of earnings in domestic and international jurisdictions, the effect of cross-border tax laws, nondeductible executive compensation, a benefit related to stock-based compensation, tax credits, state taxes, and uncertain tax positions. Our tax rate for the three and six months ended June 30, 2024 of 23% and 22% differed from the federal statutory rate of 21% due to the impact of valuation allowances on deferred tax assets, the forecasted mix of earnings in domestic and international jurisdictions, U.S. taxation of foreign earnings including GILTI (Global Intangible Low Taxed Income), net of Section 250 deduction, Subpart F income, a benefit related to stock-based compensation, tax credits, state taxes, and uncertain tax positions.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sweeping legislative package formally titled "An act to provide for reconciliation pursuant to title II of H. Con. Res. 14" (the "Act") was signed into law on July 4, 2025. Since ASC 740 requires the income tax effects of a change in tax law to be recognized in the period of enactment, this Act does not have any impact on our annual effective tax rate as of June 30, 2025. The legislation includes numerous changes to existing tax law that are retroactive to 2025, including provisions for the current deductibility of certain property additions and domestic research and development costs. Additionally, multiple changes</w:t>
      </w:r>
    </w:p>
    <w:p>
      <w:pPr>
        <w:spacing w:after="0" w:line="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are effective beginning in 2026. We anticipate the 2025 provisions to reduce and defer income tax payments to future tax years. We are in the process of evaluating the impact the Act will have on our subsequent consolidated financial statements and related disclosures.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guidance under the Base Erosion and Profit Shifting (BEPS) initiative aims to minimize perceived tax abuses and modernize global tax policy, including the implementation of a global minimum effective tax rate of 15%. In December 2022, the Council of the European Union adopted OECD Pillar 2 for implementation by European Union member states by December 31, 2023. The resulting legislation in most countries where Itron has significant operations took effect for calendar year 2024. The OECD continues to release more guidance on these rules and framework, and we are evaluating the impact to our financial position. These enactments or amendments could adversely affect our tax rate and ultimately result in a negative impact on our operating results and cash flows. Consistent with calculations for calendar year 2024, the Company anticipates it will meet the safe harbors in most jurisdictions in 2025, and any remaining top-up tax should be immaterial.</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additional discussion related to income taxes, see Item 1: Financial Statements (Unaudited), Note 10: Income Taxes included in this Quarterly Report on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 Results</w:t>
      </w:r>
    </w:p>
    <w:p>
      <w:pPr>
        <w:spacing w:after="0" w:line="25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For a description of our operating segments, refer to Item 1: Financial Statements (Unaudited), Note 15: Segment Information included in this Quarterly Report on Form 10-Q. The following tables and discussion highlight significant changes in trends or components of each operating segment:</w:t>
      </w:r>
    </w:p>
    <w:tbl>
      <w:tblPr>
        <w:tblLayout w:type="fixed"/>
        <w:tblInd w:w="0" w:type="dxa"/>
        <w:tblCellMar>
          <w:top w:w="0" w:type="dxa"/>
          <w:left w:w="0" w:type="dxa"/>
          <w:bottom w:w="0" w:type="dxa"/>
          <w:right w:w="0" w:type="dxa"/>
        </w:tblCellMar>
      </w:tblPr>
      <w:tr>
        <w:trPr>
          <w:trHeight w:val="165"/>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jc w:val="center"/>
              <w:ind w:right="260"/>
              <w:spacing w:after="0" w:line="165" w:lineRule="exact"/>
              <w:rPr>
                <w:sz w:val="20"/>
                <w:szCs w:val="20"/>
                <w:color w:val="auto"/>
              </w:rPr>
            </w:pPr>
            <w:r>
              <w:rPr>
                <w:rFonts w:ascii="Times New Roman" w:cs="Times New Roman" w:eastAsia="Times New Roman" w:hAnsi="Times New Roman"/>
                <w:sz w:val="16"/>
                <w:szCs w:val="16"/>
                <w:b w:val="1"/>
                <w:bCs w:val="1"/>
                <w:color w:val="auto"/>
              </w:rPr>
              <w:t>Six Months Ended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revenues</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112,760</w:t>
            </w:r>
          </w:p>
        </w:tc>
        <w:tc>
          <w:tcPr>
            <w:tcW w:w="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238,631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408,934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412,704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811,666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820,220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85,067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163,615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revenues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606,761</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609,069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1,213,912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1,212,511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25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86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Gross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8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0" w:type="dxa"/>
            <w:vAlign w:val="bottom"/>
          </w:tcPr>
          <w:p>
            <w:pPr>
              <w:spacing w:after="0"/>
              <w:rPr>
                <w:sz w:val="1"/>
                <w:szCs w:val="1"/>
                <w:color w:val="auto"/>
              </w:rPr>
            </w:pPr>
          </w:p>
        </w:tc>
      </w:tr>
      <w:tr>
        <w:trPr>
          <w:trHeight w:val="215"/>
        </w:trPr>
        <w:tc>
          <w:tcPr>
            <w:tcW w:w="2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0" w:type="dxa"/>
            <w:vAlign w:val="bottom"/>
          </w:tcPr>
          <w:p>
            <w:pPr>
              <w:spacing w:after="0"/>
              <w:rPr>
                <w:sz w:val="1"/>
                <w:szCs w:val="1"/>
                <w:color w:val="auto"/>
              </w:rPr>
            </w:pPr>
          </w:p>
        </w:tc>
      </w:tr>
      <w:tr>
        <w:trPr>
          <w:trHeight w:val="209"/>
        </w:trPr>
        <w:tc>
          <w:tcPr>
            <w:tcW w:w="2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gross profit and margin</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6"/>
              </w:rPr>
              <w:t>26.3%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6"/>
              </w:rPr>
              <w:t>29.9%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6"/>
              </w:rPr>
              <w:t>36.9%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305,957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6"/>
              </w:rPr>
              <w:t>37.7%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303,182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32,784</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6"/>
              </w:rPr>
              <w:t>34.8%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6"/>
              </w:rPr>
              <w:t>38.8%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12"/>
        </w:trPr>
        <w:tc>
          <w:tcPr>
            <w:tcW w:w="25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gross profit and margin</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223,618</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210,460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6"/>
              </w:rPr>
              <w:t>34.6%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440,837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6"/>
              </w:rPr>
              <w:t>36.3%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415,839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operating expenses</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8,137</w:t>
            </w:r>
          </w:p>
        </w:tc>
        <w:tc>
          <w:tcPr>
            <w:tcW w:w="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36,244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unallocated</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85,727</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87,173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center"/>
              <w:ind w:right="19"/>
              <w:spacing w:after="0"/>
              <w:rPr>
                <w:sz w:val="20"/>
                <w:szCs w:val="20"/>
                <w:color w:val="auto"/>
              </w:rPr>
            </w:pPr>
            <w:r>
              <w:rPr>
                <w:rFonts w:ascii="Times New Roman" w:cs="Times New Roman" w:eastAsia="Times New Roman" w:hAnsi="Times New Roman"/>
                <w:sz w:val="16"/>
                <w:szCs w:val="16"/>
                <w:color w:val="auto"/>
                <w:w w:val="99"/>
              </w:rPr>
              <w:t>(2)%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170,424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171,845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center"/>
              <w:ind w:right="1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147,205</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288,392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340" w:type="dxa"/>
            <w:vAlign w:val="bottom"/>
            <w:tcBorders>
              <w:top w:val="single" w:sz="8" w:color="CCEEFF"/>
            </w:tcBorders>
            <w:gridSpan w:val="5"/>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tcBorders>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25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86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86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0" w:type="dxa"/>
            <w:vAlign w:val="bottom"/>
          </w:tcPr>
          <w:p>
            <w:pPr>
              <w:spacing w:after="0"/>
              <w:rPr>
                <w:sz w:val="1"/>
                <w:szCs w:val="1"/>
                <w:color w:val="auto"/>
              </w:rPr>
            </w:pPr>
          </w:p>
        </w:tc>
      </w:tr>
      <w:tr>
        <w:trPr>
          <w:trHeight w:val="215"/>
        </w:trPr>
        <w:tc>
          <w:tcPr>
            <w:tcW w:w="2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Income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i w:val="1"/>
                <w:iCs w:val="1"/>
                <w:color w:val="auto"/>
              </w:rPr>
              <w:t>Income</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rPr>
              <w:t>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i w:val="1"/>
                <w:iCs w:val="1"/>
                <w:color w:val="auto"/>
              </w:rPr>
              <w:t>Income</w:t>
            </w: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0" w:type="dxa"/>
            <w:vAlign w:val="bottom"/>
          </w:tcPr>
          <w:p>
            <w:pPr>
              <w:spacing w:after="0"/>
              <w:rPr>
                <w:sz w:val="1"/>
                <w:szCs w:val="1"/>
                <w:color w:val="auto"/>
              </w:rPr>
            </w:pPr>
          </w:p>
        </w:tc>
      </w:tr>
      <w:tr>
        <w:trPr>
          <w:trHeight w:val="156"/>
        </w:trPr>
        <w:tc>
          <w:tcPr>
            <w:tcW w:w="2560" w:type="dxa"/>
            <w:vAlign w:val="bottom"/>
            <w:tcBorders>
              <w:top w:val="single" w:sz="8" w:color="auto"/>
            </w:tcBorders>
          </w:tcPr>
          <w:p>
            <w:pPr>
              <w:ind w:left="20"/>
              <w:spacing w:after="0" w:line="156" w:lineRule="exact"/>
              <w:rPr>
                <w:sz w:val="20"/>
                <w:szCs w:val="20"/>
                <w:color w:val="auto"/>
              </w:rPr>
            </w:pPr>
            <w:r>
              <w:rPr>
                <w:rFonts w:ascii="Times New Roman" w:cs="Times New Roman" w:eastAsia="Times New Roman" w:hAnsi="Times New Roman"/>
                <w:sz w:val="16"/>
                <w:szCs w:val="16"/>
                <w:b w:val="1"/>
                <w:bCs w:val="1"/>
                <w:i w:val="1"/>
                <w:iCs w:val="1"/>
                <w:color w:val="auto"/>
              </w:rPr>
              <w:t>Segment operating income and</w:t>
            </w: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operating margin</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6"/>
              </w:rPr>
              <w:t>20.0%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6"/>
              </w:rPr>
              <w:t>23.4%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120,999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6"/>
              </w:rPr>
              <w:t>28.5%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6"/>
              </w:rPr>
              <w:t>29.2%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6"/>
              </w:rPr>
              <w:t>13.7%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6"/>
              </w:rPr>
              <w:t>18.3%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3"/>
        </w:trPr>
        <w:tc>
          <w:tcPr>
            <w:tcW w:w="2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unallocated</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(85,727)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(87,173)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(170,424)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(171,845)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center"/>
              <w:ind w:right="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45"/>
        </w:trPr>
        <w:tc>
          <w:tcPr>
            <w:tcW w:w="256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6"/>
                <w:szCs w:val="16"/>
                <w:color w:val="auto"/>
              </w:rPr>
              <w:t>Total operating income and</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76,413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64,647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6"/>
              </w:rPr>
              <w:t>10.6%</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152,626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6"/>
              </w:rPr>
              <w:t>12.6%</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127,447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9"/>
        </w:trPr>
        <w:tc>
          <w:tcPr>
            <w:tcW w:w="25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operating margin</w:t>
            </w: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Device Solutions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Device Solutions segment financial results were as follows: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760" w:type="dxa"/>
            <w:vAlign w:val="bottom"/>
            <w:gridSpan w:val="4"/>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2760" w:type="dxa"/>
            <w:vAlign w:val="bottom"/>
            <w:tcBorders>
              <w:bottom w:val="single" w:sz="8" w:color="auto"/>
            </w:tcBorders>
            <w:gridSpan w:val="4"/>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0" w:type="dxa"/>
            <w:vAlign w:val="bottom"/>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Device Solutions Segment</w:t>
            </w:r>
          </w:p>
        </w:tc>
        <w:tc>
          <w:tcPr>
            <w:tcW w:w="10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112,760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118,550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(5,790)</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0" w:type="dxa"/>
            <w:vAlign w:val="bottom"/>
          </w:tcPr>
          <w:p>
            <w:pPr>
              <w:spacing w:after="0"/>
              <w:rPr>
                <w:sz w:val="1"/>
                <w:szCs w:val="1"/>
                <w:color w:val="auto"/>
              </w:rPr>
            </w:pPr>
          </w:p>
        </w:tc>
      </w:tr>
      <w:tr>
        <w:trPr>
          <w:trHeight w:val="783"/>
        </w:trPr>
        <w:tc>
          <w:tcPr>
            <w:tcW w:w="3000" w:type="dxa"/>
            <w:vAlign w:val="bottom"/>
          </w:tcPr>
          <w:p>
            <w:pPr>
              <w:spacing w:after="0"/>
              <w:rPr>
                <w:sz w:val="24"/>
                <w:szCs w:val="24"/>
                <w:color w:val="auto"/>
              </w:rPr>
            </w:pPr>
          </w:p>
        </w:tc>
        <w:tc>
          <w:tcPr>
            <w:tcW w:w="2760" w:type="dxa"/>
            <w:vAlign w:val="bottom"/>
            <w:gridSpan w:val="4"/>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2760" w:type="dxa"/>
            <w:vAlign w:val="bottom"/>
            <w:tcBorders>
              <w:bottom w:val="single" w:sz="8" w:color="auto"/>
            </w:tcBorders>
            <w:gridSpan w:val="4"/>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0" w:type="dxa"/>
            <w:vAlign w:val="bottom"/>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Device Solutions Segment</w:t>
            </w:r>
          </w:p>
        </w:tc>
        <w:tc>
          <w:tcPr>
            <w:tcW w:w="10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238,631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245,302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(6,671)</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71,344</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10,049</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June 30, 2025 vs. Three months ended June 30, 2024</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Revenues decreased $5.8 million, or 5%. Changes in foreign currency exchange rates favorably impacted revenues by $3.8 million. Revenues were lower due to the planned decrease in electric meter sales, partially offset by higher smart water product sales.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Six months ended June 30, 2025 vs. Six months ended June 30, 2024</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Revenues decreased $6.7 million, or 3%. Changes in foreign currency exchange rates favorably impacted revenues by $0.5 million. Revenues were lower due to the planned decrease in electric meter sales, partially offset by higher smart water product sales.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June 30, 2025 vs. Three months ended June 30, 2024</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three months ended June 30, 2025, gross margin was 29.8%, compared with 26.3% for the same period in 2024. The 350 basis point increase over the prior year was primarily due to an improved product mix.</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Six months ended June 30, 2025 vs. Six months ended June 30, 2024</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six months ended June 30, 2025, gross margin was 29.9%, compared with 25.0% for the same period in 2024. The 490 basis point increase over the prior year was primarily due to an improved product mix.</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June 30, 2025 vs. Three months ended June 30, 2024</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Operating expenses increased $0.6 million, or 8%, compared with 2024. The increase was primarily due to higher product development and marketing costs.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Six months ended June 30, 2025 vs. Six months ended June 30, 2024</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decreased $0.4 million, or 3%, for the first six months of 2025, compared with the same period in 2024. The decrease was primarily due to lower product development and marketing costs.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Networked Solutions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Networked Solutions segment financial results were as follows: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760" w:type="dxa"/>
            <w:vAlign w:val="bottom"/>
            <w:gridSpan w:val="4"/>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760" w:type="dxa"/>
            <w:vAlign w:val="bottom"/>
            <w:tcBorders>
              <w:bottom w:val="single" w:sz="8" w:color="auto"/>
            </w:tcBorders>
            <w:gridSpan w:val="4"/>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0" w:type="dxa"/>
            <w:vAlign w:val="bottom"/>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Networked Solutions Segment</w:t>
            </w:r>
          </w:p>
        </w:tc>
        <w:tc>
          <w:tcPr>
            <w:tcW w:w="10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408,934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412,704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(3,770)</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157,243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152,157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5,086</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36,244</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0" w:type="dxa"/>
            <w:vAlign w:val="bottom"/>
          </w:tcPr>
          <w:p>
            <w:pPr>
              <w:spacing w:after="0"/>
              <w:rPr>
                <w:sz w:val="1"/>
                <w:szCs w:val="1"/>
                <w:color w:val="auto"/>
              </w:rPr>
            </w:pPr>
          </w:p>
        </w:tc>
      </w:tr>
      <w:tr>
        <w:trPr>
          <w:trHeight w:val="823"/>
        </w:trPr>
        <w:tc>
          <w:tcPr>
            <w:tcW w:w="3000" w:type="dxa"/>
            <w:vAlign w:val="bottom"/>
          </w:tcPr>
          <w:p>
            <w:pPr>
              <w:spacing w:after="0"/>
              <w:rPr>
                <w:sz w:val="24"/>
                <w:szCs w:val="24"/>
                <w:color w:val="auto"/>
              </w:rPr>
            </w:pPr>
          </w:p>
        </w:tc>
        <w:tc>
          <w:tcPr>
            <w:tcW w:w="2760" w:type="dxa"/>
            <w:vAlign w:val="bottom"/>
            <w:gridSpan w:val="4"/>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760" w:type="dxa"/>
            <w:vAlign w:val="bottom"/>
            <w:tcBorders>
              <w:bottom w:val="single" w:sz="8" w:color="auto"/>
            </w:tcBorders>
            <w:gridSpan w:val="4"/>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0" w:type="dxa"/>
            <w:vAlign w:val="bottom"/>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Networked Solutions Segment</w:t>
            </w:r>
          </w:p>
        </w:tc>
        <w:tc>
          <w:tcPr>
            <w:tcW w:w="10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811,666</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820,220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(8,554)</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305,957</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303,182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2,775</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68,849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June 30, 2025 vs. Three months ended June 30, 2024</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Revenues decreased $3.8 million, or 1%, in 2025 compared with 2024. The decline was primarily due to an unusually large second quarter 2024 sales volume, which included a substantial amount of catch-up of previously supply chain constrained revenue.</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Six months ended June 30, 2025 vs. Six months ended June 30, 2024</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Revenues decreased $8.6 million, or 1%, for the first six months of 2025, compared with the same period in 2024. The decline was primarily due to an unusually large first half 2024 level, which included a significant amount of catch-up of previously supply chain constrained revenue. Changes in foreign currency exchange rates unfavorably impacted revenues by $1.5 million.</w:t>
      </w: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June 30, 2025 vs. Three months ended June 30, 2024</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margin was 38.5% for the period ending June 30, 2025, compared with 36.9% in 2024. The 160 basis point increase was primarily related to a favorable product and customer mix.</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Six months ended June 30, 2025 vs. Six months ended June 30, 2024</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margin was 37.7% for the 2025 period, compared with 37.0% in 2024. The 70 basis point increase was primarily related to a favorable product and customer mix.</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June 30, 2025 vs. Three months ended June 30, 2024</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increased $1.5 million, or 4%, for the quarter in 2025, compared with the same period in 2024. The increase was primarily related to higher employee costs.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Six months ended June 30, 2025 vs. Six months ended June 30, 2024</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decreased $0.2 million for the first six months of 2025, compared with the same period in 2024. The decrease was primarily related to lower product development costs.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Outcomes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Outcomes segment financial results were as follows: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760" w:type="dxa"/>
            <w:vAlign w:val="bottom"/>
            <w:gridSpan w:val="4"/>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760" w:type="dxa"/>
            <w:vAlign w:val="bottom"/>
            <w:tcBorders>
              <w:bottom w:val="single" w:sz="8" w:color="auto"/>
            </w:tcBorders>
            <w:gridSpan w:val="4"/>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0" w:type="dxa"/>
            <w:vAlign w:val="bottom"/>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Outcomes Segment</w:t>
            </w:r>
          </w:p>
        </w:tc>
        <w:tc>
          <w:tcPr>
            <w:tcW w:w="10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85,067</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77,815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7,252</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32,784</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5,712</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0" w:type="dxa"/>
            <w:vAlign w:val="bottom"/>
          </w:tcPr>
          <w:p>
            <w:pPr>
              <w:spacing w:after="0"/>
              <w:rPr>
                <w:sz w:val="1"/>
                <w:szCs w:val="1"/>
                <w:color w:val="auto"/>
              </w:rPr>
            </w:pPr>
          </w:p>
        </w:tc>
      </w:tr>
      <w:tr>
        <w:trPr>
          <w:trHeight w:val="824"/>
        </w:trPr>
        <w:tc>
          <w:tcPr>
            <w:tcW w:w="3000" w:type="dxa"/>
            <w:vAlign w:val="bottom"/>
          </w:tcPr>
          <w:p>
            <w:pPr>
              <w:spacing w:after="0"/>
              <w:rPr>
                <w:sz w:val="24"/>
                <w:szCs w:val="24"/>
                <w:color w:val="auto"/>
              </w:rPr>
            </w:pPr>
          </w:p>
        </w:tc>
        <w:tc>
          <w:tcPr>
            <w:tcW w:w="2760" w:type="dxa"/>
            <w:vAlign w:val="bottom"/>
            <w:gridSpan w:val="4"/>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760" w:type="dxa"/>
            <w:vAlign w:val="bottom"/>
            <w:tcBorders>
              <w:bottom w:val="single" w:sz="8" w:color="auto"/>
            </w:tcBorders>
            <w:gridSpan w:val="4"/>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0" w:type="dxa"/>
            <w:vAlign w:val="bottom"/>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Outcomes Segment</w:t>
            </w:r>
          </w:p>
        </w:tc>
        <w:tc>
          <w:tcPr>
            <w:tcW w:w="10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163,615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146,989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16,626</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63,536</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12,174</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June 30, 2025 vs. Three months ended June 30, 2024</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2025 period, revenues increased $7.3 million, or 9%, compared with the 2024 period. This increase was driven by recurring revenue, as well as software licenses. Changes in foreign currency exchange rates favorably impacted revenues by $0.5 million.</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Six months ended June 30, 2025 vs. Six months ended June 30, 2024</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Revenues increased $16.6 million, or 11%, for the first six months of 2025, compared with 2024. This increase was driven by recurring revenue, as well as software licenses.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June 30, 2025 vs. Three months ended June 30, 2024</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margin increased to 38.5% for the second quarter of 2025, compared with 34.8% for the same period last year. The 370 basis point increase was driven by software license and services mix.</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Six months ended June 30, 2025 vs. Six months ended June 30, 2024</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Gross margin increased to 38.8% for the period ending in 2025, compared with 34.9% for last year. The 390 basis point increase was driven by software license and services mix.</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June 30, 2025 vs. Three months ended June 30, 2024</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Operating expenses for the 2025 period increased $0.7 million, or 4%, compared with the same period last year. This was primarily related to increased employee costs.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Six months ended June 30, 2025 vs. Six months ended June 30, 2024</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for the first six months of 2025 increased $1.9 million, or 6%, compared with the same period last year. This was primarily related to increased employee costs.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Unallocated</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Corporate Unallocated Expenses - Three months ended June 30, 2025 vs. Three months ended June 30, 2024</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expenses not directly associated with an operating segment are classified as Corporate unallocated. These expenses decreased $1.4 million, or 2%, for the three months ended June 30, 2025 compared with the same period in 2024. This decrease was primarily the result of a $2.4 million decrease in sales, general and administrative expenses partially offset by a $1.3 million increase in restructuring expenses.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Corporate Unallocated Expenses - Six months ended June 30, 2025 vs. Six months ended June 30, 2024</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first six months of 2025, Corporate unallocated expenses decreased $1.4 million, or 1%, compared with the 2024 period. This decrease was primarily the result of a $1.2 million decrease in sales, general and administrative expenses and a $1.5 million decrease in product development expenses partially offset by a $0.6 million increase in restructuring expenses and a $0.5 million increase in amortization of intangible assets.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Bookings and Backlog of Orders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reflects our understanding of customer's desired deployment over the next 12 months. The actual revenue recognized and timing of revenue earned from backlog will vary based on actual currency rates at the time of shipment, availability of critical supply components, and adjusted customer project timing. Backlog is not a complete measure of our future revenues as we also receive book-and-ship orders and frame contracts. Bookings and backlog vary from period to period primarily due to the timing of large project awards. In addition, annual or multi-year contracts are subject to rescheduling due to the long-term nature of the contracts. Certain of our customers have the right to cancel contracts, but we do not have a history of any significant cancellations. Beginning total backlog, plus bookings, minus revenues, will not equal ending total backlog due to miscellaneous contract adjustments, foreign currency fluctuations, and other factors. Total bookings and backlog include certain contracts with a termination for convenience clause, which will not agree to the total transaction price allocated to the remaining performance obligations disclosed in Item 1: Financial Statements (Unaudited), Note 16: Revenues included in this Quarterly Report on Form 10-Q.</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3560" w:type="dxa"/>
            <w:vAlign w:val="bottom"/>
            <w:vMerge w:val="restart"/>
          </w:tcPr>
          <w:p>
            <w:pPr>
              <w:jc w:val="center"/>
              <w:ind w:left="2739"/>
              <w:spacing w:after="0"/>
              <w:rPr>
                <w:sz w:val="20"/>
                <w:szCs w:val="20"/>
                <w:color w:val="auto"/>
              </w:rPr>
            </w:pPr>
            <w:r>
              <w:rPr>
                <w:rFonts w:ascii="Times New Roman" w:cs="Times New Roman" w:eastAsia="Times New Roman" w:hAnsi="Times New Roman"/>
                <w:sz w:val="16"/>
                <w:szCs w:val="16"/>
                <w:b w:val="1"/>
                <w:bCs w:val="1"/>
                <w:color w:val="auto"/>
              </w:rPr>
              <w:t>Quarterly</w:t>
            </w: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360" w:type="dxa"/>
            <w:vAlign w:val="bottom"/>
          </w:tcPr>
          <w:p>
            <w:pPr>
              <w:spacing w:after="0"/>
              <w:rPr>
                <w:sz w:val="16"/>
                <w:szCs w:val="16"/>
                <w:color w:val="auto"/>
              </w:rPr>
            </w:pPr>
          </w:p>
        </w:tc>
        <w:tc>
          <w:tcPr>
            <w:tcW w:w="136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0" w:type="dxa"/>
            <w:vAlign w:val="bottom"/>
          </w:tcPr>
          <w:p>
            <w:pPr>
              <w:spacing w:after="0"/>
              <w:rPr>
                <w:sz w:val="1"/>
                <w:szCs w:val="1"/>
                <w:color w:val="auto"/>
              </w:rPr>
            </w:pPr>
          </w:p>
        </w:tc>
      </w:tr>
      <w:tr>
        <w:trPr>
          <w:trHeight w:val="162"/>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35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center"/>
              <w:ind w:right="279"/>
              <w:spacing w:after="0" w:line="16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360" w:type="dxa"/>
            <w:vAlign w:val="bottom"/>
          </w:tcPr>
          <w:p>
            <w:pPr>
              <w:spacing w:after="0"/>
              <w:rPr>
                <w:sz w:val="14"/>
                <w:szCs w:val="14"/>
                <w:color w:val="auto"/>
              </w:rPr>
            </w:pPr>
          </w:p>
        </w:tc>
        <w:tc>
          <w:tcPr>
            <w:tcW w:w="1360" w:type="dxa"/>
            <w:vAlign w:val="bottom"/>
          </w:tcPr>
          <w:p>
            <w:pPr>
              <w:jc w:val="center"/>
              <w:ind w:right="199"/>
              <w:spacing w:after="0" w:line="162" w:lineRule="exact"/>
              <w:rPr>
                <w:sz w:val="20"/>
                <w:szCs w:val="20"/>
                <w:color w:val="auto"/>
              </w:rPr>
            </w:pPr>
            <w:r>
              <w:rPr>
                <w:rFonts w:ascii="Times New Roman" w:cs="Times New Roman" w:eastAsia="Times New Roman" w:hAnsi="Times New Roman"/>
                <w:sz w:val="16"/>
                <w:szCs w:val="16"/>
                <w:b w:val="1"/>
                <w:bCs w:val="1"/>
                <w:color w:val="auto"/>
              </w:rPr>
              <w:t>12-Month</w:t>
            </w:r>
          </w:p>
        </w:tc>
        <w:tc>
          <w:tcPr>
            <w:tcW w:w="0" w:type="dxa"/>
            <w:vAlign w:val="bottom"/>
          </w:tcPr>
          <w:p>
            <w:pPr>
              <w:spacing w:after="0"/>
              <w:rPr>
                <w:sz w:val="1"/>
                <w:szCs w:val="1"/>
                <w:color w:val="auto"/>
              </w:rPr>
            </w:pPr>
          </w:p>
        </w:tc>
      </w:tr>
      <w:tr>
        <w:trPr>
          <w:trHeight w:val="214"/>
        </w:trPr>
        <w:tc>
          <w:tcPr>
            <w:tcW w:w="3720" w:type="dxa"/>
            <w:vAlign w:val="bottom"/>
            <w:tcBorders>
              <w:bottom w:val="single" w:sz="8" w:color="auto"/>
            </w:tcBorders>
            <w:vMerge w:val="continue"/>
          </w:tcPr>
          <w:p>
            <w:pPr>
              <w:spacing w:after="0"/>
              <w:rPr>
                <w:sz w:val="18"/>
                <w:szCs w:val="18"/>
                <w:color w:val="auto"/>
              </w:rPr>
            </w:pPr>
          </w:p>
        </w:tc>
        <w:tc>
          <w:tcPr>
            <w:tcW w:w="3560" w:type="dxa"/>
            <w:vAlign w:val="bottom"/>
            <w:tcBorders>
              <w:bottom w:val="single" w:sz="8" w:color="auto"/>
            </w:tcBorders>
          </w:tcPr>
          <w:p>
            <w:pPr>
              <w:jc w:val="center"/>
              <w:ind w:left="2719"/>
              <w:spacing w:after="0"/>
              <w:rPr>
                <w:sz w:val="20"/>
                <w:szCs w:val="20"/>
                <w:color w:val="auto"/>
              </w:rPr>
            </w:pPr>
            <w:r>
              <w:rPr>
                <w:rFonts w:ascii="Times New Roman" w:cs="Times New Roman" w:eastAsia="Times New Roman" w:hAnsi="Times New Roman"/>
                <w:sz w:val="16"/>
                <w:szCs w:val="16"/>
                <w:b w:val="1"/>
                <w:bCs w:val="1"/>
                <w:color w:val="auto"/>
              </w:rPr>
              <w:t>Bookings</w:t>
            </w:r>
          </w:p>
        </w:tc>
        <w:tc>
          <w:tcPr>
            <w:tcW w:w="4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Backlog</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Backlog</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30, 2025</w:t>
            </w:r>
          </w:p>
        </w:tc>
        <w:tc>
          <w:tcPr>
            <w:tcW w:w="356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454</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4,514</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31, 2025</w:t>
            </w:r>
          </w:p>
        </w:tc>
        <w:tc>
          <w:tcPr>
            <w:tcW w:w="3560" w:type="dxa"/>
            <w:vAlign w:val="bottom"/>
          </w:tcPr>
          <w:p>
            <w:pPr>
              <w:spacing w:after="0"/>
              <w:rPr>
                <w:sz w:val="18"/>
                <w:szCs w:val="18"/>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530</w:t>
            </w:r>
          </w:p>
        </w:tc>
        <w:tc>
          <w:tcPr>
            <w:tcW w:w="4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4,659</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2024</w:t>
            </w:r>
          </w:p>
        </w:tc>
        <w:tc>
          <w:tcPr>
            <w:tcW w:w="35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1,403</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4,734</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30, 2024</w:t>
            </w:r>
          </w:p>
        </w:tc>
        <w:tc>
          <w:tcPr>
            <w:tcW w:w="3560" w:type="dxa"/>
            <w:vAlign w:val="bottom"/>
          </w:tcPr>
          <w:p>
            <w:pPr>
              <w:spacing w:after="0"/>
              <w:rPr>
                <w:sz w:val="18"/>
                <w:szCs w:val="18"/>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487</w:t>
            </w:r>
          </w:p>
        </w:tc>
        <w:tc>
          <w:tcPr>
            <w:tcW w:w="4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3,970</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30, 2024</w:t>
            </w:r>
          </w:p>
        </w:tc>
        <w:tc>
          <w:tcPr>
            <w:tcW w:w="35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447</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4,093</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Information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168,802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93,025</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(47,820)</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576,839</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and cash equivalents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(3,454)</w:t>
            </w:r>
          </w:p>
        </w:tc>
      </w:tr>
      <w:tr>
        <w:trPr>
          <w:trHeight w:val="234"/>
        </w:trPr>
        <w:tc>
          <w:tcPr>
            <w:tcW w:w="7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Increase in cash and cash equivalents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173,020</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618,590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were $1.22 billion at June 30, 2025, compared with $1.05 billion at December 31, 2024. The $173.0 million increase in cash and cash equivalents during the 2025 period was primarily net cash provided by operations as a result of higher earnings.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during the six months in 2025 was $168.8 million compared with $93.0 million during the same period in 2024. The increase was primarily due to increased earnings in 2025 and a net increase in working capital (current assets less current liabilities) conversion compared with the same period in 2024, partially offset by increased income tax payments in 2025.</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2025, net cash used in investing activities was $10.7 million compared with $47.8 million in 2024, resulting in a change of $37.2 million. The movement was primarily related to net cash used for the acquisition of Elpis Squared for $34.1 million in 2024, along with $3.6 million in reduced purchases of property, plant, and equipment in 2025 compared with the same period in 2024.</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during the six months in 2025 was $4.8 million, compared with net cash provided of $576.8 million for the same period in 2024. The change is due primarily to the issuance in 2024 of the convertible notes, net of total debt issuance cost, totaling $784 million, partially offset by the purchase of the capped call for the convertible offering of $109.0 million and common stock repurchased totaling $100.0 million.</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Effect of exchange rates on cash and cash equivalents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effect of exchange rates on the cash balances of currencies held in foreign denominations at June 30, 2025 was an increase of $10.1 million, compared with a decrease of $3.5 million for the same period in 2024. Our foreign currency exposure relates to non-U.S. dollar denominated balances in our international subsidiary operations.</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Free cash flow (Non-GAAP)</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168,802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rPr>
              <w:t>93,025</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(10,656)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left="579"/>
              <w:spacing w:after="0"/>
              <w:rPr>
                <w:sz w:val="20"/>
                <w:szCs w:val="20"/>
                <w:color w:val="auto"/>
              </w:rPr>
            </w:pPr>
            <w:r>
              <w:rPr>
                <w:rFonts w:ascii="Times New Roman" w:cs="Times New Roman" w:eastAsia="Times New Roman" w:hAnsi="Times New Roman"/>
                <w:sz w:val="16"/>
                <w:szCs w:val="16"/>
                <w:color w:val="auto"/>
              </w:rPr>
              <w:t>(14,255)</w:t>
            </w:r>
          </w:p>
        </w:tc>
      </w:tr>
      <w:tr>
        <w:trPr>
          <w:trHeight w:val="237"/>
        </w:trPr>
        <w:tc>
          <w:tcPr>
            <w:tcW w:w="7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Free cash flow</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158,146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rPr>
              <w:t>78,770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Free cash flow increased due to higher operating cash flow and reduced spending on property, plant, and equipment. See the cash flow discussion of operating and investing activities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off-balance sheet financing agreements or guarantees as defined by Item 303 of Regulation S-K at June 30, 2025 and December 31, 2024 that we believe could reasonably likely have a current or future effect on our financial condition,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sources of liquidity are cash flows from operations, borrowings, and the sale of our common stock. Cash flows may fluctuate and are sensitive to many factors including changes in working capital and the timing and magnitude of capital expenditures and payments of debt. Working capital, which represents current assets less current liabilities, continues to be in a net favorable position. We expect existing cash, cash flows from operations, and access to capital markets to continue to be sufficient to fund our operating activities and cash commitments, such as material capital expenditures and debt obligations, for at least the next 12 months and into the foreseeable future.</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originally entered into our credit facility on January 5, 2018 (together with the subsequent eight amendments, the 2018 credit facility). The 2018 credit facility provides a multicurrency revolving line of credit (the revolver) with a principal amount of up to $500 million. The revolver also contains a $300 million standby letter of credit sub-facility and a $50 million swingline sub-facility. As of June 30, 2025, no amount was outstanding under the 2018 credit facility, and $45.3 million was utilized by outstanding standby letters of credit, resulting in $454.7 million available for borrowing. As of June 30, 2025, $254.7 million was available for additional standby letters of credit under the letter of credit sub-facility, and no amounts were outstanding under the swingline sub-facility. Amounts borrowed under the revolver may be repaid and reborrowed until the revolver's maturity on October 18, 2026, at which time all outstanding loans together with all accrued and unpaid interest must be repaid.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However, the maturity date may be advanced to December 14, 2025 if Itron does not settle or extend a sufficient portion of the outstanding 2021 convertible notes, as detailed in the seventh amendment.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12, 2021, we closed the sale of $460 million in convertible notes (the 2021 Notes) in a private placement to qualified institutional buyers. These convertible notes do not bear regular interest, and the principal amount does not accrete. The convertible notes will mature on March 15, 2026, unless earlier repurchased, redeemed, or converted in accordance with their terms.</w:t>
      </w:r>
    </w:p>
    <w:p>
      <w:pPr>
        <w:spacing w:after="0" w:line="20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June 21, 2024, we closed the sale of $805 million in convertible notes (the 2024 Notes) in a private placement to qualified institutional buyers. These convertible notes accrue interest at a rate of 1.375% per annum, payable semi-annually in arrears on January 15 and July 15 of each year, with the first payment made January 15, 2025. The notes will mature on July 15, 2030, unless earlier repurchased, redeemed, or converted in accordance with their terms.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description of our borrowings, refer to Item 1: Financial Statements (Unaudited), Note 6: Debt included in this Quarterly Report on Form 10-Q.</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description of our letters of credit and performance bonds, and the amounts available for additional borrowings or letters of credit under our lines of credit, including the revolver that is part of our 2018 credit facility, refer to Item 1: Financial Statements (Unaudited), Note 11: Commitments and Contingencies included in this Quarterly Report on Form 10-Q.</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23, 2023, our Board of Directors approved a restructuring plan (the 2023 Projects). The 2023 Projects include activities that continue Itron's efforts to optimize its global supply chain and manufacturing operations, sales and marketing organizations, and other overhead. These projects were substantially complete as of March 31, 2025. For the six months ended June 30, 2025, we paid out $14.5 million related to all our restructuring projects. As of June 30, 2025, $31.1 million was accrued for all restructuring projects, of which $21.3 million is expected to be paid within the next 12 months and the remainder through 2027.</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details regarding our restructuring activities, refer to Item 1: Financial Statements (Unaudited), Note 12: Restructuring included in this Quarterly Report on Form 10-Q.</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Repurchase Programs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September 19, 2024, Itron's Board of Directors authorized a repurchase up to $100 million of our common stock over an 18-month period (the 2024 Stock Repurchase Program). The repurchase program is intended to comply with Rule 10b-18 promulgated under the Securities Exchange Act of 1934, as amended. We have repurchased no shares under the 2024 Stock Repurchase Program.</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Liquidity Considerations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tax credits and net operating loss carryforwards in various jurisdictions that are available to reduce cash taxes. However, utilization of tax credits and net operating losses are limited in certain jurisdictions. Based on current projections, including anticipated impacts of the Act, we expect to pay, net of refunds, approximately $29 million in U.S federal taxes, $7 million in state taxes, and $17 million in local and foreign taxes during 2025. For a discussion of our tax provision and unrecognized tax benefits, see Item 1: Financial Statements (Unaudited), Note 10: Income Taxes included in this Quarterly Report on Form 10-Q.</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2025, there was $52.8 million of cash and short-term investments held by certain foreign subsidiaries in which we are permanently reinvested for tax purposes. As a result of recent changes in U.S. tax legislation, any repatriation in the future would not result in U.S. federal income tax. Accordingly, there is no provision for U.S. deferred taxes on this cash. If this cash were repatriated to fund U.S. operations, additional withholding tax costs may be incurred. Tax is only one of the many factors that we consider in the management of global cash. Accordingly, the amount of taxes that we would need to accrue and pay to repatriate foreign cash could vary significantly.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certain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At June 30, 2025, $3.3 million of our consolidated cash balance was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General Liquidity Overview</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our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utility industries, competitive pressures, </w:t>
      </w:r>
      <w:r>
        <w:rPr>
          <w:rFonts w:ascii="Times New Roman" w:cs="Times New Roman" w:eastAsia="Times New Roman" w:hAnsi="Times New Roman"/>
          <w:sz w:val="18"/>
          <w:szCs w:val="18"/>
          <w:color w:val="222222"/>
        </w:rPr>
        <w:t>our dependence on certain key vendors and components,</w:t>
      </w:r>
      <w:r>
        <w:rPr>
          <w:rFonts w:ascii="Times New Roman" w:cs="Times New Roman" w:eastAsia="Times New Roman" w:hAnsi="Times New Roman"/>
          <w:sz w:val="18"/>
          <w:szCs w:val="18"/>
          <w:color w:val="auto"/>
        </w:rPr>
        <w:t xml:space="preserve"> changes in estimated liabilities for product warranties and/or litigation, supply constraints, future business combinations, capital market fluctuations, international risks, and other factors described under Part I, Item 1A: Risk Factors of our 2024 Annual Report, as well as Part I, Item 3: Quantitative and Qualitative Disclosures About Market Risk included in this Quarterly Report on Form 10-Q.</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(Unaudited), Note 11: Commitments and Contingencies included in this Quarterly Report on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revenues, and expenses. These estimates and assumptions are affected by management's application of accounting policies. Our critical accounting policies that require the use of estimates and assumptions were discussed in detail in the 2024 Annual Report and have not changed materially.</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Item 1: Financial Statements (Unaudited), Note 1: Summary of Significant Accounting Policies included in this Quarterly Report on Form 10-Q for further disclosures regarding new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a reconciliation of each non-GAAP measure to the most comparable financial measure prepared and presented in accordance with GAAP, please see the table captioned Reconciliations of Non-GAAP Financial Measures to the Most Directly Comparable GAAP Financial Measures.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restructuring, (gain) loss on sale of business, or acquisition and integration related expenses.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Non-GAAP operating expenses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non-GAAP operating income </w:t>
      </w:r>
      <w:r>
        <w:rPr>
          <w:rFonts w:ascii="Times New Roman" w:cs="Times New Roman" w:eastAsia="Times New Roman" w:hAnsi="Times New Roman"/>
          <w:sz w:val="18"/>
          <w:szCs w:val="18"/>
          <w:color w:val="auto"/>
        </w:rPr>
        <w:t>– We define non-GAAP operating expenses as operating expenses excluding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the amortization of intangible assets, restructuring, (gain) loss on sale of business, and acquisition and integration related expenses. We define non-GAAP operating income as operating income excluding the expenses related to the amortization of intangible assets, restructuring, (gain) loss on sale of business, and acquisition and integration related expenses.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not related to our core operating results.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Non-GAAP net income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non-GAAP diluted EPS </w:t>
      </w:r>
      <w:r>
        <w:rPr>
          <w:rFonts w:ascii="Times New Roman" w:cs="Times New Roman" w:eastAsia="Times New Roman" w:hAnsi="Times New Roman"/>
          <w:sz w:val="18"/>
          <w:szCs w:val="18"/>
          <w:color w:val="auto"/>
        </w:rPr>
        <w:t>– We define non-GAAP net income as net income attributable to Itron, Inc. excluding the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amortization of intangible assets, amortization of debt placement fees, restructuring, (gain) loss on sale of business, acquisition and integration related expenses, and the tax effect of excluding these expenses. We define non-GAAP diluted EPS as non-GAAP net income divided by diluted weighted-average shares outstanding during the period calculated on a GAAP basis and then reduced to reflect any anti-dilutive impact of the convertible notes hedge transactions.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interim periods the budgeted annual effective tax rate (AETR) is used, adjusted for any discrete items, as defined in Accounting Standards Codification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 going forward for all subsequent interim quarters in the year. We continue to assess the AETR based on latest forecast throughout the year and use the most recent AETR anytime it increases or decreases by 200 basis points or more from the prior interim period.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 We define adjusted EBITDA as net income (a) minus interest income, (b) plus interest expense, depreciation and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restructuring, (gain) loss on sale of business, acquisition and integration related expenses,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20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 We define free cash flow as net cash provided by operating activities less cash used for acquisitions of property, plant and equipment.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in the reconciliation.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Constant currency </w:t>
      </w:r>
      <w:r>
        <w:rPr>
          <w:rFonts w:ascii="Times New Roman" w:cs="Times New Roman" w:eastAsia="Times New Roman" w:hAnsi="Times New Roman"/>
          <w:sz w:val="18"/>
          <w:szCs w:val="18"/>
          <w:color w:val="auto"/>
        </w:rPr>
        <w:t>– We refer to the impact of foreign currency exchange rate fluctuations in our discussions of financial results, which references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 to the Most Directly Comparable GAAP Financial Measures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tables below reconcile the non-GAAP financial measures of operating expenses, operating income, net income, diluted EPS, adjusted EBITDA, and free cash flow with the most directly comparable GAAP financial measures.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COMPANY RECONCILIATIONS</w:t>
            </w: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EXPENSES</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GAAP operating expenses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147,205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145,813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288,392</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(8,497)</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(loss) on sale of business</w:t>
            </w:r>
          </w:p>
        </w:tc>
        <w:tc>
          <w:tcPr>
            <w:tcW w:w="10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141,392</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141,376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278,342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279,430</w:t>
            </w: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GAAP operating income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76,413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127,447</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8,497</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loss on sale of business</w:t>
            </w:r>
          </w:p>
        </w:tc>
        <w:tc>
          <w:tcPr>
            <w:tcW w:w="10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Non-GAAP operating income</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82,226</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69,084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162,495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136,409</w:t>
            </w: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NET INCOME &amp; DILUTED EPS</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GAAP net income attributable to Itron, Inc.</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68,340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103,039</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8,497</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placement fees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loss on sale of business</w:t>
            </w:r>
          </w:p>
        </w:tc>
        <w:tc>
          <w:tcPr>
            <w:tcW w:w="10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effect of non-GAAP adjustments</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Non-GAAP net income attributable to Itron, Inc.</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75,114</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56,102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145,224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113,393</w:t>
            </w: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Non-GAAP diluted EPS</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432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Non-GAAP weighted average common shares outstanding -</w:t>
            </w:r>
          </w:p>
        </w:tc>
        <w:tc>
          <w:tcPr>
            <w:tcW w:w="10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46,380</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46,526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46,276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46,441</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COMPANY RECONCILIATIONS</w:t>
            </w:r>
          </w:p>
        </w:tc>
        <w:tc>
          <w:tcPr>
            <w:tcW w:w="2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4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4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GAAP net income attributable to Itron, Inc.</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68,340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103,039</w:t>
            </w:r>
          </w:p>
        </w:tc>
      </w:tr>
      <w:tr>
        <w:trPr>
          <w:trHeight w:val="213"/>
        </w:trPr>
        <w:tc>
          <w:tcPr>
            <w:tcW w:w="44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Interest income</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(12,303)</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(8,974)</w:t>
            </w:r>
          </w:p>
        </w:tc>
      </w:tr>
      <w:tr>
        <w:trPr>
          <w:trHeight w:val="219"/>
        </w:trPr>
        <w:tc>
          <w:tcPr>
            <w:tcW w:w="4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Interest expense</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w:t>
            </w:r>
          </w:p>
        </w:tc>
      </w:tr>
      <w:tr>
        <w:trPr>
          <w:trHeight w:val="213"/>
        </w:trPr>
        <w:tc>
          <w:tcPr>
            <w:tcW w:w="44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tax provision</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28,609</w:t>
            </w:r>
          </w:p>
        </w:tc>
      </w:tr>
      <w:tr>
        <w:trPr>
          <w:trHeight w:val="219"/>
        </w:trPr>
        <w:tc>
          <w:tcPr>
            <w:tcW w:w="4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26,263</w:t>
            </w:r>
          </w:p>
        </w:tc>
      </w:tr>
      <w:tr>
        <w:trPr>
          <w:trHeight w:val="213"/>
        </w:trPr>
        <w:tc>
          <w:tcPr>
            <w:tcW w:w="44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Restructuring</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9"/>
        </w:trPr>
        <w:tc>
          <w:tcPr>
            <w:tcW w:w="4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(Gain) loss on sale of business</w:t>
            </w:r>
          </w:p>
        </w:tc>
        <w:tc>
          <w:tcPr>
            <w:tcW w:w="10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3"/>
        </w:trPr>
        <w:tc>
          <w:tcPr>
            <w:tcW w:w="44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w:t>
            </w:r>
          </w:p>
        </w:tc>
      </w:tr>
      <w:tr>
        <w:trPr>
          <w:trHeight w:val="237"/>
        </w:trPr>
        <w:tc>
          <w:tcPr>
            <w:tcW w:w="44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Adjusted EBITDA</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89,799</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77,105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177,730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153,585</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44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96,685</w:t>
            </w:r>
          </w:p>
        </w:tc>
        <w:tc>
          <w:tcPr>
            <w:tcW w:w="120" w:type="dxa"/>
            <w:vAlign w:val="bottom"/>
          </w:tcPr>
          <w:p>
            <w:pPr>
              <w:spacing w:after="0"/>
              <w:rPr>
                <w:sz w:val="18"/>
                <w:szCs w:val="18"/>
                <w:color w:val="auto"/>
              </w:rPr>
            </w:pPr>
          </w:p>
        </w:tc>
        <w:tc>
          <w:tcPr>
            <w:tcW w:w="104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51,717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168,802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93,025</w:t>
            </w:r>
          </w:p>
        </w:tc>
      </w:tr>
      <w:tr>
        <w:trPr>
          <w:trHeight w:val="216"/>
        </w:trPr>
        <w:tc>
          <w:tcPr>
            <w:tcW w:w="4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(6,017)</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(14,255)</w:t>
            </w:r>
          </w:p>
        </w:tc>
      </w:tr>
      <w:tr>
        <w:trPr>
          <w:trHeight w:val="212"/>
        </w:trPr>
        <w:tc>
          <w:tcPr>
            <w:tcW w:w="44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Free Cash Flow</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90,668</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44,607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158,146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78,770</w:t>
            </w:r>
          </w:p>
        </w:tc>
      </w:tr>
      <w:tr>
        <w:trPr>
          <w:trHeight w:val="21"/>
        </w:trPr>
        <w:tc>
          <w:tcPr>
            <w:tcW w:w="4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may be exposed to interest rate risk through variable rate debt instruments, namely the multicurrency revolving line of credit. At June 30, 2025, we had no outstanding variable rate debt.</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continually monitor and assess our interest rate risk and may institute additional interest rate swaps or other derivative instruments to manage such risk in the future if we were to have variable rate debt outstanding.</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 business in a number of countries. Revenues denominated in functional currencies other than the U.S. dollar were 25% and 24% of total revenues for the three and six months ended June 30, 2025 compared with 24% for the same respective periods in 2024. These transactions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June 30, 2025, a total of 34 contracts were offsetting our exposures from the euro, pound sterling, Indonesian rupiah, Canadian dollar, Australian dollar, and various other currencies, with notional amounts ranging from $110,738 to $22.8 million.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future periods, we may use additional derivative contracts to protect against foreign currency exchange rate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June 30, 2025,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June 30, 2025 that materially affected, or are reasonably likely to materially affect, internal control over financial reporting.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(Unaudited), Note 11: Commitments and Contingencies included in this Quarterly Report on Form 10-Q.</w:t>
      </w:r>
    </w:p>
    <w:p>
      <w:pPr>
        <w:spacing w:after="0" w:line="24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complete list of Risk Factors, refer to Part I, Item 1A: Risk Factors of our Annual Report on Form 10-K for the fiscal year ended December 31, 2024, which was filed with the Securities and Exchange Commission on February 25, 2025.</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08"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Repurchase of Equity Securities.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Maximum Dollar</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Value of Shares that</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8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8"/>
              </w:rPr>
              <w:t>May Yet Be</w:t>
            </w:r>
          </w:p>
        </w:tc>
        <w:tc>
          <w:tcPr>
            <w:tcW w:w="0" w:type="dxa"/>
            <w:vAlign w:val="bottom"/>
          </w:tcPr>
          <w:p>
            <w:pPr>
              <w:spacing w:after="0"/>
              <w:rPr>
                <w:sz w:val="1"/>
                <w:szCs w:val="1"/>
                <w:color w:val="auto"/>
              </w:rPr>
            </w:pPr>
          </w:p>
        </w:tc>
      </w:tr>
      <w:tr>
        <w:trPr>
          <w:trHeight w:val="162"/>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20" w:type="dxa"/>
            <w:vAlign w:val="bottom"/>
            <w:gridSpan w:val="3"/>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00" w:type="dxa"/>
            <w:vAlign w:val="bottom"/>
          </w:tcPr>
          <w:p>
            <w:pPr>
              <w:spacing w:after="0"/>
              <w:rPr>
                <w:sz w:val="14"/>
                <w:szCs w:val="14"/>
                <w:color w:val="auto"/>
              </w:rPr>
            </w:pPr>
          </w:p>
        </w:tc>
        <w:tc>
          <w:tcPr>
            <w:tcW w:w="16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4540" w:type="dxa"/>
            <w:vAlign w:val="bottom"/>
            <w:vMerge w:val="continue"/>
          </w:tcPr>
          <w:p>
            <w:pPr>
              <w:spacing w:after="0"/>
              <w:rPr>
                <w:sz w:val="18"/>
                <w:szCs w:val="18"/>
                <w:color w:val="auto"/>
              </w:rPr>
            </w:pPr>
          </w:p>
        </w:tc>
        <w:tc>
          <w:tcPr>
            <w:tcW w:w="182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Shares Purchased </w:t>
            </w:r>
            <w:r>
              <w:rPr>
                <w:rFonts w:ascii="Times New Roman" w:cs="Times New Roman" w:eastAsia="Times New Roman" w:hAnsi="Times New Roman"/>
                <w:sz w:val="21"/>
                <w:szCs w:val="21"/>
                <w:b w:val="1"/>
                <w:bCs w:val="1"/>
                <w:color w:val="auto"/>
                <w:vertAlign w:val="superscript"/>
              </w:rPr>
              <w:t>(1) (3)</w:t>
            </w:r>
          </w:p>
        </w:tc>
        <w:tc>
          <w:tcPr>
            <w:tcW w:w="1580" w:type="dxa"/>
            <w:vAlign w:val="bottom"/>
            <w:gridSpan w:val="2"/>
          </w:tcPr>
          <w:p>
            <w:pPr>
              <w:jc w:val="center"/>
              <w:ind w:right="220"/>
              <w:spacing w:after="0" w:line="216" w:lineRule="exact"/>
              <w:rPr>
                <w:sz w:val="20"/>
                <w:szCs w:val="20"/>
                <w:color w:val="auto"/>
              </w:rPr>
            </w:pPr>
            <w:r>
              <w:rPr>
                <w:rFonts w:ascii="Times New Roman" w:cs="Times New Roman" w:eastAsia="Times New Roman" w:hAnsi="Times New Roman"/>
                <w:sz w:val="16"/>
                <w:szCs w:val="16"/>
                <w:b w:val="1"/>
                <w:bCs w:val="1"/>
                <w:color w:val="auto"/>
                <w:w w:val="96"/>
              </w:rPr>
              <w:t xml:space="preserve">per Share </w:t>
            </w:r>
            <w:r>
              <w:rPr>
                <w:rFonts w:ascii="Times New Roman" w:cs="Times New Roman" w:eastAsia="Times New Roman" w:hAnsi="Times New Roman"/>
                <w:sz w:val="21"/>
                <w:szCs w:val="21"/>
                <w:b w:val="1"/>
                <w:bCs w:val="1"/>
                <w:color w:val="auto"/>
                <w:w w:val="96"/>
                <w:vertAlign w:val="superscript"/>
              </w:rPr>
              <w:t>(2)</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Plans or Programs</w:t>
            </w:r>
          </w:p>
        </w:tc>
        <w:tc>
          <w:tcPr>
            <w:tcW w:w="0" w:type="dxa"/>
            <w:vAlign w:val="bottom"/>
          </w:tcPr>
          <w:p>
            <w:pPr>
              <w:spacing w:after="0"/>
              <w:rPr>
                <w:sz w:val="1"/>
                <w:szCs w:val="1"/>
                <w:color w:val="auto"/>
              </w:rPr>
            </w:pPr>
          </w:p>
        </w:tc>
      </w:tr>
      <w:tr>
        <w:trPr>
          <w:trHeight w:val="208"/>
        </w:trPr>
        <w:tc>
          <w:tcPr>
            <w:tcW w:w="45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0" w:type="dxa"/>
            <w:vAlign w:val="bottom"/>
          </w:tcPr>
          <w:p>
            <w:pPr>
              <w:spacing w:after="0"/>
              <w:rPr>
                <w:sz w:val="1"/>
                <w:szCs w:val="1"/>
                <w:color w:val="auto"/>
              </w:rPr>
            </w:pPr>
          </w:p>
        </w:tc>
      </w:tr>
      <w:tr>
        <w:trPr>
          <w:trHeight w:val="21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1, 2025 through April 30, 2025</w:t>
            </w:r>
          </w:p>
        </w:tc>
        <w:tc>
          <w:tcPr>
            <w:tcW w:w="1820" w:type="dxa"/>
            <w:vAlign w:val="bottom"/>
            <w:gridSpan w:val="3"/>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1, 2025 through May 31, 2025</w:t>
            </w:r>
          </w:p>
        </w:tc>
        <w:tc>
          <w:tcPr>
            <w:tcW w:w="16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112.63</w:t>
            </w:r>
          </w:p>
        </w:tc>
        <w:tc>
          <w:tcPr>
            <w:tcW w:w="100" w:type="dxa"/>
            <w:vAlign w:val="bottom"/>
          </w:tcPr>
          <w:p>
            <w:pPr>
              <w:spacing w:after="0"/>
              <w:rPr>
                <w:sz w:val="18"/>
                <w:szCs w:val="18"/>
                <w:color w:val="auto"/>
              </w:rPr>
            </w:pPr>
          </w:p>
        </w:tc>
        <w:tc>
          <w:tcPr>
            <w:tcW w:w="16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 2025 through June 30, 2025</w:t>
            </w:r>
          </w:p>
        </w:tc>
        <w:tc>
          <w:tcPr>
            <w:tcW w:w="1820" w:type="dxa"/>
            <w:vAlign w:val="bottom"/>
            <w:gridSpan w:val="3"/>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2"/>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600" w:type="dxa"/>
            <w:vAlign w:val="bottom"/>
            <w:tcBorders>
              <w:top w:val="single" w:sz="8" w:color="auto"/>
              <w:bottom w:val="single" w:sz="8" w:color="auto"/>
            </w:tcBorders>
          </w:tcPr>
          <w:p>
            <w:pPr>
              <w:ind w:left="1360"/>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bottom w:val="single" w:sz="8" w:color="auto"/>
            </w:tcBorders>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Effective September 19, 2024, Itron's Board of Directors authorized a repurchase program of up to $100 million of Itron's common stock over an 18-month period.</w:t>
      </w:r>
    </w:p>
    <w:p>
      <w:pPr>
        <w:spacing w:after="0" w:line="50"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commissions.</w:t>
      </w:r>
    </w:p>
    <w:p>
      <w:pPr>
        <w:spacing w:after="0" w:line="50" w:lineRule="exact"/>
        <w:rPr>
          <w:rFonts w:ascii="Times New Roman" w:cs="Times New Roman" w:eastAsia="Times New Roman" w:hAnsi="Times New Roman"/>
          <w:sz w:val="21"/>
          <w:szCs w:val="21"/>
          <w:color w:val="auto"/>
          <w:vertAlign w:val="superscript"/>
        </w:rPr>
      </w:pPr>
    </w:p>
    <w:p>
      <w:pPr>
        <w:ind w:left="340" w:hanging="332"/>
        <w:spacing w:after="0" w:line="222" w:lineRule="auto"/>
        <w:tabs>
          <w:tab w:leader="none" w:pos="32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Shares purchased may include shares transferred to us by certain employees who vested in restricted stock units and used shares to pay all, or a portion of, the related taxes.</w:t>
      </w:r>
    </w:p>
    <w:p>
      <w:pPr>
        <w:spacing w:after="0" w:line="21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08"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information was required to be disclosed in a report on Form 8-K during the second quarter of 2025 that was not reported.</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Arrangements -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14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52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52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800" w:type="dxa"/>
            <w:vAlign w:val="bottom"/>
            <w:gridSpan w:val="2"/>
            <w:vMerge w:val="restart"/>
          </w:tcPr>
          <w:p>
            <w:pPr>
              <w:ind w:left="402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8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5"/>
                <w:szCs w:val="15"/>
                <w:color w:val="auto"/>
              </w:rPr>
            </w:pPr>
          </w:p>
        </w:tc>
        <w:tc>
          <w:tcPr>
            <w:tcW w:w="5240" w:type="dxa"/>
            <w:vAlign w:val="bottom"/>
            <w:tcBorders>
              <w:top w:val="single" w:sz="8" w:color="auto"/>
              <w:bottom w:val="single" w:sz="8" w:color="0000FF"/>
            </w:tcBorders>
          </w:tcPr>
          <w:p>
            <w:pPr>
              <w:ind w:left="20"/>
              <w:spacing w:after="0" w:line="182" w:lineRule="exact"/>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w:t>
            </w:r>
          </w:p>
        </w:tc>
        <w:tc>
          <w:tcPr>
            <w:tcW w:w="4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52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52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Certification Pursuant to Section 906 of the Sarbanes-Oxley Act of 2002</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1440" w:right="20" w:hanging="939"/>
        <w:spacing w:after="0" w:line="224" w:lineRule="auto"/>
        <w:tabs>
          <w:tab w:leader="none" w:pos="1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Itron, Inc.'s Quarterly Report on Form 10-Q for the quarter ended June 30, 2025 formatted in Inline XBRL (Extensible Business Reporting Language) includes: (i) the Consolidated Statements of Operations, (ii) the Consolidated Statements of Comprehensive Income (Loss), (iii) the Consolidated Balance Sheets, (iv) the Consolidated Statements of Equity, (v) the Consolidated Statements of Cash Flows, and (vi) Notes to the Consolidated Financial Statements.</w:t>
      </w:r>
    </w:p>
    <w:p>
      <w:pPr>
        <w:spacing w:after="0" w:line="159" w:lineRule="exact"/>
        <w:rPr>
          <w:sz w:val="20"/>
          <w:szCs w:val="20"/>
          <w:color w:val="auto"/>
        </w:rPr>
      </w:pPr>
    </w:p>
    <w:p>
      <w:pPr>
        <w:ind w:left="1440" w:hanging="939"/>
        <w:spacing w:after="0"/>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ITRON, INC.</w:t>
            </w:r>
          </w:p>
        </w:tc>
      </w:tr>
      <w:tr>
        <w:trPr>
          <w:trHeight w:val="486"/>
        </w:trPr>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July 31, 2025</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By:</w:t>
            </w:r>
          </w:p>
        </w:tc>
        <w:tc>
          <w:tcPr>
            <w:tcW w:w="6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JOAN S. HOOPER</w:t>
            </w:r>
          </w:p>
        </w:tc>
      </w:tr>
      <w:tr>
        <w:trPr>
          <w:trHeight w:val="214"/>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80" w:type="dxa"/>
            <w:vAlign w:val="bottom"/>
          </w:tcPr>
          <w:p>
            <w:pPr>
              <w:spacing w:after="0"/>
              <w:rPr>
                <w:sz w:val="18"/>
                <w:szCs w:val="18"/>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Joan S. Hooper</w:t>
            </w:r>
          </w:p>
        </w:tc>
      </w:tr>
      <w:tr>
        <w:trPr>
          <w:trHeight w:val="238"/>
        </w:trPr>
        <w:tc>
          <w:tcPr>
            <w:tcW w:w="3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L. Deitrich, certify that:</w:t>
      </w:r>
    </w:p>
    <w:p>
      <w:pPr>
        <w:spacing w:after="0" w:line="25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Itron,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ITRON, INC.</w:t>
      </w:r>
    </w:p>
    <w:p>
      <w:pPr>
        <w:spacing w:after="0" w:line="131" w:lineRule="exact"/>
        <w:rPr>
          <w:sz w:val="20"/>
          <w:szCs w:val="20"/>
          <w:color w:val="auto"/>
        </w:rPr>
      </w:pPr>
    </w:p>
    <w:p>
      <w:pPr>
        <w:ind w:left="7600"/>
        <w:spacing w:after="0"/>
        <w:tabs>
          <w:tab w:leader="none" w:pos="8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17145</wp:posOffset>
            </wp:positionV>
            <wp:extent cx="20574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8"/>
          <w:szCs w:val="18"/>
          <w:b w:val="1"/>
          <w:bCs w:val="1"/>
          <w:color w:val="auto"/>
        </w:rPr>
        <w:t>Thomas L. Deitrich</w:t>
      </w:r>
    </w:p>
    <w:p>
      <w:pPr>
        <w:jc w:val="center"/>
        <w:ind w:left="79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2025</w:t>
      </w:r>
    </w:p>
    <w:p>
      <w:pPr>
        <w:sectPr>
          <w:pgSz w:w="11900" w:h="16838" w:orient="portrait"/>
          <w:cols w:equalWidth="0" w:num="1">
            <w:col w:w="11240"/>
          </w:cols>
          <w:pgMar w:left="320" w:top="11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Joan S. Hooper, certify that:</w:t>
      </w:r>
    </w:p>
    <w:p>
      <w:pPr>
        <w:spacing w:after="0" w:line="25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Itron,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6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6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ITRON, INC.</w:t>
      </w:r>
    </w:p>
    <w:p>
      <w:pPr>
        <w:spacing w:after="0" w:line="131" w:lineRule="exact"/>
        <w:rPr>
          <w:sz w:val="20"/>
          <w:szCs w:val="20"/>
          <w:color w:val="auto"/>
        </w:rPr>
      </w:pPr>
    </w:p>
    <w:p>
      <w:pPr>
        <w:ind w:left="5400"/>
        <w:spacing w:after="0"/>
        <w:tabs>
          <w:tab w:leader="none" w:pos="7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2025</w:t>
      </w:r>
    </w:p>
    <w:p>
      <w:pPr>
        <w:sectPr>
          <w:pgSz w:w="11900" w:h="16838" w:orient="portrait"/>
          <w:cols w:equalWidth="0" w:num="1">
            <w:col w:w="11240"/>
          </w:cols>
          <w:pgMar w:left="320" w:top="11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Quarterly Report of Itron, Inc. (the Company) on Form 10-Q for the quarterly period ended June 30, 2025 (the Report) for the purpose of complying with Rule 13a-14(b) or Rule 15d-14(b) of the Securities Exchange Act of 1934 and Section 1350 of Chapter 63 of Title 18 of the United States Code.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Thomas L. Deitrich, the Chief Executive Officer, and Joan S. Hooper, the Chief Financial Officer, of the Company each certifies that to the best of his or her knowledge:</w:t>
      </w:r>
    </w:p>
    <w:p>
      <w:pPr>
        <w:spacing w:after="0" w:line="162" w:lineRule="exact"/>
        <w:rPr>
          <w:sz w:val="20"/>
          <w:szCs w:val="20"/>
          <w:color w:val="auto"/>
        </w:rPr>
      </w:pPr>
    </w:p>
    <w:p>
      <w:pPr>
        <w:ind w:left="840" w:hanging="387"/>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60" w:right="740" w:hanging="407"/>
        <w:spacing w:after="0" w:line="282" w:lineRule="auto"/>
        <w:tabs>
          <w:tab w:leader="none" w:pos="84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/s/ THOMAS L. DEITRICH</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31, 2025</w:t>
            </w:r>
          </w:p>
        </w:tc>
        <w:tc>
          <w:tcPr>
            <w:tcW w:w="0" w:type="dxa"/>
            <w:vAlign w:val="bottom"/>
          </w:tcPr>
          <w:p>
            <w:pPr>
              <w:spacing w:after="0"/>
              <w:rPr>
                <w:sz w:val="1"/>
                <w:szCs w:val="1"/>
                <w:color w:val="auto"/>
              </w:rPr>
            </w:pPr>
          </w:p>
        </w:tc>
      </w:tr>
      <w:tr>
        <w:trPr>
          <w:trHeight w:val="169"/>
        </w:trPr>
        <w:tc>
          <w:tcPr>
            <w:tcW w:w="54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Thomas L. Deitrich</w:t>
            </w:r>
          </w:p>
        </w:tc>
        <w:tc>
          <w:tcPr>
            <w:tcW w:w="540" w:type="dxa"/>
            <w:vAlign w:val="bottom"/>
          </w:tcPr>
          <w:p>
            <w:pPr>
              <w:spacing w:after="0"/>
              <w:rPr>
                <w:sz w:val="14"/>
                <w:szCs w:val="14"/>
                <w:color w:val="auto"/>
              </w:rPr>
            </w:pPr>
          </w:p>
        </w:tc>
        <w:tc>
          <w:tcPr>
            <w:tcW w:w="33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43"/>
        </w:trPr>
        <w:tc>
          <w:tcPr>
            <w:tcW w:w="60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3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/s/ JOAN S. HOOPER</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31, 2025</w:t>
            </w:r>
          </w:p>
        </w:tc>
        <w:tc>
          <w:tcPr>
            <w:tcW w:w="0" w:type="dxa"/>
            <w:vAlign w:val="bottom"/>
          </w:tcPr>
          <w:p>
            <w:pPr>
              <w:spacing w:after="0"/>
              <w:rPr>
                <w:sz w:val="1"/>
                <w:szCs w:val="1"/>
                <w:color w:val="auto"/>
              </w:rPr>
            </w:pPr>
          </w:p>
        </w:tc>
      </w:tr>
      <w:tr>
        <w:trPr>
          <w:trHeight w:val="169"/>
        </w:trPr>
        <w:tc>
          <w:tcPr>
            <w:tcW w:w="54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Joan S. Hooper</w:t>
            </w:r>
          </w:p>
        </w:tc>
        <w:tc>
          <w:tcPr>
            <w:tcW w:w="540" w:type="dxa"/>
            <w:vAlign w:val="bottom"/>
          </w:tcPr>
          <w:p>
            <w:pPr>
              <w:spacing w:after="0"/>
              <w:rPr>
                <w:sz w:val="14"/>
                <w:szCs w:val="14"/>
                <w:color w:val="auto"/>
              </w:rPr>
            </w:pPr>
          </w:p>
        </w:tc>
        <w:tc>
          <w:tcPr>
            <w:tcW w:w="33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49"/>
        </w:trPr>
        <w:tc>
          <w:tcPr>
            <w:tcW w:w="60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Chief Financial Officer</w:t>
            </w:r>
          </w:p>
        </w:tc>
        <w:tc>
          <w:tcPr>
            <w:tcW w:w="3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6020" w:type="dxa"/>
            <w:vAlign w:val="bottom"/>
            <w:gridSpan w:val="2"/>
            <w:vMerge w:val="continue"/>
          </w:tcPr>
          <w:p>
            <w:pPr>
              <w:spacing w:after="0"/>
              <w:rPr>
                <w:sz w:val="7"/>
                <w:szCs w:val="7"/>
                <w:color w:val="auto"/>
              </w:rPr>
            </w:pPr>
          </w:p>
        </w:tc>
        <w:tc>
          <w:tcPr>
            <w:tcW w:w="3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decimal"/>
      <w:start w:val="101"/>
    </w:lvl>
  </w:abstractNum>
  <w:abstractNum w:abstractNumId="11">
    <w:nsid w:val="109CF92E"/>
    <w:multiLevelType w:val="hybridMultilevel"/>
    <w:lvl w:ilvl="0">
      <w:lvlJc w:val="left"/>
      <w:lvlText w:val="%1"/>
      <w:numFmt w:val="decimal"/>
      <w:start w:val="104"/>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2025-07-31T11:10:06Z</dcterms:created>
  <dcterms:modified xsi:type="dcterms:W3CDTF">2025-07-31T11:10:06Z</dcterms:modified>
</cp:coreProperties>
</file>