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509270</wp:posOffset>
            </wp:positionV>
            <wp:extent cx="70662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628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-302895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88" w:lineRule="exact"/>
        <w:rPr>
          <w:sz w:val="24"/>
          <w:szCs w:val="24"/>
          <w:color w:val="auto"/>
        </w:rPr>
      </w:pPr>
    </w:p>
    <w:p>
      <w:pPr>
        <w:ind w:left="660" w:right="2140" w:hanging="625"/>
        <w:spacing w:after="0" w:line="276" w:lineRule="auto"/>
        <w:tabs>
          <w:tab w:leader="none" w:pos="49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500" w:hanging="307"/>
        <w:spacing w:after="0" w:line="212" w:lineRule="auto"/>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23"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000-22418</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855" w:right="239" w:bottom="1440" w:gutter="0" w:footer="0" w:header="0"/>
        </w:sectPr>
      </w:pPr>
    </w:p>
    <w:p>
      <w:pPr>
        <w:spacing w:after="0" w:line="152"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700" w:space="720"/>
            <w:col w:w="3000"/>
          </w:cols>
          <w:pgMar w:left="240" w:top="855" w:right="239" w:bottom="1440" w:gutter="0" w:footer="0" w:header="0"/>
          <w:type w:val="continuous"/>
        </w:sectPr>
      </w:pPr>
    </w:p>
    <w:p>
      <w:pPr>
        <w:ind w:left="204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560" w:space="720"/>
            <w:col w:w="4140"/>
          </w:cols>
          <w:pgMar w:left="240" w:top="855"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5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37"/>
        </w:trPr>
        <w:tc>
          <w:tcPr>
            <w:tcW w:w="5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no par value</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4" w:lineRule="exact"/>
        <w:rPr>
          <w:sz w:val="24"/>
          <w:szCs w:val="24"/>
          <w:color w:val="auto"/>
        </w:rPr>
      </w:pPr>
    </w:p>
    <w:p>
      <w:pPr>
        <w:ind w:left="378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32" w:lineRule="exact"/>
        <w:rPr>
          <w:sz w:val="24"/>
          <w:szCs w:val="24"/>
          <w:color w:val="auto"/>
        </w:rPr>
      </w:pPr>
    </w:p>
    <w:p>
      <w:pPr>
        <w:ind w:right="366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9"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63" w:lineRule="exact"/>
        <w:rPr>
          <w:sz w:val="24"/>
          <w:szCs w:val="24"/>
          <w:color w:val="auto"/>
        </w:rPr>
      </w:pPr>
    </w:p>
    <w:tbl>
      <w:tblPr>
        <w:tblLayout w:type="fixed"/>
        <w:tblInd w:w="580" w:type="dxa"/>
        <w:tblCellMar>
          <w:top w:w="0" w:type="dxa"/>
          <w:left w:w="0" w:type="dxa"/>
          <w:bottom w:w="0" w:type="dxa"/>
          <w:right w:w="0" w:type="dxa"/>
        </w:tblCellMar>
      </w:tblPr>
      <w:tr>
        <w:trPr>
          <w:trHeight w:val="226"/>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0" w:type="dxa"/>
            <w:vAlign w:val="bottom"/>
          </w:tcPr>
          <w:p>
            <w:pPr>
              <w:ind w:left="400"/>
              <w:spacing w:after="0"/>
              <w:rPr>
                <w:sz w:val="20"/>
                <w:szCs w:val="20"/>
                <w:color w:val="auto"/>
              </w:rPr>
            </w:pPr>
            <w:r>
              <w:rPr>
                <w:rFonts w:ascii="Arial" w:cs="Arial" w:eastAsia="Arial" w:hAnsi="Arial"/>
                <w:sz w:val="14"/>
                <w:szCs w:val="14"/>
                <w:color w:val="auto"/>
              </w:rPr>
              <w:t>x</w:t>
            </w:r>
          </w:p>
        </w:tc>
        <w:tc>
          <w:tcPr>
            <w:tcW w:w="6600" w:type="dxa"/>
            <w:vAlign w:val="bottom"/>
          </w:tcPr>
          <w:p>
            <w:pPr>
              <w:ind w:left="450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3"/>
        </w:trPr>
        <w:tc>
          <w:tcPr>
            <w:tcW w:w="1700" w:type="dxa"/>
            <w:vAlign w:val="bottom"/>
            <w:vMerge w:val="restart"/>
          </w:tcPr>
          <w:p>
            <w:pPr>
              <w:spacing w:after="0"/>
              <w:rPr>
                <w:sz w:val="20"/>
                <w:szCs w:val="20"/>
                <w:color w:val="auto"/>
              </w:rPr>
            </w:pPr>
            <w:r>
              <w:rPr>
                <w:rFonts w:ascii="Arial" w:cs="Arial" w:eastAsia="Arial" w:hAnsi="Arial"/>
                <w:sz w:val="14"/>
                <w:szCs w:val="14"/>
                <w:color w:val="auto"/>
              </w:rPr>
              <w:t>Non-accelerated filer</w:t>
            </w:r>
          </w:p>
        </w:tc>
        <w:tc>
          <w:tcPr>
            <w:tcW w:w="520" w:type="dxa"/>
            <w:vAlign w:val="bottom"/>
          </w:tcPr>
          <w:p>
            <w:pPr>
              <w:ind w:left="400"/>
              <w:spacing w:after="0"/>
              <w:rPr>
                <w:sz w:val="20"/>
                <w:szCs w:val="20"/>
                <w:color w:val="auto"/>
              </w:rPr>
            </w:pPr>
            <w:r>
              <w:rPr>
                <w:rFonts w:ascii="Arial" w:cs="Arial" w:eastAsia="Arial" w:hAnsi="Arial"/>
                <w:sz w:val="14"/>
                <w:szCs w:val="14"/>
                <w:color w:val="auto"/>
              </w:rPr>
              <w:t>o</w:t>
            </w:r>
          </w:p>
        </w:tc>
        <w:tc>
          <w:tcPr>
            <w:tcW w:w="6600" w:type="dxa"/>
            <w:vAlign w:val="bottom"/>
          </w:tcPr>
          <w:p>
            <w:pPr>
              <w:ind w:left="20"/>
              <w:spacing w:after="0"/>
              <w:rPr>
                <w:sz w:val="20"/>
                <w:szCs w:val="20"/>
                <w:color w:val="auto"/>
              </w:rPr>
            </w:pPr>
            <w:r>
              <w:rPr>
                <w:rFonts w:ascii="Arial" w:cs="Arial" w:eastAsia="Arial" w:hAnsi="Arial"/>
                <w:sz w:val="14"/>
                <w:szCs w:val="14"/>
                <w:color w:val="auto"/>
              </w:rPr>
              <w:t>(Do not check if a smaller reporting company)</w:t>
            </w:r>
          </w:p>
        </w:tc>
        <w:tc>
          <w:tcPr>
            <w:tcW w:w="640" w:type="dxa"/>
            <w:vAlign w:val="bottom"/>
            <w:vMerge w:val="restart"/>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82"/>
        </w:trPr>
        <w:tc>
          <w:tcPr>
            <w:tcW w:w="17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0" w:type="dxa"/>
            <w:vAlign w:val="bottom"/>
          </w:tcPr>
          <w:p>
            <w:pPr>
              <w:ind w:left="4500"/>
              <w:spacing w:after="0"/>
              <w:rPr>
                <w:sz w:val="20"/>
                <w:szCs w:val="20"/>
                <w:color w:val="auto"/>
              </w:rPr>
            </w:pPr>
            <w:r>
              <w:rPr>
                <w:rFonts w:ascii="Arial" w:cs="Arial" w:eastAsia="Arial" w:hAnsi="Arial"/>
                <w:sz w:val="14"/>
                <w:szCs w:val="14"/>
                <w:color w:val="auto"/>
              </w:rPr>
              <w:t>Smaller reporting company</w:t>
            </w: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8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June 30, 2015 (the last business day of the registrant’s most recently completed second fiscal quarter), the aggregate market value of the shares of common stock held by non-affiliates of the registrant (based on the closing price for the common stock on the NASDAQ Global Select Market) was $1,309,640,099.</w:t>
      </w:r>
    </w:p>
    <w:p>
      <w:pPr>
        <w:spacing w:after="0" w:line="12" w:lineRule="exact"/>
        <w:rPr>
          <w:sz w:val="24"/>
          <w:szCs w:val="24"/>
          <w:color w:val="auto"/>
        </w:rPr>
      </w:pPr>
    </w:p>
    <w:p>
      <w:pPr>
        <w:ind w:left="3960" w:right="1740" w:hanging="3950"/>
        <w:spacing w:after="0" w:line="353" w:lineRule="auto"/>
        <w:rPr>
          <w:sz w:val="20"/>
          <w:szCs w:val="20"/>
          <w:color w:val="auto"/>
        </w:rPr>
      </w:pPr>
      <w:r>
        <w:rPr>
          <w:rFonts w:ascii="Arial" w:cs="Arial" w:eastAsia="Arial" w:hAnsi="Arial"/>
          <w:sz w:val="14"/>
          <w:szCs w:val="14"/>
          <w:color w:val="auto"/>
        </w:rPr>
        <w:t>As of May 31, 2016 there were outstanding 38,243,435 shares of the registrant’s common stock, no par value, which is the only class of common stock of the registrant. 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156845</wp:posOffset>
            </wp:positionV>
            <wp:extent cx="7237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71120</wp:posOffset>
            </wp:positionV>
            <wp:extent cx="7237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85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3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gridSpan w:val="14"/>
          </w:tcPr>
          <w:p>
            <w:pPr>
              <w:jc w:val="center"/>
              <w:ind w:right="3620"/>
              <w:spacing w:after="0"/>
              <w:rPr>
                <w:sz w:val="20"/>
                <w:szCs w:val="20"/>
                <w:color w:val="auto"/>
              </w:rPr>
            </w:pPr>
            <w:r>
              <w:rPr>
                <w:rFonts w:ascii="Arial" w:cs="Arial" w:eastAsia="Arial" w:hAnsi="Arial"/>
                <w:sz w:val="18"/>
                <w:szCs w:val="18"/>
                <w:b w:val="1"/>
                <w:bCs w:val="1"/>
                <w:color w:val="auto"/>
                <w:w w:val="96"/>
              </w:rPr>
              <w:t>Itron, Inc.</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gridSpan w:val="16"/>
          </w:tcPr>
          <w:p>
            <w:pPr>
              <w:jc w:val="center"/>
              <w:ind w:right="3320"/>
              <w:spacing w:after="0"/>
              <w:rPr>
                <w:sz w:val="20"/>
                <w:szCs w:val="20"/>
                <w:color w:val="auto"/>
              </w:rPr>
            </w:pPr>
            <w:r>
              <w:rPr>
                <w:rFonts w:ascii="Arial" w:cs="Arial" w:eastAsia="Arial" w:hAnsi="Arial"/>
                <w:sz w:val="18"/>
                <w:szCs w:val="18"/>
                <w:b w:val="1"/>
                <w:bCs w:val="1"/>
                <w:color w:val="auto"/>
                <w:w w:val="89"/>
              </w:rPr>
              <w:t>Table of Contents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4"/>
          </w:tcPr>
          <w:p>
            <w:pPr>
              <w:ind w:left="4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1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1740" w:type="dxa"/>
            <w:vAlign w:val="bottom"/>
            <w:gridSpan w:val="3"/>
            <w:vMerge w:val="continue"/>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1:</w:t>
            </w:r>
          </w:p>
        </w:tc>
        <w:tc>
          <w:tcPr>
            <w:tcW w:w="766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700" w:type="dxa"/>
            <w:vAlign w:val="bottom"/>
            <w:gridSpan w:val="2"/>
          </w:tcPr>
          <w:p>
            <w:pPr>
              <w:jc w:val="center"/>
              <w:ind w:left="51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1A:</w:t>
            </w:r>
          </w:p>
        </w:tc>
        <w:tc>
          <w:tcPr>
            <w:tcW w:w="7660" w:type="dxa"/>
            <w:vAlign w:val="bottom"/>
            <w:gridSpan w:val="2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700" w:type="dxa"/>
            <w:vAlign w:val="bottom"/>
            <w:gridSpan w:val="2"/>
          </w:tcPr>
          <w:p>
            <w:pPr>
              <w:jc w:val="center"/>
              <w:ind w:left="51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6</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1B:</w:t>
            </w:r>
          </w:p>
        </w:tc>
        <w:tc>
          <w:tcPr>
            <w:tcW w:w="2800" w:type="dxa"/>
            <w:vAlign w:val="bottom"/>
            <w:gridSpan w:val="11"/>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UNRESOLVED STAFF COMMENTS</w:t>
              </w:r>
            </w:hyperlink>
          </w:p>
        </w:tc>
        <w:tc>
          <w:tcPr>
            <w:tcW w:w="4860" w:type="dxa"/>
            <w:vAlign w:val="bottom"/>
            <w:gridSpan w:val="17"/>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2:</w:t>
            </w:r>
          </w:p>
        </w:tc>
        <w:tc>
          <w:tcPr>
            <w:tcW w:w="2800" w:type="dxa"/>
            <w:vAlign w:val="bottom"/>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4860" w:type="dxa"/>
            <w:vAlign w:val="bottom"/>
            <w:gridSpan w:val="17"/>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3:</w:t>
            </w:r>
          </w:p>
        </w:tc>
        <w:tc>
          <w:tcPr>
            <w:tcW w:w="7660" w:type="dxa"/>
            <w:vAlign w:val="bottom"/>
            <w:gridSpan w:val="2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4:</w:t>
            </w:r>
          </w:p>
        </w:tc>
        <w:tc>
          <w:tcPr>
            <w:tcW w:w="7660" w:type="dxa"/>
            <w:vAlign w:val="bottom"/>
            <w:gridSpan w:val="2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38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5:</w:t>
            </w:r>
          </w:p>
        </w:tc>
        <w:tc>
          <w:tcPr>
            <w:tcW w:w="760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MARKET FOR REGISTRANT’S COMMON EQUITY, RELATED STOCKHOLDER MATTERS AND</w:t>
              </w:r>
            </w:hyperlink>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60" w:type="dxa"/>
            <w:vAlign w:val="bottom"/>
            <w:gridSpan w:val="16"/>
          </w:tcPr>
          <w:p>
            <w:pPr>
              <w:spacing w:after="0" w:line="196" w:lineRule="exact"/>
              <w:rPr>
                <w:rFonts w:ascii="Arial" w:cs="Arial" w:eastAsia="Arial" w:hAnsi="Arial"/>
                <w:sz w:val="18"/>
                <w:szCs w:val="18"/>
                <w:color w:val="0000EE"/>
                <w:w w:val="93"/>
              </w:rPr>
            </w:pPr>
            <w:hyperlink w:anchor="page19">
              <w:r>
                <w:rPr>
                  <w:rFonts w:ascii="Arial" w:cs="Arial" w:eastAsia="Arial" w:hAnsi="Arial"/>
                  <w:sz w:val="18"/>
                  <w:szCs w:val="18"/>
                  <w:color w:val="0000EE"/>
                  <w:w w:val="93"/>
                </w:rPr>
                <w:t>ISSUER PURCHASES OF EQUITY SECURITIES</w:t>
              </w:r>
            </w:hyperlink>
          </w:p>
        </w:tc>
        <w:tc>
          <w:tcPr>
            <w:tcW w:w="3900" w:type="dxa"/>
            <w:vAlign w:val="bottom"/>
            <w:gridSpan w:val="12"/>
          </w:tcPr>
          <w:p>
            <w:pPr>
              <w:spacing w:after="0"/>
              <w:rPr>
                <w:sz w:val="17"/>
                <w:szCs w:val="17"/>
                <w:color w:val="auto"/>
              </w:rPr>
            </w:pPr>
          </w:p>
        </w:tc>
        <w:tc>
          <w:tcPr>
            <w:tcW w:w="700" w:type="dxa"/>
            <w:vAlign w:val="bottom"/>
            <w:gridSpan w:val="2"/>
          </w:tcPr>
          <w:p>
            <w:pPr>
              <w:jc w:val="center"/>
              <w:ind w:left="430"/>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6:</w:t>
            </w:r>
          </w:p>
        </w:tc>
        <w:tc>
          <w:tcPr>
            <w:tcW w:w="3840" w:type="dxa"/>
            <w:vAlign w:val="bottom"/>
            <w:gridSpan w:val="17"/>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SELECTED CONSOLIDATED FINANCIAL DATA</w:t>
              </w:r>
            </w:hyperlink>
          </w:p>
        </w:tc>
        <w:tc>
          <w:tcPr>
            <w:tcW w:w="3820" w:type="dxa"/>
            <w:vAlign w:val="bottom"/>
            <w:gridSpan w:val="11"/>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7:</w:t>
            </w:r>
          </w:p>
        </w:tc>
        <w:tc>
          <w:tcPr>
            <w:tcW w:w="750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22">
              <w:r>
                <w:rPr>
                  <w:rFonts w:ascii="Arial" w:cs="Arial" w:eastAsia="Arial" w:hAnsi="Arial"/>
                  <w:sz w:val="18"/>
                  <w:szCs w:val="18"/>
                  <w:color w:val="0000EE"/>
                  <w:w w:val="97"/>
                </w:rPr>
                <w:t>MANAGEMENT’S DISCUSSION AND ANALYSIS OF FINANCIAL CONDITION AND RESULTS</w:t>
              </w:r>
            </w:hyperlink>
          </w:p>
        </w:tc>
        <w:tc>
          <w:tcPr>
            <w:tcW w:w="16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gridSpan w:val="4"/>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OF OPERATIONS</w:t>
              </w:r>
            </w:hyperlink>
          </w:p>
        </w:tc>
        <w:tc>
          <w:tcPr>
            <w:tcW w:w="6300" w:type="dxa"/>
            <w:vAlign w:val="bottom"/>
            <w:gridSpan w:val="24"/>
          </w:tcPr>
          <w:p>
            <w:pPr>
              <w:spacing w:after="0"/>
              <w:rPr>
                <w:sz w:val="17"/>
                <w:szCs w:val="17"/>
                <w:color w:val="auto"/>
              </w:rPr>
            </w:pPr>
          </w:p>
        </w:tc>
        <w:tc>
          <w:tcPr>
            <w:tcW w:w="700" w:type="dxa"/>
            <w:vAlign w:val="bottom"/>
            <w:gridSpan w:val="2"/>
          </w:tcPr>
          <w:p>
            <w:pPr>
              <w:jc w:val="center"/>
              <w:ind w:left="430"/>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7A:</w:t>
            </w:r>
          </w:p>
        </w:tc>
        <w:tc>
          <w:tcPr>
            <w:tcW w:w="6140" w:type="dxa"/>
            <w:vAlign w:val="bottom"/>
            <w:gridSpan w:val="22"/>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QUANTITATIVE AND QUALITATIVE DISCLOSURES ABOUT MARKET RISK</w:t>
              </w:r>
            </w:hyperlink>
          </w:p>
        </w:tc>
        <w:tc>
          <w:tcPr>
            <w:tcW w:w="1520" w:type="dxa"/>
            <w:vAlign w:val="bottom"/>
            <w:gridSpan w:val="6"/>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8:</w:t>
            </w:r>
          </w:p>
        </w:tc>
        <w:tc>
          <w:tcPr>
            <w:tcW w:w="4660" w:type="dxa"/>
            <w:vAlign w:val="bottom"/>
            <w:gridSpan w:val="20"/>
          </w:tcPr>
          <w:p>
            <w:pPr>
              <w:spacing w:after="0"/>
              <w:rPr>
                <w:rFonts w:ascii="Arial" w:cs="Arial" w:eastAsia="Arial" w:hAnsi="Arial"/>
                <w:sz w:val="18"/>
                <w:szCs w:val="18"/>
                <w:color w:val="0000EE"/>
                <w:w w:val="96"/>
              </w:rPr>
            </w:pPr>
            <w:hyperlink w:anchor="page45">
              <w:r>
                <w:rPr>
                  <w:rFonts w:ascii="Arial" w:cs="Arial" w:eastAsia="Arial" w:hAnsi="Arial"/>
                  <w:sz w:val="18"/>
                  <w:szCs w:val="18"/>
                  <w:color w:val="0000EE"/>
                  <w:w w:val="96"/>
                </w:rPr>
                <w:t>FINANCIAL STATEMENTS AND SUPPLEMENTARY DATA</w:t>
              </w:r>
            </w:hyperlink>
          </w:p>
        </w:tc>
        <w:tc>
          <w:tcPr>
            <w:tcW w:w="1480" w:type="dxa"/>
            <w:vAlign w:val="bottom"/>
            <w:gridSpan w:val="2"/>
          </w:tcPr>
          <w:p>
            <w:pPr>
              <w:spacing w:after="0"/>
              <w:rPr>
                <w:sz w:val="21"/>
                <w:szCs w:val="21"/>
                <w:color w:val="auto"/>
              </w:rPr>
            </w:pPr>
          </w:p>
        </w:tc>
        <w:tc>
          <w:tcPr>
            <w:tcW w:w="1520" w:type="dxa"/>
            <w:vAlign w:val="bottom"/>
            <w:gridSpan w:val="6"/>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6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Statements of Operations</w:t>
              </w:r>
            </w:hyperlink>
          </w:p>
        </w:tc>
        <w:tc>
          <w:tcPr>
            <w:tcW w:w="3000" w:type="dxa"/>
            <w:vAlign w:val="bottom"/>
            <w:gridSpan w:val="8"/>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40" w:type="dxa"/>
            <w:vAlign w:val="bottom"/>
            <w:gridSpan w:val="19"/>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Comprehensive Income (Loss)</w:t>
              </w:r>
            </w:hyperlink>
          </w:p>
        </w:tc>
        <w:tc>
          <w:tcPr>
            <w:tcW w:w="3420" w:type="dxa"/>
            <w:vAlign w:val="bottom"/>
            <w:gridSpan w:val="9"/>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4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Balance Sheets</w:t>
              </w:r>
            </w:hyperlink>
          </w:p>
        </w:tc>
        <w:tc>
          <w:tcPr>
            <w:tcW w:w="3420" w:type="dxa"/>
            <w:vAlign w:val="bottom"/>
            <w:gridSpan w:val="9"/>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40" w:type="dxa"/>
            <w:vAlign w:val="bottom"/>
            <w:gridSpan w:val="9"/>
          </w:tcPr>
          <w:p>
            <w:pPr>
              <w:spacing w:after="0"/>
              <w:rPr>
                <w:rFonts w:ascii="Arial" w:cs="Arial" w:eastAsia="Arial" w:hAnsi="Arial"/>
                <w:sz w:val="18"/>
                <w:szCs w:val="18"/>
                <w:color w:val="0000EE"/>
                <w:w w:val="86"/>
              </w:rPr>
            </w:pPr>
            <w:hyperlink w:anchor="page50">
              <w:r>
                <w:rPr>
                  <w:rFonts w:ascii="Arial" w:cs="Arial" w:eastAsia="Arial" w:hAnsi="Arial"/>
                  <w:sz w:val="18"/>
                  <w:szCs w:val="18"/>
                  <w:color w:val="0000EE"/>
                  <w:w w:val="86"/>
                </w:rPr>
                <w:t>Consolidated Statements of Equity</w:t>
              </w:r>
            </w:hyperlink>
          </w:p>
        </w:tc>
        <w:tc>
          <w:tcPr>
            <w:tcW w:w="5220" w:type="dxa"/>
            <w:vAlign w:val="bottom"/>
            <w:gridSpan w:val="19"/>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60" w:type="dxa"/>
            <w:vAlign w:val="bottom"/>
            <w:gridSpan w:val="2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Cash Flows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60" w:type="dxa"/>
            <w:vAlign w:val="bottom"/>
            <w:gridSpan w:val="2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Notes to Consolidated Financial Statements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9:</w:t>
            </w:r>
          </w:p>
        </w:tc>
        <w:tc>
          <w:tcPr>
            <w:tcW w:w="7660" w:type="dxa"/>
            <w:vAlign w:val="bottom"/>
            <w:gridSpan w:val="28"/>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CHANGES IN AND DISAGREEMENTS WITH ACCOUNTANTS ON ACCOUNTING AND</w:t>
              </w:r>
            </w:hyperlink>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2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121">
              <w:r>
                <w:rPr>
                  <w:rFonts w:ascii="Arial" w:cs="Arial" w:eastAsia="Arial" w:hAnsi="Arial"/>
                  <w:sz w:val="18"/>
                  <w:szCs w:val="18"/>
                  <w:color w:val="0000EE"/>
                  <w:w w:val="97"/>
                </w:rPr>
                <w:t>FINANCIAL DISCLOSURE</w:t>
              </w:r>
            </w:hyperlink>
          </w:p>
        </w:tc>
        <w:tc>
          <w:tcPr>
            <w:tcW w:w="4800" w:type="dxa"/>
            <w:vAlign w:val="bottom"/>
            <w:tcBorders>
              <w:top w:val="single" w:sz="8" w:color="0000EE"/>
            </w:tcBorders>
            <w:gridSpan w:val="16"/>
          </w:tcPr>
          <w:p>
            <w:pPr>
              <w:spacing w:after="0"/>
              <w:rPr>
                <w:sz w:val="17"/>
                <w:szCs w:val="17"/>
                <w:color w:val="auto"/>
              </w:rPr>
            </w:pPr>
          </w:p>
        </w:tc>
        <w:tc>
          <w:tcPr>
            <w:tcW w:w="740" w:type="dxa"/>
            <w:vAlign w:val="bottom"/>
            <w:gridSpan w:val="4"/>
          </w:tcPr>
          <w:p>
            <w:pPr>
              <w:spacing w:after="0"/>
              <w:rPr>
                <w:sz w:val="17"/>
                <w:szCs w:val="17"/>
                <w:color w:val="auto"/>
              </w:rPr>
            </w:pPr>
          </w:p>
        </w:tc>
        <w:tc>
          <w:tcPr>
            <w:tcW w:w="780" w:type="dxa"/>
            <w:vAlign w:val="bottom"/>
            <w:gridSpan w:val="3"/>
          </w:tcPr>
          <w:p>
            <w:pPr>
              <w:jc w:val="center"/>
              <w:ind w:left="430"/>
              <w:spacing w:after="0" w:line="196" w:lineRule="exact"/>
              <w:rPr>
                <w:rFonts w:ascii="Arial" w:cs="Arial" w:eastAsia="Arial" w:hAnsi="Arial"/>
                <w:sz w:val="18"/>
                <w:szCs w:val="18"/>
                <w:color w:val="0000EE"/>
                <w:w w:val="86"/>
              </w:rPr>
            </w:pPr>
            <w:hyperlink w:anchor="page121">
              <w:r>
                <w:rPr>
                  <w:rFonts w:ascii="Arial" w:cs="Arial" w:eastAsia="Arial" w:hAnsi="Arial"/>
                  <w:sz w:val="18"/>
                  <w:szCs w:val="18"/>
                  <w:color w:val="0000EE"/>
                  <w:w w:val="86"/>
                </w:rPr>
                <w:t>119</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9A:</w:t>
            </w:r>
          </w:p>
        </w:tc>
        <w:tc>
          <w:tcPr>
            <w:tcW w:w="2600" w:type="dxa"/>
            <w:vAlign w:val="bottom"/>
            <w:gridSpan w:val="10"/>
          </w:tcPr>
          <w:p>
            <w:pPr>
              <w:spacing w:after="0"/>
              <w:rPr>
                <w:rFonts w:ascii="Arial" w:cs="Arial" w:eastAsia="Arial" w:hAnsi="Arial"/>
                <w:sz w:val="18"/>
                <w:szCs w:val="18"/>
                <w:color w:val="0000EE"/>
                <w:w w:val="93"/>
              </w:rPr>
            </w:pPr>
            <w:hyperlink w:anchor="page121">
              <w:r>
                <w:rPr>
                  <w:rFonts w:ascii="Arial" w:cs="Arial" w:eastAsia="Arial" w:hAnsi="Arial"/>
                  <w:sz w:val="18"/>
                  <w:szCs w:val="18"/>
                  <w:color w:val="0000EE"/>
                  <w:w w:val="93"/>
                </w:rPr>
                <w:t>CONTROLS AND PROCEDURES</w:t>
              </w:r>
            </w:hyperlink>
          </w:p>
        </w:tc>
        <w:tc>
          <w:tcPr>
            <w:tcW w:w="5060" w:type="dxa"/>
            <w:vAlign w:val="bottom"/>
            <w:gridSpan w:val="18"/>
          </w:tcPr>
          <w:p>
            <w:pPr>
              <w:spacing w:after="0"/>
              <w:rPr>
                <w:sz w:val="21"/>
                <w:szCs w:val="21"/>
                <w:color w:val="auto"/>
              </w:rPr>
            </w:pPr>
          </w:p>
        </w:tc>
        <w:tc>
          <w:tcPr>
            <w:tcW w:w="780" w:type="dxa"/>
            <w:vAlign w:val="bottom"/>
            <w:gridSpan w:val="3"/>
          </w:tcPr>
          <w:p>
            <w:pPr>
              <w:jc w:val="center"/>
              <w:ind w:left="430"/>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119</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9B:</w:t>
            </w:r>
          </w:p>
        </w:tc>
        <w:tc>
          <w:tcPr>
            <w:tcW w:w="2600" w:type="dxa"/>
            <w:vAlign w:val="bottom"/>
            <w:gridSpan w:val="10"/>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OTHER INFORMATION</w:t>
              </w:r>
            </w:hyperlink>
          </w:p>
        </w:tc>
        <w:tc>
          <w:tcPr>
            <w:tcW w:w="5060" w:type="dxa"/>
            <w:vAlign w:val="bottom"/>
            <w:gridSpan w:val="18"/>
          </w:tcPr>
          <w:p>
            <w:pPr>
              <w:spacing w:after="0"/>
              <w:rPr>
                <w:sz w:val="21"/>
                <w:szCs w:val="21"/>
                <w:color w:val="auto"/>
              </w:rPr>
            </w:pPr>
          </w:p>
        </w:tc>
        <w:tc>
          <w:tcPr>
            <w:tcW w:w="1280" w:type="dxa"/>
            <w:vAlign w:val="bottom"/>
            <w:gridSpan w:val="4"/>
          </w:tcPr>
          <w:p>
            <w:pPr>
              <w:jc w:val="center"/>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122</w:t>
              </w:r>
            </w:hyperlink>
          </w:p>
        </w:tc>
        <w:tc>
          <w:tcPr>
            <w:tcW w:w="0" w:type="dxa"/>
            <w:vAlign w:val="bottom"/>
          </w:tcPr>
          <w:p>
            <w:pPr>
              <w:spacing w:after="0"/>
              <w:rPr>
                <w:sz w:val="1"/>
                <w:szCs w:val="1"/>
                <w:color w:val="auto"/>
              </w:rPr>
            </w:pPr>
          </w:p>
        </w:tc>
      </w:tr>
      <w:tr>
        <w:trPr>
          <w:trHeight w:val="615"/>
        </w:trPr>
        <w:tc>
          <w:tcPr>
            <w:tcW w:w="38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PART III</w:t>
            </w: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10:</w:t>
            </w:r>
          </w:p>
        </w:tc>
        <w:tc>
          <w:tcPr>
            <w:tcW w:w="5800" w:type="dxa"/>
            <w:vAlign w:val="bottom"/>
            <w:gridSpan w:val="21"/>
          </w:tcPr>
          <w:p>
            <w:pPr>
              <w:spacing w:after="0"/>
              <w:rPr>
                <w:rFonts w:ascii="Arial" w:cs="Arial" w:eastAsia="Arial" w:hAnsi="Arial"/>
                <w:sz w:val="18"/>
                <w:szCs w:val="18"/>
                <w:color w:val="0000EE"/>
                <w:w w:val="94"/>
              </w:rPr>
            </w:pPr>
            <w:hyperlink w:anchor="page125">
              <w:r>
                <w:rPr>
                  <w:rFonts w:ascii="Arial" w:cs="Arial" w:eastAsia="Arial" w:hAnsi="Arial"/>
                  <w:sz w:val="18"/>
                  <w:szCs w:val="18"/>
                  <w:color w:val="0000EE"/>
                  <w:w w:val="94"/>
                </w:rPr>
                <w:t>DIRECTORS, EXECUTIVE OFFICERS AND CORPORATE GOVERNANCE</w:t>
              </w:r>
            </w:hyperlink>
          </w:p>
        </w:tc>
        <w:tc>
          <w:tcPr>
            <w:tcW w:w="1860" w:type="dxa"/>
            <w:vAlign w:val="bottom"/>
            <w:gridSpan w:val="7"/>
          </w:tcPr>
          <w:p>
            <w:pPr>
              <w:spacing w:after="0"/>
              <w:rPr>
                <w:sz w:val="19"/>
                <w:szCs w:val="19"/>
                <w:color w:val="auto"/>
              </w:rPr>
            </w:pPr>
          </w:p>
        </w:tc>
        <w:tc>
          <w:tcPr>
            <w:tcW w:w="1280" w:type="dxa"/>
            <w:vAlign w:val="bottom"/>
            <w:gridSpan w:val="4"/>
          </w:tcPr>
          <w:p>
            <w:pPr>
              <w:jc w:val="center"/>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123</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11:</w:t>
            </w:r>
          </w:p>
        </w:tc>
        <w:tc>
          <w:tcPr>
            <w:tcW w:w="2440" w:type="dxa"/>
            <w:vAlign w:val="bottom"/>
            <w:gridSpan w:val="9"/>
          </w:tcPr>
          <w:p>
            <w:pPr>
              <w:spacing w:after="0"/>
              <w:rPr>
                <w:rFonts w:ascii="Arial" w:cs="Arial" w:eastAsia="Arial" w:hAnsi="Arial"/>
                <w:sz w:val="18"/>
                <w:szCs w:val="18"/>
                <w:color w:val="0000EE"/>
                <w:w w:val="94"/>
              </w:rPr>
            </w:pPr>
            <w:hyperlink w:anchor="page131">
              <w:r>
                <w:rPr>
                  <w:rFonts w:ascii="Arial" w:cs="Arial" w:eastAsia="Arial" w:hAnsi="Arial"/>
                  <w:sz w:val="18"/>
                  <w:szCs w:val="18"/>
                  <w:color w:val="0000EE"/>
                  <w:w w:val="94"/>
                </w:rPr>
                <w:t>EXECUTIVE COMPENSATION</w:t>
              </w:r>
            </w:hyperlink>
          </w:p>
        </w:tc>
        <w:tc>
          <w:tcPr>
            <w:tcW w:w="3360" w:type="dxa"/>
            <w:vAlign w:val="bottom"/>
            <w:gridSpan w:val="12"/>
          </w:tcPr>
          <w:p>
            <w:pPr>
              <w:spacing w:after="0"/>
              <w:rPr>
                <w:sz w:val="21"/>
                <w:szCs w:val="21"/>
                <w:color w:val="auto"/>
              </w:rPr>
            </w:pPr>
          </w:p>
        </w:tc>
        <w:tc>
          <w:tcPr>
            <w:tcW w:w="1860" w:type="dxa"/>
            <w:vAlign w:val="bottom"/>
            <w:gridSpan w:val="7"/>
          </w:tcPr>
          <w:p>
            <w:pPr>
              <w:spacing w:after="0"/>
              <w:rPr>
                <w:sz w:val="21"/>
                <w:szCs w:val="21"/>
                <w:color w:val="auto"/>
              </w:rPr>
            </w:pPr>
          </w:p>
        </w:tc>
        <w:tc>
          <w:tcPr>
            <w:tcW w:w="1280" w:type="dxa"/>
            <w:vAlign w:val="bottom"/>
            <w:gridSpan w:val="4"/>
          </w:tcPr>
          <w:p>
            <w:pPr>
              <w:jc w:val="center"/>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129</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12:</w:t>
            </w:r>
          </w:p>
        </w:tc>
        <w:tc>
          <w:tcPr>
            <w:tcW w:w="716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155">
              <w:r>
                <w:rPr>
                  <w:rFonts w:ascii="Arial" w:cs="Arial" w:eastAsia="Arial" w:hAnsi="Arial"/>
                  <w:sz w:val="18"/>
                  <w:szCs w:val="18"/>
                  <w:color w:val="0000EE"/>
                  <w:w w:val="96"/>
                </w:rPr>
                <w:t>SECURITY OWNERSHIP OF CERTAIN BENEFICIAL OWNERS AND MANAGEMENT AND</w:t>
              </w:r>
            </w:hyperlink>
          </w:p>
        </w:tc>
        <w:tc>
          <w:tcPr>
            <w:tcW w:w="500" w:type="dxa"/>
            <w:vAlign w:val="bottom"/>
            <w:gridSpan w:val="3"/>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60" w:type="dxa"/>
            <w:vAlign w:val="bottom"/>
            <w:gridSpan w:val="28"/>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RELATED STOCKHOLDER MATTERS</w:t>
              </w:r>
            </w:hyperlink>
          </w:p>
        </w:tc>
        <w:tc>
          <w:tcPr>
            <w:tcW w:w="1280" w:type="dxa"/>
            <w:vAlign w:val="bottom"/>
            <w:gridSpan w:val="4"/>
          </w:tcPr>
          <w:p>
            <w:pPr>
              <w:jc w:val="center"/>
              <w:spacing w:after="0" w:line="196" w:lineRule="exact"/>
              <w:rPr>
                <w:rFonts w:ascii="Arial" w:cs="Arial" w:eastAsia="Arial" w:hAnsi="Arial"/>
                <w:sz w:val="18"/>
                <w:szCs w:val="18"/>
                <w:color w:val="0000EE"/>
                <w:w w:val="86"/>
              </w:rPr>
            </w:pPr>
            <w:hyperlink w:anchor="page155">
              <w:r>
                <w:rPr>
                  <w:rFonts w:ascii="Arial" w:cs="Arial" w:eastAsia="Arial" w:hAnsi="Arial"/>
                  <w:sz w:val="18"/>
                  <w:szCs w:val="18"/>
                  <w:color w:val="0000EE"/>
                  <w:w w:val="86"/>
                </w:rPr>
                <w:t>152</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660" w:type="dxa"/>
            <w:vAlign w:val="bottom"/>
            <w:tcBorders>
              <w:left w:val="single" w:sz="8" w:color="0000EE"/>
            </w:tcBorders>
            <w:gridSpan w:val="9"/>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13:</w:t>
            </w:r>
          </w:p>
        </w:tc>
        <w:tc>
          <w:tcPr>
            <w:tcW w:w="7660" w:type="dxa"/>
            <w:vAlign w:val="bottom"/>
            <w:gridSpan w:val="28"/>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CERTAIN RELATIONSHIPS AND RELATED TRANSACTIONS, AND DIRECTOR</w:t>
              </w:r>
            </w:hyperlink>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INDEPENDENCE</w:t>
              </w:r>
            </w:hyperlink>
          </w:p>
        </w:tc>
        <w:tc>
          <w:tcPr>
            <w:tcW w:w="1380" w:type="dxa"/>
            <w:vAlign w:val="bottom"/>
            <w:gridSpan w:val="5"/>
          </w:tcPr>
          <w:p>
            <w:pPr>
              <w:spacing w:after="0"/>
              <w:rPr>
                <w:sz w:val="17"/>
                <w:szCs w:val="17"/>
                <w:color w:val="auto"/>
              </w:rPr>
            </w:pPr>
          </w:p>
        </w:tc>
        <w:tc>
          <w:tcPr>
            <w:tcW w:w="1280" w:type="dxa"/>
            <w:vAlign w:val="bottom"/>
            <w:gridSpan w:val="4"/>
          </w:tcPr>
          <w:p>
            <w:pPr>
              <w:jc w:val="center"/>
              <w:spacing w:after="0" w:line="196" w:lineRule="exact"/>
              <w:rPr>
                <w:rFonts w:ascii="Arial" w:cs="Arial" w:eastAsia="Arial" w:hAnsi="Arial"/>
                <w:sz w:val="18"/>
                <w:szCs w:val="18"/>
                <w:color w:val="0000EE"/>
                <w:w w:val="86"/>
              </w:rPr>
            </w:pPr>
            <w:hyperlink w:anchor="page158">
              <w:r>
                <w:rPr>
                  <w:rFonts w:ascii="Arial" w:cs="Arial" w:eastAsia="Arial" w:hAnsi="Arial"/>
                  <w:sz w:val="18"/>
                  <w:szCs w:val="18"/>
                  <w:color w:val="0000EE"/>
                  <w:w w:val="86"/>
                </w:rPr>
                <w:t>155</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26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14:</w:t>
            </w:r>
          </w:p>
        </w:tc>
        <w:tc>
          <w:tcPr>
            <w:tcW w:w="7660" w:type="dxa"/>
            <w:vAlign w:val="bottom"/>
            <w:gridSpan w:val="28"/>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PRINCIPAL ACCOUNTING FEES AND SERVICES</w:t>
              </w:r>
            </w:hyperlink>
          </w:p>
        </w:tc>
        <w:tc>
          <w:tcPr>
            <w:tcW w:w="1280" w:type="dxa"/>
            <w:vAlign w:val="bottom"/>
            <w:gridSpan w:val="4"/>
          </w:tcPr>
          <w:p>
            <w:pPr>
              <w:jc w:val="center"/>
              <w:spacing w:after="0"/>
              <w:rPr>
                <w:rFonts w:ascii="Arial" w:cs="Arial" w:eastAsia="Arial" w:hAnsi="Arial"/>
                <w:sz w:val="18"/>
                <w:szCs w:val="18"/>
                <w:color w:val="0000EE"/>
                <w:w w:val="86"/>
              </w:rPr>
            </w:pPr>
            <w:hyperlink w:anchor="page159">
              <w:r>
                <w:rPr>
                  <w:rFonts w:ascii="Arial" w:cs="Arial" w:eastAsia="Arial" w:hAnsi="Arial"/>
                  <w:sz w:val="18"/>
                  <w:szCs w:val="18"/>
                  <w:color w:val="0000EE"/>
                  <w:w w:val="86"/>
                </w:rPr>
                <w:t>156</w:t>
              </w:r>
            </w:hyperlink>
          </w:p>
        </w:tc>
        <w:tc>
          <w:tcPr>
            <w:tcW w:w="0" w:type="dxa"/>
            <w:vAlign w:val="bottom"/>
          </w:tcPr>
          <w:p>
            <w:pPr>
              <w:spacing w:after="0"/>
              <w:rPr>
                <w:sz w:val="1"/>
                <w:szCs w:val="1"/>
                <w:color w:val="auto"/>
              </w:rPr>
            </w:pPr>
          </w:p>
        </w:tc>
      </w:tr>
      <w:tr>
        <w:trPr>
          <w:trHeight w:val="615"/>
        </w:trPr>
        <w:tc>
          <w:tcPr>
            <w:tcW w:w="38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PART IV</w:t>
            </w: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740" w:type="dxa"/>
            <w:vAlign w:val="bottom"/>
            <w:gridSpan w:val="3"/>
          </w:tcPr>
          <w:p>
            <w:pPr>
              <w:ind w:left="760"/>
              <w:spacing w:after="0"/>
              <w:rPr>
                <w:sz w:val="20"/>
                <w:szCs w:val="20"/>
                <w:color w:val="auto"/>
              </w:rPr>
            </w:pPr>
            <w:r>
              <w:rPr>
                <w:rFonts w:ascii="Arial" w:cs="Arial" w:eastAsia="Arial" w:hAnsi="Arial"/>
                <w:sz w:val="18"/>
                <w:szCs w:val="18"/>
                <w:color w:val="auto"/>
              </w:rPr>
              <w:t>ITEM 15:</w:t>
            </w:r>
          </w:p>
        </w:tc>
        <w:tc>
          <w:tcPr>
            <w:tcW w:w="7660" w:type="dxa"/>
            <w:vAlign w:val="bottom"/>
            <w:gridSpan w:val="28"/>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EXHIBITS, FINANCIAL STATEMENT SCHEDULE</w:t>
              </w:r>
            </w:hyperlink>
          </w:p>
        </w:tc>
        <w:tc>
          <w:tcPr>
            <w:tcW w:w="1280" w:type="dxa"/>
            <w:vAlign w:val="bottom"/>
            <w:gridSpan w:val="4"/>
          </w:tcPr>
          <w:p>
            <w:pPr>
              <w:jc w:val="center"/>
              <w:spacing w:after="0"/>
              <w:rPr>
                <w:rFonts w:ascii="Arial" w:cs="Arial" w:eastAsia="Arial" w:hAnsi="Arial"/>
                <w:sz w:val="18"/>
                <w:szCs w:val="18"/>
                <w:color w:val="0000EE"/>
                <w:w w:val="86"/>
              </w:rPr>
            </w:pPr>
            <w:hyperlink w:anchor="page161">
              <w:r>
                <w:rPr>
                  <w:rFonts w:ascii="Arial" w:cs="Arial" w:eastAsia="Arial" w:hAnsi="Arial"/>
                  <w:sz w:val="18"/>
                  <w:szCs w:val="18"/>
                  <w:color w:val="0000EE"/>
                  <w:w w:val="86"/>
                </w:rPr>
                <w:t>158</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740" w:type="dxa"/>
            <w:vAlign w:val="bottom"/>
            <w:gridSpan w:val="3"/>
            <w:vMerge w:val="restart"/>
          </w:tcPr>
          <w:p>
            <w:pPr>
              <w:spacing w:after="0"/>
              <w:rPr>
                <w:rFonts w:ascii="Arial" w:cs="Arial" w:eastAsia="Arial" w:hAnsi="Arial"/>
                <w:sz w:val="18"/>
                <w:szCs w:val="18"/>
                <w:b w:val="1"/>
                <w:bCs w:val="1"/>
                <w:color w:val="0000EE"/>
              </w:rPr>
            </w:pPr>
            <w:hyperlink w:anchor="page164">
              <w:r>
                <w:rPr>
                  <w:rFonts w:ascii="Arial" w:cs="Arial" w:eastAsia="Arial" w:hAnsi="Arial"/>
                  <w:sz w:val="18"/>
                  <w:szCs w:val="18"/>
                  <w:b w:val="1"/>
                  <w:bCs w:val="1"/>
                  <w:color w:val="0000EE"/>
                </w:rPr>
                <w:t>SIGNATURES</w:t>
              </w:r>
            </w:hyperlink>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80" w:type="dxa"/>
            <w:vAlign w:val="bottom"/>
          </w:tcPr>
          <w:p>
            <w:pPr>
              <w:spacing w:after="0"/>
              <w:rPr>
                <w:sz w:val="24"/>
                <w:szCs w:val="24"/>
                <w:color w:val="auto"/>
              </w:rPr>
            </w:pPr>
          </w:p>
        </w:tc>
        <w:tc>
          <w:tcPr>
            <w:tcW w:w="174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4"/>
          </w:tcPr>
          <w:p>
            <w:pPr>
              <w:jc w:val="center"/>
              <w:spacing w:after="0"/>
              <w:rPr>
                <w:rFonts w:ascii="Arial" w:cs="Arial" w:eastAsia="Arial" w:hAnsi="Arial"/>
                <w:sz w:val="18"/>
                <w:szCs w:val="18"/>
                <w:color w:val="0000EE"/>
                <w:w w:val="86"/>
              </w:rPr>
            </w:pPr>
            <w:hyperlink w:anchor="page164">
              <w:r>
                <w:rPr>
                  <w:rFonts w:ascii="Arial" w:cs="Arial" w:eastAsia="Arial" w:hAnsi="Arial"/>
                  <w:sz w:val="18"/>
                  <w:szCs w:val="18"/>
                  <w:color w:val="0000EE"/>
                  <w:w w:val="86"/>
                </w:rPr>
                <w:t>161</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20" w:type="dxa"/>
            <w:vAlign w:val="bottom"/>
            <w:gridSpan w:val="15"/>
          </w:tcPr>
          <w:p>
            <w:pPr>
              <w:spacing w:after="0" w:line="20" w:lineRule="exact"/>
              <w:rPr>
                <w:sz w:val="1"/>
                <w:szCs w:val="1"/>
                <w:color w:val="auto"/>
              </w:rPr>
            </w:pPr>
          </w:p>
        </w:tc>
        <w:tc>
          <w:tcPr>
            <w:tcW w:w="4040" w:type="dxa"/>
            <w:vAlign w:val="bottom"/>
            <w:gridSpan w:val="1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8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SCHEDULE II:</w:t>
            </w:r>
          </w:p>
        </w:tc>
        <w:tc>
          <w:tcPr>
            <w:tcW w:w="3620" w:type="dxa"/>
            <w:vAlign w:val="bottom"/>
            <w:gridSpan w:val="15"/>
          </w:tcPr>
          <w:p>
            <w:pPr>
              <w:spacing w:after="0"/>
              <w:rPr>
                <w:rFonts w:ascii="Arial" w:cs="Arial" w:eastAsia="Arial" w:hAnsi="Arial"/>
                <w:sz w:val="18"/>
                <w:szCs w:val="18"/>
                <w:color w:val="0000EE"/>
                <w:w w:val="98"/>
              </w:rPr>
            </w:pPr>
            <w:hyperlink w:anchor="page165">
              <w:r>
                <w:rPr>
                  <w:rFonts w:ascii="Arial" w:cs="Arial" w:eastAsia="Arial" w:hAnsi="Arial"/>
                  <w:sz w:val="18"/>
                  <w:szCs w:val="18"/>
                  <w:color w:val="0000EE"/>
                  <w:w w:val="98"/>
                </w:rPr>
                <w:t>VALUATION AND QUALIFYING ACCOUNTS</w:t>
              </w:r>
            </w:hyperlink>
          </w:p>
        </w:tc>
        <w:tc>
          <w:tcPr>
            <w:tcW w:w="4040" w:type="dxa"/>
            <w:vAlign w:val="bottom"/>
            <w:gridSpan w:val="13"/>
          </w:tcPr>
          <w:p>
            <w:pPr>
              <w:spacing w:after="0"/>
              <w:rPr>
                <w:sz w:val="24"/>
                <w:szCs w:val="24"/>
                <w:color w:val="auto"/>
              </w:rPr>
            </w:pPr>
          </w:p>
        </w:tc>
        <w:tc>
          <w:tcPr>
            <w:tcW w:w="1280" w:type="dxa"/>
            <w:vAlign w:val="bottom"/>
            <w:gridSpan w:val="4"/>
          </w:tcPr>
          <w:p>
            <w:pPr>
              <w:jc w:val="center"/>
              <w:spacing w:after="0"/>
              <w:rPr>
                <w:rFonts w:ascii="Arial" w:cs="Arial" w:eastAsia="Arial" w:hAnsi="Arial"/>
                <w:sz w:val="18"/>
                <w:szCs w:val="18"/>
                <w:color w:val="0000EE"/>
                <w:w w:val="86"/>
              </w:rPr>
            </w:pPr>
            <w:hyperlink w:anchor="page165">
              <w:r>
                <w:rPr>
                  <w:rFonts w:ascii="Arial" w:cs="Arial" w:eastAsia="Arial" w:hAnsi="Arial"/>
                  <w:sz w:val="18"/>
                  <w:szCs w:val="18"/>
                  <w:color w:val="0000EE"/>
                  <w:w w:val="86"/>
                </w:rPr>
                <w:t>162</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60"/>
          </w:cols>
          <w:pgMar w:left="240" w:top="108" w:right="5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document contains forward-looking statements concerning our operations, financial performance, revenues, earnings growth, liquidity, and other items. This document reflects our current plans and expectations and is based on information currently available as of the date of this Annual Report on Form 10-K.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changes in estimated liabilities for product warranties, litigation, and costs to deliver and implement network solutions, 4) our dependence on customers’ acceptance of new products and their performance, 5) competition, 6) changes in domestic and international laws and regulations, 7) changes in foreign currency exchange rates and interest rates, 8) international business risks, 9) our own and our customers’ or suppliers’ access to and cost of capital, 10) future business combinations, 11) implementation of restructuring projects, and 12) other factors. You should not solely rely on these forward-looking statements as they are only valid as of the date of this Annual Report on Form 10-K. We do not have any obligation to publicly update or revise any forward-looking statement in this document. For a more complete description of these and other risks, refer to Item 1A: “Risk Factors” included in this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Documents we provide to the Securities and Exchange Commission (SEC) are available free of charge under the Investors section of our website at </w:t>
      </w:r>
      <w:r>
        <w:rPr>
          <w:rFonts w:ascii="Arial" w:cs="Arial" w:eastAsia="Arial" w:hAnsi="Arial"/>
          <w:sz w:val="17"/>
          <w:szCs w:val="17"/>
          <w:i w:val="1"/>
          <w:iCs w:val="1"/>
          <w:color w:val="auto"/>
        </w:rPr>
        <w:t xml:space="preserve">www.itron.com </w:t>
      </w:r>
      <w:r>
        <w:rPr>
          <w:rFonts w:ascii="Arial" w:cs="Arial" w:eastAsia="Arial" w:hAnsi="Arial"/>
          <w:sz w:val="17"/>
          <w:szCs w:val="17"/>
          <w:color w:val="auto"/>
        </w:rPr>
        <w:t>as soon as practicable after they are filed with or furnished to the SEC. In addition, these documents are available at the SEC’s website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http://www.sec.gov</w:t>
      </w:r>
      <w:r>
        <w:rPr>
          <w:rFonts w:ascii="Arial" w:cs="Arial" w:eastAsia="Arial" w:hAnsi="Arial"/>
          <w:sz w:val="17"/>
          <w:szCs w:val="17"/>
          <w:color w:val="auto"/>
        </w:rPr>
        <w:t>) and at the SEC’s Headquarters at 100 F Street, NE, Washington, DC 20549, or by calling 1-800-SEC-0330.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is among the leading technology and services companies dedicated to the resourceful use of electricity, natural gas, and water. We provide comprehensive solutions that measure, manage, and analyze energy and water use. Our broad product portfolio helps utilities responsibly and efficiently manage resources.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increasing populations and resource consumption, there continues to be growing demand for electricity, natural gas, and water. This demand comes at a time when utilities are challenged by cost constraints, regulatory requirements, and environmental concerns. Our solution is to provide utilities with the knowledge they need to optimize their resources and to better understand and serve their customers - knowledge that gives their customers control over their energy and water needs and allows for better management and conservation of valuable resources.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were incorporated in 1977 with a focus on meter reading technology. In 2004, we entered the electricity meter manufacturing business with the acquisition of Schlumberger Electricity Metering. In 2007, we expanded our presence in global meter manufacturing and systems with the acquisition of Actaris Metering Systems SA.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discussion of our major products, our markets, and our operating segments. Refer to Item 8: “Financial Statements and Supplementary Data” included in this Annual Report on Form 10-K for specific segment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offer solutions that enable electric and natural gas utilities to build smart grids to manage assets, secure revenue, lower operational costs, improve customer service, and enable demand response. Our solutions include standard meters and next-generation advanced and smart metering products, metering systems, and services, which ultimately empower and benefit consumers.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supply comprehensive solutions to address the unique challenges facing the water industry, including increasing demand and resource scarcity. We offer a complete product portfolio, including standard meters and advanced and smart metering products, metering systems, and services, for applications in the residential and commercial industrial markets for water and heat.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offer a portfolio of services to our customers from standalone services to end-to-end solutions. These include licensing meter data management and analytics software, managed services, software-as-a-service (hosted software), technical support services, licensing hardware technology, and consulting services.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metering systems into three categories: standard metering systems, advanced metering systems, and smart metering systems. These categories are described in more detail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 Metering Systems</w:t>
      </w:r>
    </w:p>
    <w:p>
      <w:pPr>
        <w:spacing w:after="0" w:line="23"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Standard metering systems employ a standard meter, which measures electricity, natural gas, water, or thermal energy by mechanical, electromechanical, or electronic means, with no built-in remote-reading communication capability. Standard meters require manual reading, which is typically performed by a utility representative or meter reading service provider. Worldwide, we produce standard residential, commercial and industrial (C&amp;I), and transmission and distribution (T&amp;D) electricity, natural gas, water, and heat meters.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Metering Systems</w:t>
      </w:r>
    </w:p>
    <w:p>
      <w:pPr>
        <w:spacing w:after="0" w:line="23" w:lineRule="exact"/>
        <w:rPr>
          <w:sz w:val="20"/>
          <w:szCs w:val="20"/>
          <w:color w:val="auto"/>
        </w:rPr>
      </w:pPr>
    </w:p>
    <w:p>
      <w:pPr>
        <w:jc w:val="both"/>
        <w:ind w:left="420"/>
        <w:spacing w:after="0" w:line="253" w:lineRule="auto"/>
        <w:rPr>
          <w:sz w:val="20"/>
          <w:szCs w:val="20"/>
          <w:color w:val="auto"/>
        </w:rPr>
      </w:pPr>
      <w:r>
        <w:rPr>
          <w:rFonts w:ascii="Arial" w:cs="Arial" w:eastAsia="Arial" w:hAnsi="Arial"/>
          <w:sz w:val="18"/>
          <w:szCs w:val="18"/>
          <w:color w:val="auto"/>
        </w:rPr>
        <w:t>Advanced metering systems use a meter with a one-way communication module embedded in or attached to the meter to collect and store meter data, which is transmitted to handheld computers, mobile units, and/or fixed networks. This allows utilities to collect meter data for billing systems and analyze the data for more efficient resource management and operations. Worldwide, we produce electricity, natural gas, and water advanced metering systems and related technology. Communication technologies can vary by region and country and include telephone, radio frequency (RF), cellular, power line carrier (PLC), and Ethernet devices.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Metering Systems</w:t>
      </w:r>
    </w:p>
    <w:p>
      <w:pPr>
        <w:spacing w:after="0" w:line="23" w:lineRule="exact"/>
        <w:rPr>
          <w:sz w:val="20"/>
          <w:szCs w:val="20"/>
          <w:color w:val="auto"/>
        </w:rPr>
      </w:pPr>
    </w:p>
    <w:p>
      <w:pPr>
        <w:jc w:val="both"/>
        <w:ind w:left="420"/>
        <w:spacing w:after="0" w:line="270" w:lineRule="auto"/>
        <w:rPr>
          <w:sz w:val="20"/>
          <w:szCs w:val="20"/>
          <w:color w:val="auto"/>
        </w:rPr>
      </w:pPr>
      <w:r>
        <w:rPr>
          <w:rFonts w:ascii="Arial" w:cs="Arial" w:eastAsia="Arial" w:hAnsi="Arial"/>
          <w:sz w:val="17"/>
          <w:szCs w:val="17"/>
          <w:color w:val="auto"/>
        </w:rPr>
        <w:t>Smart metering systems employ meters, which have two-way communication capability to collect and transmit meter data to support various applications beyond monthly billings. Our smart metering solutions have substantially more features and functions than our advanced metering systems. Smart meters can collect and store interval data, remotely connect and disconnect service to the meter, send data, receive commands, and interface with other devices, such as in-home displays, smart thermostats and appliances, home area networks, and advanced control systems. Smart meters can also include adaptive communication technology (ACT). ACT enables dynamic selection of the optimal communications path, utilizing RF or PLC, based on network operating conditions, data attributes and application requirements.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Bookings and Backlog of Orders</w:t>
      </w:r>
    </w:p>
    <w:p>
      <w:pPr>
        <w:spacing w:after="0" w:line="23" w:lineRule="exact"/>
        <w:rPr>
          <w:sz w:val="20"/>
          <w:szCs w:val="20"/>
          <w:color w:val="auto"/>
        </w:rPr>
      </w:pPr>
    </w:p>
    <w:p>
      <w:pPr>
        <w:jc w:val="both"/>
        <w:ind w:left="420"/>
        <w:spacing w:after="0" w:line="269" w:lineRule="auto"/>
        <w:rPr>
          <w:sz w:val="20"/>
          <w:szCs w:val="20"/>
          <w:color w:val="auto"/>
        </w:rPr>
      </w:pPr>
      <w:r>
        <w:rPr>
          <w:rFonts w:ascii="Arial" w:cs="Arial" w:eastAsia="Arial" w:hAnsi="Arial"/>
          <w:sz w:val="17"/>
          <w:szCs w:val="17"/>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 Ended</w:t>
            </w:r>
          </w:p>
        </w:tc>
        <w:tc>
          <w:tcPr>
            <w:tcW w:w="320" w:type="dxa"/>
            <w:vAlign w:val="bottom"/>
          </w:tcPr>
          <w:p>
            <w:pPr>
              <w:spacing w:after="0"/>
              <w:rPr>
                <w:sz w:val="18"/>
                <w:szCs w:val="18"/>
                <w:color w:val="auto"/>
              </w:rPr>
            </w:pPr>
          </w:p>
        </w:tc>
        <w:tc>
          <w:tcPr>
            <w:tcW w:w="2000" w:type="dxa"/>
            <w:vAlign w:val="bottom"/>
          </w:tcPr>
          <w:p>
            <w:pPr>
              <w:jc w:val="right"/>
              <w:ind w:right="499"/>
              <w:spacing w:after="0"/>
              <w:rPr>
                <w:sz w:val="20"/>
                <w:szCs w:val="20"/>
                <w:color w:val="auto"/>
              </w:rPr>
            </w:pPr>
            <w:r>
              <w:rPr>
                <w:rFonts w:ascii="Arial" w:cs="Arial" w:eastAsia="Arial" w:hAnsi="Arial"/>
                <w:sz w:val="16"/>
                <w:szCs w:val="16"/>
                <w:b w:val="1"/>
                <w:bCs w:val="1"/>
                <w:color w:val="auto"/>
              </w:rPr>
              <w:t>Annual Bookings</w:t>
            </w:r>
          </w:p>
        </w:tc>
        <w:tc>
          <w:tcPr>
            <w:tcW w:w="480" w:type="dxa"/>
            <w:vAlign w:val="bottom"/>
          </w:tcPr>
          <w:p>
            <w:pPr>
              <w:spacing w:after="0"/>
              <w:rPr>
                <w:sz w:val="18"/>
                <w:szCs w:val="18"/>
                <w:color w:val="auto"/>
              </w:rPr>
            </w:pPr>
          </w:p>
        </w:tc>
        <w:tc>
          <w:tcPr>
            <w:tcW w:w="1900" w:type="dxa"/>
            <w:vAlign w:val="bottom"/>
          </w:tcPr>
          <w:p>
            <w:pPr>
              <w:jc w:val="right"/>
              <w:ind w:right="599"/>
              <w:spacing w:after="0"/>
              <w:rPr>
                <w:sz w:val="20"/>
                <w:szCs w:val="20"/>
                <w:color w:val="auto"/>
              </w:rPr>
            </w:pPr>
            <w:r>
              <w:rPr>
                <w:rFonts w:ascii="Arial" w:cs="Arial" w:eastAsia="Arial" w:hAnsi="Arial"/>
                <w:sz w:val="16"/>
                <w:szCs w:val="16"/>
                <w:b w:val="1"/>
                <w:bCs w:val="1"/>
                <w:color w:val="auto"/>
              </w:rPr>
              <w:t>Total Backlog</w:t>
            </w:r>
          </w:p>
        </w:tc>
        <w:tc>
          <w:tcPr>
            <w:tcW w:w="400" w:type="dxa"/>
            <w:vAlign w:val="bottom"/>
          </w:tcPr>
          <w:p>
            <w:pPr>
              <w:spacing w:after="0"/>
              <w:rPr>
                <w:sz w:val="18"/>
                <w:szCs w:val="18"/>
                <w:color w:val="auto"/>
              </w:rPr>
            </w:pPr>
          </w:p>
        </w:tc>
        <w:tc>
          <w:tcPr>
            <w:tcW w:w="1960" w:type="dxa"/>
            <w:vAlign w:val="bottom"/>
          </w:tcPr>
          <w:p>
            <w:pPr>
              <w:jc w:val="right"/>
              <w:ind w:right="419"/>
              <w:spacing w:after="0"/>
              <w:rPr>
                <w:sz w:val="20"/>
                <w:szCs w:val="20"/>
                <w:color w:val="auto"/>
              </w:rPr>
            </w:pPr>
            <w:r>
              <w:rPr>
                <w:rFonts w:ascii="Arial" w:cs="Arial" w:eastAsia="Arial" w:hAnsi="Arial"/>
                <w:sz w:val="16"/>
                <w:szCs w:val="16"/>
                <w:b w:val="1"/>
                <w:bCs w:val="1"/>
                <w:color w:val="auto"/>
              </w:rPr>
              <w:t>12-Month Backlog</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tcPr>
          <w:p>
            <w:pPr>
              <w:jc w:val="right"/>
              <w:ind w:right="659"/>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1,981</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1,575</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2014</w:t>
            </w:r>
          </w:p>
        </w:tc>
        <w:tc>
          <w:tcPr>
            <w:tcW w:w="320" w:type="dxa"/>
            <w:vAlign w:val="bottom"/>
          </w:tcPr>
          <w:p>
            <w:pPr>
              <w:spacing w:after="0"/>
              <w:rPr>
                <w:sz w:val="20"/>
                <w:szCs w:val="20"/>
                <w:color w:val="auto"/>
              </w:rPr>
            </w:pP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2,385</w:t>
            </w:r>
          </w:p>
        </w:tc>
        <w:tc>
          <w:tcPr>
            <w:tcW w:w="4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1,516</w:t>
            </w:r>
          </w:p>
        </w:tc>
        <w:tc>
          <w:tcPr>
            <w:tcW w:w="400" w:type="dxa"/>
            <w:vAlign w:val="bottom"/>
          </w:tcPr>
          <w:p>
            <w:pPr>
              <w:spacing w:after="0"/>
              <w:rPr>
                <w:sz w:val="20"/>
                <w:szCs w:val="20"/>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737</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2013</w:t>
            </w:r>
          </w:p>
        </w:tc>
        <w:tc>
          <w:tcPr>
            <w:tcW w:w="320" w:type="dxa"/>
            <w:vAlign w:val="bottom"/>
            <w:shd w:val="clear" w:color="auto" w:fill="CCEEFF"/>
          </w:tcPr>
          <w:p>
            <w:pPr>
              <w:spacing w:after="0"/>
              <w:rPr>
                <w:sz w:val="20"/>
                <w:szCs w:val="20"/>
                <w:color w:val="auto"/>
              </w:rPr>
            </w:pPr>
          </w:p>
        </w:tc>
        <w:tc>
          <w:tcPr>
            <w:tcW w:w="2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1,946</w:t>
            </w:r>
          </w:p>
        </w:tc>
        <w:tc>
          <w:tcPr>
            <w:tcW w:w="480" w:type="dxa"/>
            <w:vAlign w:val="bottom"/>
            <w:shd w:val="clear" w:color="auto" w:fill="CCEEFF"/>
          </w:tcPr>
          <w:p>
            <w:pPr>
              <w:spacing w:after="0"/>
              <w:rPr>
                <w:sz w:val="20"/>
                <w:szCs w:val="20"/>
                <w:color w:val="auto"/>
              </w:rPr>
            </w:pPr>
          </w:p>
        </w:tc>
        <w:tc>
          <w:tcPr>
            <w:tcW w:w="1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1,079</w:t>
            </w:r>
          </w:p>
        </w:tc>
        <w:tc>
          <w:tcPr>
            <w:tcW w:w="400" w:type="dxa"/>
            <w:vAlign w:val="bottom"/>
            <w:shd w:val="clear" w:color="auto" w:fill="CCEEFF"/>
          </w:tcPr>
          <w:p>
            <w:pPr>
              <w:spacing w:after="0"/>
              <w:rPr>
                <w:sz w:val="20"/>
                <w:szCs w:val="20"/>
                <w:color w:val="auto"/>
              </w:rPr>
            </w:pPr>
          </w:p>
        </w:tc>
        <w:tc>
          <w:tcPr>
            <w:tcW w:w="1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524</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 Ended</w:t>
            </w:r>
          </w:p>
        </w:tc>
        <w:tc>
          <w:tcPr>
            <w:tcW w:w="380" w:type="dxa"/>
            <w:vAlign w:val="bottom"/>
          </w:tcPr>
          <w:p>
            <w:pPr>
              <w:spacing w:after="0"/>
              <w:rPr>
                <w:sz w:val="18"/>
                <w:szCs w:val="18"/>
                <w:color w:val="auto"/>
              </w:rPr>
            </w:pP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Total Bookings</w:t>
            </w:r>
          </w:p>
        </w:tc>
        <w:tc>
          <w:tcPr>
            <w:tcW w:w="560" w:type="dxa"/>
            <w:vAlign w:val="bottom"/>
          </w:tcPr>
          <w:p>
            <w:pPr>
              <w:spacing w:after="0"/>
              <w:rPr>
                <w:sz w:val="18"/>
                <w:szCs w:val="18"/>
                <w:color w:val="auto"/>
              </w:rPr>
            </w:pPr>
          </w:p>
        </w:tc>
        <w:tc>
          <w:tcPr>
            <w:tcW w:w="1840" w:type="dxa"/>
            <w:vAlign w:val="bottom"/>
          </w:tcPr>
          <w:p>
            <w:pPr>
              <w:jc w:val="right"/>
              <w:ind w:right="699"/>
              <w:spacing w:after="0"/>
              <w:rPr>
                <w:sz w:val="20"/>
                <w:szCs w:val="20"/>
                <w:color w:val="auto"/>
              </w:rPr>
            </w:pPr>
            <w:r>
              <w:rPr>
                <w:rFonts w:ascii="Arial" w:cs="Arial" w:eastAsia="Arial" w:hAnsi="Arial"/>
                <w:sz w:val="16"/>
                <w:szCs w:val="16"/>
                <w:b w:val="1"/>
                <w:bCs w:val="1"/>
                <w:color w:val="auto"/>
              </w:rPr>
              <w:t>Electricity</w:t>
            </w:r>
          </w:p>
        </w:tc>
        <w:tc>
          <w:tcPr>
            <w:tcW w:w="760" w:type="dxa"/>
            <w:vAlign w:val="bottom"/>
          </w:tcPr>
          <w:p>
            <w:pPr>
              <w:spacing w:after="0"/>
              <w:rPr>
                <w:sz w:val="18"/>
                <w:szCs w:val="18"/>
                <w:color w:val="auto"/>
              </w:rPr>
            </w:pPr>
          </w:p>
        </w:tc>
        <w:tc>
          <w:tcPr>
            <w:tcW w:w="1620" w:type="dxa"/>
            <w:vAlign w:val="bottom"/>
          </w:tcPr>
          <w:p>
            <w:pPr>
              <w:jc w:val="right"/>
              <w:ind w:right="939"/>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760" w:type="dxa"/>
            <w:vAlign w:val="bottom"/>
          </w:tcPr>
          <w:p>
            <w:pPr>
              <w:jc w:val="right"/>
              <w:ind w:right="839"/>
              <w:spacing w:after="0"/>
              <w:rPr>
                <w:sz w:val="20"/>
                <w:szCs w:val="20"/>
                <w:color w:val="auto"/>
              </w:rPr>
            </w:pPr>
            <w:r>
              <w:rPr>
                <w:rFonts w:ascii="Arial" w:cs="Arial" w:eastAsia="Arial" w:hAnsi="Arial"/>
                <w:sz w:val="16"/>
                <w:szCs w:val="16"/>
                <w:b w:val="1"/>
                <w:bCs w:val="1"/>
                <w:color w:val="auto"/>
              </w:rPr>
              <w:t>Water</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(in millions)</w:t>
            </w: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1,981</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958</w:t>
            </w:r>
          </w:p>
        </w:tc>
        <w:tc>
          <w:tcPr>
            <w:tcW w:w="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December 31, 2014</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2,385</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1,074</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753</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558</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2013</w:t>
            </w:r>
          </w:p>
        </w:tc>
        <w:tc>
          <w:tcPr>
            <w:tcW w:w="38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1,946</w:t>
            </w:r>
          </w:p>
        </w:tc>
        <w:tc>
          <w:tcPr>
            <w:tcW w:w="56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786</w:t>
            </w:r>
          </w:p>
        </w:tc>
        <w:tc>
          <w:tcPr>
            <w:tcW w:w="7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552</w:t>
            </w:r>
          </w:p>
        </w:tc>
        <w:tc>
          <w:tcPr>
            <w:tcW w:w="6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608</w:t>
            </w:r>
          </w:p>
        </w:tc>
      </w:tr>
      <w:tr>
        <w:trPr>
          <w:trHeight w:val="33"/>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Segments</w:t>
      </w:r>
    </w:p>
    <w:p>
      <w:pPr>
        <w:spacing w:after="0" w:line="23" w:lineRule="exact"/>
        <w:rPr>
          <w:sz w:val="20"/>
          <w:szCs w:val="20"/>
          <w:color w:val="auto"/>
        </w:rPr>
      </w:pPr>
    </w:p>
    <w:p>
      <w:pPr>
        <w:jc w:val="both"/>
        <w:ind w:left="420"/>
        <w:spacing w:after="0" w:line="271" w:lineRule="auto"/>
        <w:rPr>
          <w:sz w:val="20"/>
          <w:szCs w:val="20"/>
          <w:color w:val="auto"/>
        </w:rPr>
      </w:pPr>
      <w:r>
        <w:rPr>
          <w:rFonts w:ascii="Arial" w:cs="Arial" w:eastAsia="Arial" w:hAnsi="Arial"/>
          <w:sz w:val="17"/>
          <w:szCs w:val="17"/>
          <w:color w:val="auto"/>
        </w:rPr>
        <w:t>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Distribution</w:t>
      </w:r>
    </w:p>
    <w:p>
      <w:pPr>
        <w:spacing w:after="0" w:line="23" w:lineRule="exact"/>
        <w:rPr>
          <w:sz w:val="20"/>
          <w:szCs w:val="20"/>
          <w:color w:val="auto"/>
        </w:rPr>
      </w:pPr>
    </w:p>
    <w:p>
      <w:pPr>
        <w:jc w:val="both"/>
        <w:ind w:left="420"/>
        <w:spacing w:after="0" w:line="255" w:lineRule="auto"/>
        <w:rPr>
          <w:sz w:val="20"/>
          <w:szCs w:val="20"/>
          <w:color w:val="auto"/>
        </w:rPr>
      </w:pPr>
      <w:r>
        <w:rPr>
          <w:rFonts w:ascii="Arial" w:cs="Arial" w:eastAsia="Arial" w:hAnsi="Arial"/>
          <w:sz w:val="18"/>
          <w:szCs w:val="18"/>
          <w:color w:val="auto"/>
        </w:rPr>
        <w:t>We use a combination of direct and indirect sales channels in our operating segments. A direct sales force is utilized for large electric, natural gas, and water utilities, with which we have long-established relationships. For smaller utilities, we typically use an indirect sales force that consists of distributors, sales representatives, partners, and meter manufacturer representatives.</w:t>
      </w:r>
    </w:p>
    <w:p>
      <w:pPr>
        <w:spacing w:after="0" w:line="136" w:lineRule="exact"/>
        <w:rPr>
          <w:sz w:val="20"/>
          <w:szCs w:val="20"/>
          <w:color w:val="auto"/>
        </w:rPr>
      </w:pPr>
    </w:p>
    <w:p>
      <w:pPr>
        <w:jc w:val="both"/>
        <w:ind w:left="420"/>
        <w:spacing w:after="0" w:line="342" w:lineRule="auto"/>
        <w:rPr>
          <w:sz w:val="20"/>
          <w:szCs w:val="20"/>
          <w:color w:val="auto"/>
        </w:rPr>
      </w:pPr>
      <w:r>
        <w:rPr>
          <w:rFonts w:ascii="Arial" w:cs="Arial" w:eastAsia="Arial" w:hAnsi="Arial"/>
          <w:sz w:val="16"/>
          <w:szCs w:val="16"/>
          <w:color w:val="auto"/>
        </w:rPr>
        <w:t>No single customer represented more than 10% of total revenues for the years ended December 31, 2015, 2014, and 2013. Our 10 largest customers in each of the years ended December 31, 2015, 2014, and 2013, accounted for approximately 22%, 19%, and 21% of total revenues,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Raw Materials</w:t>
      </w:r>
    </w:p>
    <w:p>
      <w:pPr>
        <w:spacing w:after="0" w:line="23" w:lineRule="exact"/>
        <w:rPr>
          <w:sz w:val="20"/>
          <w:szCs w:val="20"/>
          <w:color w:val="auto"/>
        </w:rPr>
      </w:pPr>
    </w:p>
    <w:p>
      <w:pPr>
        <w:jc w:val="both"/>
        <w:ind w:left="420"/>
        <w:spacing w:after="0" w:line="270" w:lineRule="auto"/>
        <w:rPr>
          <w:sz w:val="20"/>
          <w:szCs w:val="20"/>
          <w:color w:val="auto"/>
        </w:rPr>
      </w:pPr>
      <w:r>
        <w:rPr>
          <w:rFonts w:ascii="Arial" w:cs="Arial" w:eastAsia="Arial" w:hAnsi="Arial"/>
          <w:sz w:val="17"/>
          <w:szCs w:val="17"/>
          <w:color w:val="auto"/>
        </w:rPr>
        <w:t>Our products require a wide variety of components and materials, which are subject to price and supply fluctuations. We enter into standard purchase orders in the ordinary course of business, which can can include purchase orders for specific quantities based on market prices, as well as open-ended agreements that provide for estimated quantities over an extended shipment period, typically up to one year at an established unit cost. Although we have multiple sources of supply for most of our material requirements, certain components and raw materials are supplied by sole-source vendors, and our ability to perform certain contracts depends on the availability of these materials. Refer to Item 1A: “Risk Factors”, included in this Annual Report on Form 10-K, for further discussion related to supply risks.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w:t>
      </w:r>
    </w:p>
    <w:p>
      <w:pPr>
        <w:spacing w:after="0" w:line="23" w:lineRule="exact"/>
        <w:rPr>
          <w:sz w:val="20"/>
          <w:szCs w:val="20"/>
          <w:color w:val="auto"/>
        </w:rPr>
      </w:pPr>
    </w:p>
    <w:p>
      <w:pPr>
        <w:jc w:val="both"/>
        <w:ind w:left="420" w:right="20"/>
        <w:spacing w:after="0" w:line="255" w:lineRule="auto"/>
        <w:rPr>
          <w:sz w:val="20"/>
          <w:szCs w:val="20"/>
          <w:color w:val="auto"/>
        </w:rPr>
      </w:pPr>
      <w:r>
        <w:rPr>
          <w:rFonts w:ascii="Arial" w:cs="Arial" w:eastAsia="Arial" w:hAnsi="Arial"/>
          <w:sz w:val="18"/>
          <w:szCs w:val="18"/>
          <w:color w:val="auto"/>
        </w:rPr>
        <w:t>In connection with delivering products and systems to our customers, we may partner with third party vendors to provide hardware, software, or services, e.g., meter installation and communication network equipment and infrastructure. Our ability to perform on our contractual obligations with our customers is dependent on these partners meeting their obligations to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23"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Our product development is focused on both improving existing technology and developing innovative new technology for electricity, natural gas, water and heat meters, sensing and control devices, data collection software, communication technologies, data warehousing, and software applications. We invested approximately $162 million, $176 million, and $175 million in product development in 2015, 2014 and 2013, which represented approximately 9% of total revenues for each year.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Workforce</w:t>
      </w:r>
    </w:p>
    <w:p>
      <w:pPr>
        <w:spacing w:after="0" w:line="23" w:lineRule="exact"/>
        <w:rPr>
          <w:sz w:val="20"/>
          <w:szCs w:val="20"/>
          <w:color w:val="auto"/>
        </w:rPr>
      </w:pPr>
    </w:p>
    <w:p>
      <w:pPr>
        <w:jc w:val="both"/>
        <w:ind w:left="420"/>
        <w:spacing w:after="0" w:line="261" w:lineRule="auto"/>
        <w:rPr>
          <w:sz w:val="20"/>
          <w:szCs w:val="20"/>
          <w:color w:val="auto"/>
        </w:rPr>
      </w:pPr>
      <w:r>
        <w:rPr>
          <w:rFonts w:ascii="Arial" w:cs="Arial" w:eastAsia="Arial" w:hAnsi="Arial"/>
          <w:sz w:val="18"/>
          <w:szCs w:val="18"/>
          <w:color w:val="auto"/>
        </w:rPr>
        <w:t>As of December 31, 2015, we had approximately 7,900 people in our workforce, including 6,900 permanent and temporary employees. We have not experienced significant work stoppages and consider our employee relations to be good.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3" w:lineRule="exact"/>
        <w:rPr>
          <w:sz w:val="20"/>
          <w:szCs w:val="20"/>
          <w:color w:val="auto"/>
        </w:rPr>
      </w:pPr>
    </w:p>
    <w:p>
      <w:pPr>
        <w:jc w:val="both"/>
        <w:ind w:left="420"/>
        <w:spacing w:after="0" w:line="252" w:lineRule="auto"/>
        <w:rPr>
          <w:sz w:val="20"/>
          <w:szCs w:val="20"/>
          <w:color w:val="auto"/>
        </w:rPr>
      </w:pPr>
      <w:r>
        <w:rPr>
          <w:rFonts w:ascii="Arial" w:cs="Arial" w:eastAsia="Arial" w:hAnsi="Arial"/>
          <w:sz w:val="18"/>
          <w:szCs w:val="18"/>
          <w:color w:val="auto"/>
        </w:rPr>
        <w:t>We provide a broad portfolio of products, solutions, software, and services to electric, gas, and water utility customers globally. Consequently, we operate within a large and complex competitive landscape. Some of our competitors have diversified product portfolios and participate in multiple geographic markets, while others focus on specific regional markets and/or certain types of products, including some low-cost suppliers based in China and India. Our competitors in China have an increasing presence in other markets around the world, however, this does not represent a major market share in any one of our global operating regions. Our competitors range from small to large established companies. Our primary competitors for each operating segment are discussed below.</w:t>
      </w:r>
    </w:p>
    <w:p>
      <w:pPr>
        <w:spacing w:after="0" w:line="194" w:lineRule="exact"/>
        <w:rPr>
          <w:sz w:val="20"/>
          <w:szCs w:val="20"/>
          <w:color w:val="auto"/>
        </w:rPr>
      </w:pPr>
    </w:p>
    <w:p>
      <w:pPr>
        <w:jc w:val="both"/>
        <w:ind w:left="420"/>
        <w:spacing w:after="0" w:line="257" w:lineRule="auto"/>
        <w:rPr>
          <w:sz w:val="20"/>
          <w:szCs w:val="20"/>
          <w:color w:val="auto"/>
        </w:rPr>
      </w:pPr>
      <w:r>
        <w:rPr>
          <w:rFonts w:ascii="Arial" w:cs="Arial" w:eastAsia="Arial" w:hAnsi="Arial"/>
          <w:sz w:val="18"/>
          <w:szCs w:val="18"/>
          <w:color w:val="auto"/>
        </w:rPr>
        <w:t>We believe that our competitive advantage is based on our in-depth knowledge of the utility industries, our capacity to innovate, our ability to provide complete end-to-end integrated solutions (including metering, network communications, data collection systems, meter data management software, and other metering software applications), our established customer relationships, and our track record of delivering reliable, accurate, and long-lived products and services. Refer to Item 1A: “Risk Factors” included in this Annual Report on Form 10-K for a discussion of the competitive pressures we face.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Electricity</w:t>
      </w:r>
    </w:p>
    <w:p>
      <w:pPr>
        <w:spacing w:after="0" w:line="23"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We are among the leading global suppliers of electricity metering solutions, including standard meters and advanced and smart metering systems. Within the electricity business line, our primary global competitors include Aclara (Sun Capital Partners), Elster (Honeywell International Inc.), Landis+Gyr (Toshiba), and Silver Spring Networks. On a regional basis, other major competitors include OSAKI Group, Sagemcom Energy &amp; Telecom (SAS), Sensus (The Resolute Fund, L.P.), Trilliant Networks, and ZIV (Avantha Group).</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Gas</w:t>
      </w:r>
    </w:p>
    <w:p>
      <w:pPr>
        <w:spacing w:after="0" w:line="23" w:lineRule="exact"/>
        <w:rPr>
          <w:sz w:val="20"/>
          <w:szCs w:val="20"/>
          <w:color w:val="auto"/>
        </w:rPr>
      </w:pPr>
    </w:p>
    <w:p>
      <w:pPr>
        <w:jc w:val="both"/>
        <w:ind w:left="420"/>
        <w:spacing w:after="0" w:line="290" w:lineRule="auto"/>
        <w:rPr>
          <w:sz w:val="20"/>
          <w:szCs w:val="20"/>
          <w:color w:val="auto"/>
        </w:rPr>
      </w:pPr>
      <w:r>
        <w:rPr>
          <w:rFonts w:ascii="Arial" w:cs="Arial" w:eastAsia="Arial" w:hAnsi="Arial"/>
          <w:sz w:val="17"/>
          <w:szCs w:val="17"/>
          <w:color w:val="auto"/>
        </w:rPr>
        <w:t>We are among the leading global suppliers of gas metering solutions, including standard meters and advanced and smart metering systems. Our primary global competitor is Elster. On a regional basis, other major competitors include Aclara, Apator, Landis+Gyr, LAO Industria, and Sensus.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Water</w:t>
      </w:r>
    </w:p>
    <w:p>
      <w:pPr>
        <w:spacing w:after="0" w:line="23" w:lineRule="exact"/>
        <w:rPr>
          <w:sz w:val="20"/>
          <w:szCs w:val="20"/>
          <w:color w:val="auto"/>
        </w:rPr>
      </w:pPr>
    </w:p>
    <w:p>
      <w:pPr>
        <w:jc w:val="both"/>
        <w:ind w:left="420"/>
        <w:spacing w:after="0" w:line="277" w:lineRule="auto"/>
        <w:rPr>
          <w:sz w:val="20"/>
          <w:szCs w:val="20"/>
          <w:color w:val="auto"/>
        </w:rPr>
      </w:pPr>
      <w:r>
        <w:rPr>
          <w:rFonts w:ascii="Arial" w:cs="Arial" w:eastAsia="Arial" w:hAnsi="Arial"/>
          <w:sz w:val="17"/>
          <w:szCs w:val="17"/>
          <w:color w:val="auto"/>
        </w:rPr>
        <w:t>We are among the leading global suppliers of standard and advanced water meters and communication modules. Our primary global competitors include Apator, Diehl Metering (Diehl Stiftung &amp; Co. KG), Elster, Sensus, and Zenner Performance (Zenner International GmbH &amp; Co. KG). On a regional basis, other major competitors include Badger Meter, LAO Industria, and Neptune Technologies (Roper Industries).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Alliances</w:t>
      </w:r>
    </w:p>
    <w:p>
      <w:pPr>
        <w:spacing w:after="0" w:line="23"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We pursue strategic alliances with other companies in areas where collaboration can produce product advancement and acceleration of entry into new markets. The objectives and goals of a strategic alliance can include one or more of the following: technology exchange, product development, joint sales and marketing, or access to new geographic markets. Refer to Item 1A: “Risk Factors” included in this Annual Report on Form 10-K for a discussion of risks associated with strategic alliances.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3" w:lineRule="exact"/>
        <w:rPr>
          <w:sz w:val="20"/>
          <w:szCs w:val="20"/>
          <w:color w:val="auto"/>
        </w:rPr>
      </w:pPr>
    </w:p>
    <w:p>
      <w:pPr>
        <w:jc w:val="both"/>
        <w:ind w:left="420"/>
        <w:spacing w:after="0" w:line="255" w:lineRule="auto"/>
        <w:rPr>
          <w:sz w:val="20"/>
          <w:szCs w:val="20"/>
          <w:color w:val="auto"/>
        </w:rPr>
      </w:pPr>
      <w:r>
        <w:rPr>
          <w:rFonts w:ascii="Arial" w:cs="Arial" w:eastAsia="Arial" w:hAnsi="Arial"/>
          <w:sz w:val="18"/>
          <w:szCs w:val="18"/>
          <w:color w:val="auto"/>
        </w:rPr>
        <w:t>Our patents and patent applications cover a range of technologies, which relate to standard metering, advanced metering systems and technology, smart metering systems and technology, meter data management software, and knowledge application solutions. We also rely on a combination of copyrights, patents, and trade secrets to protect our products and technologies.</w:t>
      </w:r>
    </w:p>
    <w:p>
      <w:pPr>
        <w:spacing w:after="0" w:line="136" w:lineRule="exact"/>
        <w:rPr>
          <w:sz w:val="20"/>
          <w:szCs w:val="20"/>
          <w:color w:val="auto"/>
        </w:rPr>
      </w:pPr>
    </w:p>
    <w:p>
      <w:pPr>
        <w:jc w:val="both"/>
        <w:ind w:left="420"/>
        <w:spacing w:after="0" w:line="312" w:lineRule="auto"/>
        <w:rPr>
          <w:sz w:val="20"/>
          <w:szCs w:val="20"/>
          <w:color w:val="auto"/>
        </w:rPr>
      </w:pPr>
      <w:r>
        <w:rPr>
          <w:rFonts w:ascii="Arial" w:cs="Arial" w:eastAsia="Arial" w:hAnsi="Arial"/>
          <w:sz w:val="16"/>
          <w:szCs w:val="16"/>
          <w:color w:val="auto"/>
        </w:rPr>
        <w:t>Disputes over the ownership, registration, and enforcement of intellectual property rights arise in the ordinary course of our business. While we believe patents and trademarks are important to our operations and, in aggregate, constitute valuable assets, no single patent or trademark, or group of patents or trademarks, is critical to the success of our business. We license some of our technology to other companies, some of which are our competitors.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23" w:lineRule="exact"/>
        <w:rPr>
          <w:sz w:val="20"/>
          <w:szCs w:val="20"/>
          <w:color w:val="auto"/>
        </w:rPr>
      </w:pPr>
    </w:p>
    <w:p>
      <w:pPr>
        <w:jc w:val="both"/>
        <w:ind w:left="420"/>
        <w:spacing w:after="0" w:line="261" w:lineRule="auto"/>
        <w:rPr>
          <w:sz w:val="20"/>
          <w:szCs w:val="20"/>
          <w:color w:val="auto"/>
        </w:rPr>
      </w:pPr>
      <w:r>
        <w:rPr>
          <w:rFonts w:ascii="Arial" w:cs="Arial" w:eastAsia="Arial" w:hAnsi="Arial"/>
          <w:sz w:val="18"/>
          <w:szCs w:val="18"/>
          <w:color w:val="auto"/>
        </w:rPr>
        <w:t>In the ordinary course of our business we use metals, solvents, and similar materials that are stored on-site. We believe we are in compliance with environmental laws, rules, and regulations applicable to the operation of our business.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and titles of our executive officers as of June 29, 2016.</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Philip C. Mezey</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W. Mark Schmitz</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L. Deitrich</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Michel C. Cadieux</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Senior Vice President, Human Resources</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Shannon M. Votava</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21"/>
                <w:szCs w:val="21"/>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Philip C. Mezey </w:t>
      </w:r>
      <w:r>
        <w:rPr>
          <w:rFonts w:ascii="Arial" w:cs="Arial" w:eastAsia="Arial" w:hAnsi="Arial"/>
          <w:sz w:val="17"/>
          <w:szCs w:val="17"/>
          <w:color w:val="auto"/>
        </w:rPr>
        <w:t>is President and Chief Executive Officer and a member of our Board of Directors. Mr. Mezey was appointed to his current position and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in January 2013. Mr. Mezey joined Itron in March 2003, and in 2007 Mr. Mezey became Senior Vice President and Chief Operating Officer, Itron North America. Mr. Mezey served as President and Chief Operating Officer, Energy from March 2011 through December 2012.</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 Mark Schmitz </w:t>
      </w:r>
      <w:r>
        <w:rPr>
          <w:rFonts w:ascii="Arial" w:cs="Arial" w:eastAsia="Arial" w:hAnsi="Arial"/>
          <w:sz w:val="18"/>
          <w:szCs w:val="18"/>
          <w:color w:val="auto"/>
        </w:rPr>
        <w:t>is Executive Vice President and Chief Financial Officer. Mr. Schmitz was appointed to this role in September 2014. Prior to joining Itron,</w:t>
      </w:r>
      <w:r>
        <w:rPr>
          <w:rFonts w:ascii="Arial" w:cs="Arial" w:eastAsia="Arial" w:hAnsi="Arial"/>
          <w:sz w:val="18"/>
          <w:szCs w:val="18"/>
          <w:b w:val="1"/>
          <w:bCs w:val="1"/>
          <w:color w:val="auto"/>
        </w:rPr>
        <w:t xml:space="preserve"> </w:t>
      </w:r>
      <w:r>
        <w:rPr>
          <w:rFonts w:ascii="Arial" w:cs="Arial" w:eastAsia="Arial" w:hAnsi="Arial"/>
          <w:sz w:val="18"/>
          <w:szCs w:val="18"/>
          <w:color w:val="auto"/>
        </w:rPr>
        <w:t>Mr. Schmitz was Chief Financial Officer of Alghanim Industries from 2009 to 2013. Mr. Schmitz served as the Executive Vice President and Chief Financial Officer of The Goodyear Tire and Rubber Company from 2007 to 2008 and as Vice President and Chief Financial Officer of Tyco International Limited's Fire and Security Segment from 2003 to 2007.</w:t>
      </w:r>
    </w:p>
    <w:p>
      <w:pPr>
        <w:spacing w:after="0" w:line="18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Thomas L. Deitrich </w:t>
      </w:r>
      <w:r>
        <w:rPr>
          <w:rFonts w:ascii="Arial" w:cs="Arial" w:eastAsia="Arial" w:hAnsi="Arial"/>
          <w:sz w:val="16"/>
          <w:szCs w:val="16"/>
          <w:color w:val="auto"/>
        </w:rPr>
        <w:t>is Executive Vice President and Chief Operating Officer. Mr. Deitrich joined Itron in October 2015. From 2012 to September 2015, Mr.</w:t>
      </w:r>
      <w:r>
        <w:rPr>
          <w:rFonts w:ascii="Arial" w:cs="Arial" w:eastAsia="Arial" w:hAnsi="Arial"/>
          <w:sz w:val="16"/>
          <w:szCs w:val="16"/>
          <w:b w:val="1"/>
          <w:bCs w:val="1"/>
          <w:color w:val="auto"/>
        </w:rPr>
        <w:t xml:space="preserve"> </w:t>
      </w:r>
      <w:r>
        <w:rPr>
          <w:rFonts w:ascii="Arial" w:cs="Arial" w:eastAsia="Arial" w:hAnsi="Arial"/>
          <w:sz w:val="16"/>
          <w:szCs w:val="16"/>
          <w:color w:val="auto"/>
        </w:rPr>
        <w:t>Deitrich was Senior Vice President and General Manager for Digital Networking at Freescale Semiconductor, Inc. (Freescale), and he served as the Senior Vice President and General Manager of Freescale's RF, Analog, Sensor, and Cellular Products Group from 2009 to 2012. Mr. Deitrich had other roles of increasing responsibility at Freescale from 2006 to 2009. Prior to Freescale, Mr. Deitrich worked for Flextronics, Sony-Ericsson/Ericsson, and GE.</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Michel C. Cadieux </w:t>
      </w:r>
      <w:r>
        <w:rPr>
          <w:rFonts w:ascii="Arial" w:cs="Arial" w:eastAsia="Arial" w:hAnsi="Arial"/>
          <w:sz w:val="18"/>
          <w:szCs w:val="18"/>
          <w:color w:val="auto"/>
        </w:rPr>
        <w:t>is Senior Vice President, Human Resources and has been so since joining Itron in February 2014. From 2008 to 2012, Mr. Cadieux was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of Human Resources and Security at Freescale Semiconductor, Inc.</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Shannon M. Votava </w:t>
      </w:r>
      <w:r>
        <w:rPr>
          <w:rFonts w:ascii="Arial" w:cs="Arial" w:eastAsia="Arial" w:hAnsi="Arial"/>
          <w:sz w:val="16"/>
          <w:szCs w:val="16"/>
          <w:color w:val="auto"/>
        </w:rPr>
        <w:t>is Senior Vice President, General Counsel and Corporate Secretary. Ms. Votava was promoted to this role in March 2016. Ms. Votava</w:t>
      </w:r>
      <w:r>
        <w:rPr>
          <w:rFonts w:ascii="Arial" w:cs="Arial" w:eastAsia="Arial" w:hAnsi="Arial"/>
          <w:sz w:val="16"/>
          <w:szCs w:val="16"/>
          <w:b w:val="1"/>
          <w:bCs w:val="1"/>
          <w:color w:val="auto"/>
        </w:rPr>
        <w:t xml:space="preserve"> </w:t>
      </w:r>
      <w:r>
        <w:rPr>
          <w:rFonts w:ascii="Arial" w:cs="Arial" w:eastAsia="Arial" w:hAnsi="Arial"/>
          <w:sz w:val="16"/>
          <w:szCs w:val="16"/>
          <w:color w:val="auto"/>
        </w:rPr>
        <w:t>joined Itron in May 2010 as Assistant General Counsel and was promoted to Vice President and General Counsel in January 2012. She assumed the responsibilities of Corporate Secretary in January 2013. Before joining Itron, Ms. Votava served as Associate General Counsel, Commercial at Cooper Industries plc from October 2008 to April 2010, and as General Counsel for Honeywell's Electronic Materials business from 2003 to 2008.</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on the utility industry, which has experienced volatility in capital spending.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derive the majority of our revenues from sales of products and services to utilities. Purchases of our products may be deferred as a result of many factors, including economic downturns, slowdowns in new residential and commercial construction, customers’ access to capital upon acceptable terms, the timing and availability of government subsidies or other incentives, utility specific financial circumstances, mergers and acquisitions, regulatory decisions, weather conditions, and fluctuating interest rates. We have experienced, and may in the future experience, variability in operating results on an annual and a quarterly basis as a result of these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industry sales cycles can be lengthy and unpredictable.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utility industry is subject to substantial government regulation. Regulations have often influenced the frequency of meter replacements. Sales cycles for standalone meter products have typically been based on annual or biennial bid-based agreements. Utilities place purchase orders against these agreements as their inventories decline, which can create fluctuations in our sales volumes.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Sales cycles for advanced and smart metering systems are generally long and unpredictable due to several factors, including budgeting, purchasing, and regulatory approval processes that can take several years to complete. Our utility customers typically issue requests for quotes and proposals, establish evaluation processes, review different technical options with vendors, analyze performance and cost/benefit justifications, and perform a regulatory review, in addition to applying the normal budget approval process. Today, governments around the world are implementing new laws and regulations to promote increased energy efficiency, slow or reverse growth in the consumption of scarce resources, reduce carbon dioxide emissions, and protect the environment. Many of the legislative and regulatory initiatives encourage utilities to develop a smart grid infrastructure, and some of these initiatives provide for government subsidies, grants, or other incentives to utilities and other participants in their industry to promote transition to smart grid technologies. If government regulations regarding the smart grid and smart metering are delayed, revised to permit lower or different investment levels in metering infrastructure, or terminated altogether, this could have a material adverse effect on our results of operation, cash flow,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quarterly results may fluctuate substantially due to several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experienced variability in quarterly results, including losses, and believe our quarterly results will continue to fluctuate as a result of many factors, including those risks and events included throughout this section. Additional factors that may cause our results to vary include:</w:t>
      </w:r>
    </w:p>
    <w:p>
      <w:pPr>
        <w:spacing w:after="0" w:line="14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higher proportion of products sold with fewer features and functionality, resulting in lower revenues and gross margins;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shift in sales channel mix, which could impact the revenue received and commissions paid;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in sales volumes, which could result in lower gross margins as driven by lower absorption of manufacturing costs;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change in accounting standards or practices that may impact us to a greater degree than other companies due to our product mix, which would impact revenue recognition, or our borrowing structure;</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change in existing taxation rules or practices due to our specific operating structure that may not be comparable to other companies;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shortfall in sales without a proportional decrease in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face product-failure exposure.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are complex and may contain defects or experience failures due to any number of issues in design, materials, deployment, and/or use. If any of our products contain a defect, a compatibility or interoperability issue, or other types of errors, we may have to devote significant time and resources to identify and correct the issue. We provide product warranties for varying lengths of time and establish allowances in anticipation of warranty expenses. In addition, we record contingent liabilities for additional product-failure related costs. These warranty and related product-failure allowances may be inadequate due to product defects, and unanticipated component failures, as well as higher than anticipated material, labor, and other costs we may incur to replace projected product failures. A product recall or a significant number of product returns could be expensive; damage our reputation and relationships with utilities, meter and communication vendors, and other third-party vendors; result in the loss of business to competitors; or result in litigation against us. We may incur additional warranty expenses in the future with respect to new or established products, which could materially and adversely affect our operations and financial position.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customer contracts are complex and contain provisions that could cause us to incur penalties, be liable for damages, and/or incur unanticipated expenses with respect to the functionality, deployment, operation, and availability of our products and services.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risk of unanticipated warranty or recall expenses, our customer contracts may contain provisions that could cause us to incur penalties, be liable for damages, including liquidated damages, or incur other expenses if we experience difficulties with respect to the functionality, deployment, operation, and availability of our products and services. Some of these contracts contain long-term commitments to a set schedule of delivery or performance. If we failed in our initial estimated schedule or we fail in our management of the project, this may cause delays in completion. In the event of late deliveries, late or improper installations or operations, failure to meet product or performance specifications or other product defects, or interruptions or delays in our managed service offerings, our customer contracts may expose us to penalties, liquidated damages, and other liabilities. In the event we were to incur contractual penalties, such as liquidated damages or other related costs that exceed our expectations, our business, financial condition, and operating results could be materially and adversely affected. Further, we could be required to recognize a current-period expense related to a specific component of a customer contract at the time we determine the products and/or services to be delivered under that component would result in a loss due to expected revenues estimated to be less than expected costs. Depending on the amounts of the associated revenues (if any) and the costs, this charge could be material to our results of operations in the period it is recognized.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our ability to develop new competitive products.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future success will depend, in part, on our ability to continue to design and manufacture new competitive products and to enhance and sustain our existing products, keep pace with technological advances and changing customer requirements, gain international market acceptance, and manage other factors in the markets in which we sell our products. Product development will require continued investment in order to maintain our competitive position, and the periods in which we incur significant product development costs may drive variability in our quarterly results. We may not have the necessary capital, or access to capital at acceptable terms, to make these investments. We have made, and expect to continue to make, substantial investments in technology development. However, we may experience unforeseen problems in the development or performance of our technologies or products. In addition, we may not meet our product development schedules. New products often require certifications or regulatory approvals before the products can be used and we cannot be certain that our new products will be approved in a timely manner. Finally, we may not achieve market acceptance of our new products and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face increasing competition.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customer relationships, and experience. Some competitors may enter markets we serve and sell products at lower prices in order to gain or grow market share. Our competitors may be able to respond more quickly to new or emerging technologies and changes in customer requirements. They may also be able to devote greater resources to the development, promotion, and sale of their products and services than we can. Some competitors have made, and others may make, strategic acquisitions or establish cooperative relationships among themselves or with third parties that enhance their ability to address the needs of our prospective customers. It is possible that new competitors or alliances among current and new competitors may emerge and rapidly gain significant market share. Other companies may also drive technological innovation and develop products that are equal in quality and performance or superior to our products, which could put pressure on our market position, reduce our overall sales, and require us to invest additional funds in new technology development. In addition, there is a risk that low-cost providers will expand their presence in our markets, improve their quality, or form alliances or cooperative relationships with our competitors, thereby contributing to future price erosion. Some of our products and services may become commoditized, and we may have to adjust the prices of some of our products to stay competitive. Further, some utilities may purchase meters separately from the communication devices. The specifications for the meters would require interchangeability, which could lead to further commoditization of the meter, driving prices lower and reducing margins. Should we fail to compete successfully with current or future competitors, we could experience material adverse effects on our business, financial condition, results of operations, and cash flows.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acquisitions of and investments in third parties have risks.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complete additional acquisitions or make investments in the future, both within and outside of the United States. In order to finance future acquisitions, we may need to raise additional funds through public or private financings, and there are no assurances that such financing would be available at acceptable terms. Acquisitions and investments involve numerous risks such as the diversion of senior management’s attention; unsuccessful integration of the acquired entity’s personnel, operations, technologies, and products; incurrence of significant expenses to meet an acquiree's customer contractual commitments; lack of market acceptance of new services and technologies; or difficulties in operating businesses in international legal jurisdictions. Failure to properly or adequately address these issues could result in the diversion of management’s attention and resources and materially and adversely impact our ability to manage our business. In addition, acquisitions and investments in third parties may involve the assumption of obligations, significant write-offs, or other charges associated with the acquisition. Impairment of an investment, goodwill, or an intangible asset may result if these risks were to materialize. For investments in entities that are not wholly owned by Itron, such as joint ventures, a loss of control as defined by U.S. generally accepted accounting principles (GAAP) could result in a significant change in accounting treatment and a change in the carrying value of the entity. There can be no assurances that an acquired business will perform as expected, accomplish our strategic objectives, or generate significant revenues, profits,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adverse publicity, consumer or political opposition, or liability associated with our products.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safety and security of the power grid and natural gas and water supply systems, the accuracy and protection of the data collected by meters and transmitted via the smart grid, concerns about the safety and perceived health risks of using radio frequency communications, and privacy concerns of monitoring home appliance energy usage have been the focus of recent adverse publicity. Negative publicity and consumer opposition may cause utilities or their regulators to delay or modify planned smart grid initiatives. Smart grid projects may be, or may be perceived as, unsuccessful.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subject to claims that there are adverse health effects from the radio frequencies utilized in connection with our products. If these claims prevail, our customers could suspend implementation or purchase substitute products, which could cause a loss of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tax laws, valuation allowances, and unanticipated tax liabilities could adversely affect our effective income tax rate and profitability.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may be established when we believe that certain positions might be challenged despite our belief that our tax return positions are fully supportable. We adjust these reserves in light of changing facts and circumstances. The provision for income taxes includes the impact of reserve positions and changes to reserves that are considered appropriate, as well as valuation allowances when we determine it is more likely than not that a deferred tax asset cannot be realized. In addition, future changes in tax laws in the jurisdictions in which we operate could have a material impact on our effective income tax rate and profitability. We regularly assess all of these matters to determine the adequacy of our tax provision, which is subject to significant judgment.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Disruption and turmoil in global credit and financial markets, which may be exacerbated by the inability of certain countries to continue to service their sovereign debt obligations, and the possible negative implications of such events for the global economy, may negatively impact our business, liquidity, operating results, and financial condition.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current economic conditions, including volatility in the availability of credit and foreign exchange rates and extended economic slowdowns, have contributed to the instability in some global credit and financial markets. Additionally, at-risk financial institutions in certain countries may, without forewarning, seize a portion of depositors' account balances. The seized funds would be used to recapitalize the at-risk financial institution and would no longer be available for the depositors' use. If such seizure were to occur at financial institutions where we have funds on deposit, it could have a significant impact on our overall liquidity. While the ultimate outcome of these events cannot be predicted, it is possible that such events may have a negative impact on the global economy and our business, liquidity,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international business uncertainties, obstacles to the repatriation of earnings, and foreign currency fluctuations.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substantial portion of our revenues is derived from operations conducted outside the United States. International sales and operations may be subjected to risks such as the imposition of government controls, government expropriation of facilities, lack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of a well-established system of laws and enforcement of those laws, access to a legal system free of undue influence or corruption, political instability, terrorist activities, restrictions on the import or export of critical technology, currency exchange rate fluctuations, and adverse tax burdens. Lack of availability of qualified third-party financing, generally longer receivable collection periods than those commonly practiced in the United States, trade restrictions, changes in tariffs, labor disruptions, difficulties in staffing and managing international operations, difficulties in imposing and enforcing operational and financial controls at international locations, potential insolvency of international distributors, preference for local vendors, burdens of complying with different permitting standards and a wide variety of foreign laws, and obstacles to the repatriation of earnings and cash all present additional risk to our international operations. Fluctuations in the value of international currencies may impact our operating results due to the translation to the U.S. dollar as well as our ability to compete in international markets. 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technologies in the same manner as the laws of the United States. Further, foreign regulations or restrictions, e.g., opposition from unions or works councils, could delay, limit, or disallow significant operating decisions made by our management, e.g., decisions to exit certain businesses, close certain manufacturing locations, or other restructuring actions. There can be no assurance that these factors will not have a material adverse effect on our future international sales and, consequently,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certain key vendors and components.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products, subassemblies, and system components are procured from limited sources. Our reliance on such limited sources involves certain risks, including the possibility of shortages and reduced control over delivery schedules, quality, costs, and our vendors’ access to capital upon acceptable terms. Any adverse change in the supply, or price, of these components could adversely affect our business, financial condition, and results of operations. In addition, we depend on a small number of contract manufacturing vendors for a large portion of our low-volume manufacturing business and all of our repair services for our domestic handheld meter reading units. Should any of these vendors become unable to perform up to their responsibilities, our operations could be materially disrupted.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engage in future restructuring activities and incur additional charges in our efforts to improve profitability. We also may not achieve the anticipated savings and benefits from current or any future restructuring projects.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recent years, we have implemented multiple restructuring projects to adjust our cost structure, and we may engage in similar restructuring activities in the future. These restructuring activities reduce our available employee talent, assets, and other resources, which could slow product development, impact ability to respond to customers, increase quality issues, temporarily reduce manufacturing efficiencies, and limit our ability to increase production quickly. In addition, delays in implementing restructuring projects, unexpected costs, or failure to meet targeted improvements could reduce the overall savings anticipated from the restructuring project.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interruptions could adversely affect our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worldwide operations could be subject to hurricanes, tornadoes, earthquakes, floods, fires, extreme weather conditions, medical epidemics or pandemics, or other natural or man-made disasters or business interruptions. The occurrence of any of these business disruptions could seriously harm our business, financial condition, and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key manufacturing facilities are concentrated, and, 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encounter strikes or other labor disruptions that could adversely affect our financial condition and results of operations.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significant operations throughout the world. In a number of countries outside the U.S., our employees are covered by collective bargaining agreements. As the result of various corporate or operational actions, which our management has undertaken or may be made in the future, we could encounter labor disruptions. These disruptions may be subject to local media coverage, which could damage our reputation. Additionally, the disruptions could delay our ability to meet customer orders and could adversely affect our results of operations. Any labor disruptions could also have an impact on our other employees. Employee morale and productivity could suffer, and we may lose valued employees whom we wish to retain.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could result in significant changes that would adversely impact our future operating 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significant intangible assets, long-lived assets, goodwill, and deferred tax assets that are susceptible to valuation adjustments as a result of changes in various factors or conditions.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assess impairment of amortizable intangible and long-lived assets whenever events or changes in circumstances indicate that the carrying value may not be recoverable. Factors that could trigger an impairment of such assets include the following:</w:t>
      </w:r>
    </w:p>
    <w:p>
      <w:pPr>
        <w:spacing w:after="0" w:line="14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underperformance relative to projected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manner or use of the acquired assets or the strategy for our overall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negative industry or economic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 in our stock price for a sustained period or decline in our market capitalization below net book value; and</w:t>
      </w:r>
    </w:p>
    <w:p>
      <w:pPr>
        <w:spacing w:after="0" w:line="9"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our organization or management reporting structure, which could result in additional reporting units, requiring greater aggregation or disaggregation in our analysis by reporting unit and potentially alternative methods/assumptions of estimating fair values.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assess the potential impairment of goodwill each year as of October 1. We also assess the potential impairment of goodwill whenever events or changes in circumstances indicate that the carrying value may not be recoverable. Adverse changes in economic conditions or our operations could affect the assumptions we use to calculate the fair value, which in turn could result in an impairment charge in future periods that would impact our results of operations and financial position in that period.</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realization of our deferred tax assets is supported in part by projections of future taxable income. 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Realization is not assured, and the amount of deferred tax assets considered realizable could be reduced in the near term if estimates of future taxable income during the carryforward periods are reduced or current tax planning strategies are not implemented.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a variety of litigation that could adversely affect our results of operations, financial condition, and cash flows.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are involved in litigation that arises from our business. Litigation may, for example, relate to alleged infringements of intellectual property rights of others. Non-practicing entities may also make infringement claims in order to reach a settlement with us. In addition, these entities may bring claims against our customers, which, in some instances, could result in an indemnification of the customer. Litigation may also relate to, among other things, product failure or product liability claims, contractual disputes, employment matters, or securities litigation. Litigation can be expensive to defend and can divert the attention of management and other personnel for long periods of time, regardless of the ultimate outcome. We may be required to pay damage awards or settlements or become subject to equitable remedies that could adversely affect our financial condition and results of operations. While we currently maintain insurance coverage, such insurance may not provide adequate coverage against potential claims.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losses associated with alleged unauthorized use of third party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be subject to claims or inquiries regarding alleged unauthorized use of a third party’s intellectual property. An adverse outcome in any intellectual property litigation or negotiation could subject us to significant liabilities to third parties, require us to license technology or other intellectual property rights from others, require us to comply with injunctions to cease marketing or the use of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at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affected by the availability and regulation of radio spectrum and interference with the radio spectrum that we use.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number of our products use radio spectrum, which are subject to regulation by the Federal Communications Commission (FCC) in the United States.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Although radio licenses are generally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cannot cause harmful interference to licensed users and must be designed to accept interference from licensed radio devices. In the United States, our advanced and smart metering systems are typically Part 15 devices that transmit information to (and receive information from, if applicable) handheld, mobile, or fixed network systems pursuant to these rules.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depend upon sufficient radio spectrum to be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If the unlicensed frequencies become crowded to unacceptable levels, restrictive, or subject to changed rules governing their use, our business could be materially adversely affected.</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Outside of the United States, certain of our products require the use of RF and are subject to regulations in those jurisdictions where we have deployed such equipment. In some jurisdictions, radio station licensees are generally required to operate a radio transmitter and such licenses may be granted for a fixed term and must be periodically renewed. In other jurisdictions, the rules permit certain low power devices to operate on an unlicensed basis. Our advanced and smart metering systems typically transmit to (and receive information from, if applicable) handheld, mobile, or fixed network reading devices in license-exempt bands pursuant to rules regulating such use. In Europe, we generally use the 169 megahertz (MHz), 433 MHz, and 868 MHz bands. In the rest of the world, we primarily use the 433 MHz and 2.4000-2.4835 gigahertz (GHz) bands, as well as other local license-exempt bands. To the extent we introduce new products designed for use in the United States or another country into a new market, such products may require significant modification or redesign in order to meet frequency requirements and other regulatory specifications. In some countries, limitations on frequency availability or the cost of making necessary modifications may preclude us from selling our products in those countries. In addition, new consumer products may create interference with the performance of our products, which could lead to claims against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intellectual property.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we believe that our patents and other intellectual property have significant value, it is uncertain that this intellectual property or any intellectual property acquired or developed by us in the future will provide meaningful competitive advantages. There can be no assurance that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of our intellectual property, we may need to commence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Policing unauthorized use of our intellectual property is difficult and expensive, and we cannot provide assurance that we will be able to prevent misappropriation of our proprietary rights, particularly in countries that do not protect such rights in the same manner as in the United States.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pension benefit obligations, which could have a material impact on our earnings, liabilities, and shareholders' equity and could have significant adverse impacts in future periods.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Our general funding policy for these qualified pension plans is to contribute amounts sufficient to satisfy regulatory funding standards of the respective countries for each plan.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determination of pension plan expense, benefit obligation, and future contributions depends heavily on market factors such as the discount rate and the actual return on plan assets. We estimate pension plan expense, benefit obligation, and future contributions to these plans using assumptions with respect to these and other items. Changes to those assumptions could have a significant effect on future contributions as well as on our annual pension costs and/or result in a significant change to shareholders'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number of key personnel are critical to the success of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success depends in large part on the efforts of our highly qualified technical and management personnel and highly skilled individuals in all disciplines.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loss of one or more of these employees and the inability to attract and retain qualified replacements could have a material adverse effect on our business.</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are unable to protect our information technology infrastructure and network against data corruption, cyber-based attacks or network security breaches, we could be exposed to customer liability and reputational risk.</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various information technology systems to capture, process, store, and report data and interact with customers, vendors, and employees. Despite security steps we have taken to secure all information and transactions, our information technology systems, and those of our third-party providers, may be subject to cyber attacks. Any data breaches could result in misappropriation of data or disruption of operations. In addition, hardware and operating system software and applications that we procure from third parties may contain defects in design or manufacture that could interfere with the operation of the systems. Misuse of internal applications; theft of intellectual property, trade secrets, or other corporate assets; and inappropriate disclosure of confidential information could stem from such incidents.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have designed products and services that connect to and are part of the “Internet of Things.” While we attempt to provide adequate security measures to safeguard our products from cyber attacks, the potential for an attack remains. A successful attack may result in inappropriate access to information or an inability for our products to function properly.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such operational disruption and/or misappropriation of information could result in lost sales, negative publicity, or business delays and could have a material adverse effect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realize the expected benefits from strategic alliances.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several strategic alliances with large and complex organizations and other companies with which we work to offer complementary products and services. There can be no assurance we will realize the expected benefits from these strategic alliances. If successful, these relationships may be mutually beneficial and result in shared growth. However, alliances carry an element of risk because, in most cases, we must both compete and collaborate with the same company from one market to the next. Should our strategic partnerships fail to perform, we could experience delays in product development or experience other operational difficulties.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information technology systems.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industry requires the continued operation of sophisticated information technology systems and network infrastructures, which may be subject to disruptions arising from events that are beyond our control. We are dependent on information technology systems, including, but not limited to, networks, applications, and outsourced services. We continually enhance and implement new systems and processes throughout our global operations.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offer managed services and software utilizing several data center facilities located worldwide. Any damage to, or failure of, these systems could result in interruptions in the services we provide to our utility customers. As we continue to add capacity to our existing and future data centers, we may move or transfer data. Despite precautions taken during this process, any delayed or unsuccessful data transfers may impair the delivery of our services to our utility customers. We also sell vending and pre-payment systems with security features that, if compromised, may lead to claims against 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completing a phased upgrade of our primary enterprise resource planning (ERP) systems to allow for greater depth and breadth of functionality worldwide. System conversions are expensive and time consuming undertakings that impact all areas of the Company. While successful implementations of each phase will provide many benefits to us, an unsuccessful or delayed implementation of any particular phase may cost us significant time and resources.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failure of these systems to operate effectively, problems with transitioning to upgraded or replacement systems, or a breach in security of these systems due to computer viruses, hacking, acts of terrorism, and other causes could materially and adversely affect our business, financial condition, and results of operations by harming our ability to accurately forecast sales demand, manage our supply chain and production facilities, achieve accuracy in the conversion of electronic data and records, and report financial and management information on a timely and accurate basis. In addition, due to the systemic internal control features within ERP systems, we may experience difficulties that could affect our internal control over financial reporting.</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Changes in environmental regulations, violations of such regulations, or future environmental liabilities could cause us to incur significant costs and could adversely affect our operations.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and our facilities are subject to numerous laws, regulations, and ordinances governing, among other things, the storage, discharge, handling, emission, generation, manufacture, disposal, remediation of, and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will not arise with respect to these activities, or that the cost of complying with governmental regulations in the future will not have a material adverse effect on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credit facility limits our ability and the ability of many of our subsidiaries to take certain actions.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credit facility places restrictions on our ability, and the ability of many of our subsidiaries, dependent on meeting specified financial ratios, to, among other things: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incur more debt;</w:t>
            </w:r>
          </w:p>
        </w:tc>
        <w:tc>
          <w:tcPr>
            <w:tcW w:w="5700" w:type="dxa"/>
            <w:vAlign w:val="bottom"/>
            <w:gridSpan w:val="2"/>
          </w:tcPr>
          <w:p>
            <w:pPr>
              <w:ind w:left="860"/>
              <w:spacing w:after="0"/>
              <w:rPr>
                <w:sz w:val="20"/>
                <w:szCs w:val="20"/>
                <w:color w:val="auto"/>
              </w:rPr>
            </w:pPr>
            <w:r>
              <w:rPr>
                <w:rFonts w:ascii="Arial" w:cs="Arial" w:eastAsia="Arial" w:hAnsi="Arial"/>
                <w:sz w:val="18"/>
                <w:szCs w:val="18"/>
                <w:color w:val="auto"/>
                <w:w w:val="91"/>
              </w:rPr>
              <w:t>•  pay dividends, make distributions, and repurchase capital stock;</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make certain investments;</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create liens;</w:t>
            </w:r>
          </w:p>
        </w:tc>
      </w:tr>
      <w:tr>
        <w:trPr>
          <w:trHeight w:val="270"/>
        </w:trPr>
        <w:tc>
          <w:tcPr>
            <w:tcW w:w="3760" w:type="dxa"/>
            <w:vAlign w:val="bottom"/>
            <w:gridSpan w:val="2"/>
          </w:tcPr>
          <w:p>
            <w:pPr>
              <w:spacing w:after="0"/>
              <w:rPr>
                <w:sz w:val="20"/>
                <w:szCs w:val="20"/>
                <w:color w:val="auto"/>
              </w:rPr>
            </w:pPr>
            <w:r>
              <w:rPr>
                <w:rFonts w:ascii="Arial" w:cs="Arial" w:eastAsia="Arial" w:hAnsi="Arial"/>
                <w:sz w:val="18"/>
                <w:szCs w:val="18"/>
                <w:color w:val="auto"/>
              </w:rPr>
              <w:t>•  enter into transactions with affiliates;</w:t>
            </w:r>
          </w:p>
        </w:tc>
        <w:tc>
          <w:tcPr>
            <w:tcW w:w="5700" w:type="dxa"/>
            <w:vAlign w:val="bottom"/>
            <w:gridSpan w:val="2"/>
          </w:tcPr>
          <w:p>
            <w:pPr>
              <w:ind w:left="860"/>
              <w:spacing w:after="0"/>
              <w:rPr>
                <w:sz w:val="20"/>
                <w:szCs w:val="20"/>
                <w:color w:val="auto"/>
              </w:rPr>
            </w:pPr>
            <w:r>
              <w:rPr>
                <w:rFonts w:ascii="Arial" w:cs="Arial" w:eastAsia="Arial" w:hAnsi="Arial"/>
                <w:sz w:val="18"/>
                <w:szCs w:val="18"/>
                <w:color w:val="auto"/>
              </w:rPr>
              <w:t>•  enter into sale lease-back transactions;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merge or consolidate;</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transfer or sell assets.</w:t>
            </w:r>
          </w:p>
        </w:tc>
      </w:tr>
    </w:tbl>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credit facility contains other customary covenants, including the requirement to meet specified financial ratios and provide periodic financial reporting. Our ability to borrow under our credit facility will depend on the satisfaction of these covenants. Events beyond our control can affect our ability to meet those covenants. Our failure to comply with obligations under our borrowing arrangements may result in declaration of an event of default. An event of default, if not cured or waived, may permit acceleration of required payments against such indebtedness. We cannot be certain we will be able to remedy any such defaults. If our required payments are accelerated, we cannot be certain that we will have sufficient funds available to pay the indebtedness or that we will have the ability to raise sufficient capital to replace the indebtedness on terms favorable to us or at all. In addition, in the case of an event of default under our secured indebtedness such as our credit facility, the lenders may be permitted to foreclose on our assets securing that indebtedness.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is sensitive to interest rate fluctuations that could impact our financial position and results of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service our indebtedness is dependent on our ability to generate cash, which is influenced by many factors beyond our control.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make payments on or refinance our indebtedness, fund planned capital expenditures, and continue research and development will depend on our ability to generate cash in the future. This is dependent on the degree to which we succeed in executing our business plans, which is influenced, in part, by general economic, financial, competitive, legislative, regulatory, counterparty, and other risks that are beyond our control. We may need to refinance all or a portion of our indebtedness on or before maturity. We cannot provide assurance that we will be able to refinance any of our indebtedness on commercially reasonable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counterparty default risks with our financial institutions and insurance providers.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one or more of the depository institutions in which we maintain significant cash balances were to fail, our ability to access these funds might be temporarily or permanently limited, and we could face material liquidity problems and financial losses.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lenders of our credit facility consist of several participating financial institutions. Our revolving line of credit allows us to provide letters of credit in support of our obligations for customer contracts and provides additional liquidity. If our lenders are not able to honor their line of credit commitments due to the loss of a participating financial institution or other circumstance, we would need to seek alternative financing, which may not be under acceptable terms, and therefore could adversely impact our ability to successfully bid on future sales contracts and adversely impact our liquidity and ability to fund some of our internal initiatives or future acquisitions.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international sales and operations are subject to complex laws relating to foreign corrupt practices and anti-bribery laws, among many others, and a violation of, or change in, these laws could adversely affect our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Foreign Corrupt Practices Act in the United States requires United States companies to comply with an extensive legal framework to prevent bribery of foreign officials. The laws are complex and require that we closely monitor local practices of our overseas offices. The United States Department of Justice has recently heightened enforcement of these laws. In addition, other countries continue to implement similar laws that may have extra-territorial effect. In the United Kingdom, where we have operations, the U.K. Bribery Act imposes significant oversight obligations on us and could impact our operations outside of the United Kingdom. The costs for complying with these and similar laws may be significant and could require significant management time and focus. Any violation of these or similar laws, intentional or unintentional, could have a material adverse effect on our business, financial condition, or results of operations.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fail to maintain an effective system of internal controls, we may not be able to accurately report our financial results, prevent fraud, or maintain investor confidence. Failure to maintain effective internal controls over financial reporting resulted in a material weakness during 2015.</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In addition, Section 404 under the Sarbanes-Oxley Act requires that our auditors attest to the design and operating effectiveness of our controls over financial reporting. Our compliance with the annual internal control report requirement for each fiscal year will depend on the effectiveness of our financial reporting, data systems, and controls across our operating subsidiaries. Furthermore, an important part of our growth strategy has been, and will likely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We cannot be certain that these measures will ensure that we design, implement, and maintain adequate controls over our financial processes and reporting in the future, especially for acquisition targets that may not have been required to be in compliance with Section 404 of the Sarbanes-Oxley Act at the date of acquisition.</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implement new controls or enhancements to controls, failure to remediate the material weakness, difficulties encountered in control implementation or operation, or difficulties in the assimilation of acquired businesses into our control system could result in additional errors, material misstatements, or delays in our financial reporting obligations. Inadequate internal controls could also cause investors to lose confidence in our reported financial information, which could have a negative effect on the trading price of our stock and our access to capital.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material weakness over financial reporting related to revenue recognition is disclosed in Item 9A. Remediating our material weakness and ensuring that we maintain effective internal control over financial reporting will require substantial management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time and attention. We have also incurred significant costs, including legal, accounting and other professional fees in connection with assessing the impacts of misstatements and revising our previously issued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failure to prepare and timely file our periodic reports with the SEC limits our access to the public markets to raise debt or equity capital.</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did not file our 2015 Annual Report on Form 10-K or our Quarterly Report on Form 10-Q for the quarter ended March 31, 2016 (our “First Quarter 2016 Form 10-Q”) within the time frame required by SEC rules. Because of our failure to have timely filed those periodic reports with the SEC, we are currently ineligible to use SEC Form S-3, which is a short-form registration statement, to register our securities for public offer and sale, until we have timely filed all periodic reports under the Securities Exchange Act of 1934, as amended, for a period of twelve months and any portion of a month from the due date of the last untimely report. Our inability to use Form S-3 limits our ability to access the public capital markets rapidly, including in reaction to changing business needs or market conditions. While we may currently register an offering of our securities on Form S-1, doing so would likely increase transaction costs and adversely impact our ability to raise capital or complete any related transaction, such as an acquisition, in a timely manner.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regulatory compliance.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various governmental regulations in all of the jurisdictions in which we conduct business.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Regulations related to “conflict minerals” may force us to incur additional expenses, may result in damage to our business reputation, and may adversely impact our ability to conduct our business.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2012, under the Dodd-Frank Wall Street Reform and Consumer Protection Act of 2010, the SEC adopted requirements for companies that use certain minerals and derivative metals (referred to as “conflict minerals,” regardless of their actual country of origin) in their products. Some of these metals are commonly used in electronic equipment and devices, including our products. These requirements require companies to investigate, disclose and report whether or not such metals originated from the Democratic Republic of Congo or adjoining countries and required due diligence efforts. There may be increased costs associated with complying with these disclosure requirements, including for diligence to determine the sources of conflict minerals used in our products and other potential changes to products, processes or sources of supply as a consequence of such verification activities. Further interpretation and implementation of these rules could adversely affect the sourcing, supply, and pricing of materials used in our products.</w:t>
      </w: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own our headquarters facility, which is located in Liberty Lake, Washington.</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Gas and Water manufacturing facilities are located throughout the world, while our Electricity manufacturing facilities are located primarily in Europe, Middle East, and Africa (EMEA) and North America. The following table lists our major manufacturing facilities by the location and product line.</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860" w:type="dxa"/>
            <w:vAlign w:val="bottom"/>
            <w:tcBorders>
              <w:right w:val="single" w:sz="8" w:color="auto"/>
            </w:tcBorders>
          </w:tcPr>
          <w:p>
            <w:pPr>
              <w:spacing w:after="0"/>
              <w:rPr>
                <w:sz w:val="22"/>
                <w:szCs w:val="22"/>
                <w:color w:val="auto"/>
              </w:rPr>
            </w:pPr>
          </w:p>
        </w:tc>
        <w:tc>
          <w:tcPr>
            <w:tcW w:w="2400" w:type="dxa"/>
            <w:vAlign w:val="bottom"/>
            <w:tcBorders>
              <w:top w:val="single" w:sz="8" w:color="auto"/>
            </w:tcBorders>
          </w:tcPr>
          <w:p>
            <w:pPr>
              <w:spacing w:after="0"/>
              <w:rPr>
                <w:sz w:val="22"/>
                <w:szCs w:val="22"/>
                <w:color w:val="auto"/>
              </w:rPr>
            </w:pPr>
          </w:p>
        </w:tc>
        <w:tc>
          <w:tcPr>
            <w:tcW w:w="4780" w:type="dxa"/>
            <w:vAlign w:val="bottom"/>
            <w:tcBorders>
              <w:top w:val="single" w:sz="8" w:color="auto"/>
            </w:tcBorders>
            <w:gridSpan w:val="2"/>
          </w:tcPr>
          <w:p>
            <w:pPr>
              <w:ind w:left="1880"/>
              <w:spacing w:after="0"/>
              <w:rPr>
                <w:sz w:val="20"/>
                <w:szCs w:val="20"/>
                <w:color w:val="auto"/>
              </w:rPr>
            </w:pPr>
            <w:r>
              <w:rPr>
                <w:rFonts w:ascii="Arial" w:cs="Arial" w:eastAsia="Arial" w:hAnsi="Arial"/>
                <w:sz w:val="18"/>
                <w:szCs w:val="18"/>
                <w:b w:val="1"/>
                <w:bCs w:val="1"/>
                <w:color w:val="auto"/>
              </w:rPr>
              <w:t>Product Line</w:t>
            </w:r>
          </w:p>
        </w:tc>
        <w:tc>
          <w:tcPr>
            <w:tcW w:w="24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Region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Electricity</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Gas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Water</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Multiple Product Lines</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North America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Oconee, SC (O)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Owenton, KY (O)</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Waseca, MN - G,W (L)</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86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Chasseneuil, France (O)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Argenteuil, France (L)</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Massy, France (L)</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324"/>
        </w:trPr>
        <w:tc>
          <w:tcPr>
            <w:tcW w:w="186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Godollo, Hungary (O)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Reims, France (O)</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Macon, France (O)</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EMEA</w:t>
            </w:r>
          </w:p>
        </w:tc>
        <w:tc>
          <w:tcPr>
            <w:tcW w:w="240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Karlsruhe, Germany (O)</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Haguenau, France (O)</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6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Stretford, England (O)</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Oldenburg, Germany (O)</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6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Asti, Italy (O)</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Asia/Pacific</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Wujiang, China (L)</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Suzhou, China (L)</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Bekasi, Indonesia - E,W (O)</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Dehradun, India (L)</w:t>
            </w:r>
          </w:p>
        </w:tc>
        <w:tc>
          <w:tcPr>
            <w:tcW w:w="2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vMerge w:val="continue"/>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Latin America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Buenos Aires, Argentina (O)</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Americana, Brazil (O)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Manufacturing facility is owned</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Manufacturing facility is leased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 - Electricity manufacturing facility, G - Gas manufacturing facility, W - Water manufacturing facility</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principal properties are in good condition, and we believe our current facilities are sufficient to support our operations. Our major manufacturing facilities are owned, while smaller factories are typically leased.</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to our manufacturing facilities, we have numerous sales offices, product development facilities, and distribution centers, which are located throughout the world.</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Please refer to Item 8: “Financial Statements and Supplementary Data, Note 13: Commitments and Contingencies” included in this Annual Report on Form 10-K. Except as described therein, there were no material pending legal proceedings, as defined by Item 103 of Regulation S-K, at December 31, 2015.</w:t>
      </w:r>
    </w:p>
    <w:p>
      <w:pPr>
        <w:spacing w:after="0" w:line="17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40"/>
          </w:cols>
          <w:pgMar w:left="240" w:top="125" w:right="2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900" w:hanging="890"/>
        <w:spacing w:after="0" w:line="282" w:lineRule="auto"/>
        <w:tabs>
          <w:tab w:leader="none" w:pos="88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stock is traded on the NASDAQ Global Select Market. The following table reflects the range of high and low common stock sales prices for the four quarters of 2015 and 2014 as reported by the NASDAQ Global Select Market.</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89"/>
              </w:rPr>
              <w:t>2015</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89"/>
              </w:rPr>
              <w:t>2014</w:t>
            </w:r>
          </w:p>
        </w:tc>
        <w:tc>
          <w:tcPr>
            <w:tcW w:w="12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ind w:left="300"/>
              <w:spacing w:after="0"/>
              <w:rPr>
                <w:sz w:val="20"/>
                <w:szCs w:val="20"/>
                <w:color w:val="auto"/>
              </w:rPr>
            </w:pPr>
            <w:r>
              <w:rPr>
                <w:rFonts w:ascii="Arial" w:cs="Arial" w:eastAsia="Arial" w:hAnsi="Arial"/>
                <w:sz w:val="16"/>
                <w:szCs w:val="16"/>
                <w:b w:val="1"/>
                <w:bCs w:val="1"/>
                <w:color w:val="auto"/>
              </w:rPr>
              <w:t>Low</w:t>
            </w:r>
          </w:p>
        </w:tc>
        <w:tc>
          <w:tcPr>
            <w:tcW w:w="380" w:type="dxa"/>
            <w:vAlign w:val="bottom"/>
          </w:tcPr>
          <w:p>
            <w:pPr>
              <w:spacing w:after="0"/>
              <w:rPr>
                <w:sz w:val="20"/>
                <w:szCs w:val="20"/>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619"/>
              <w:spacing w:after="0"/>
              <w:rPr>
                <w:sz w:val="20"/>
                <w:szCs w:val="20"/>
                <w:color w:val="auto"/>
              </w:rPr>
            </w:pPr>
            <w:r>
              <w:rPr>
                <w:rFonts w:ascii="Arial" w:cs="Arial" w:eastAsia="Arial" w:hAnsi="Arial"/>
                <w:sz w:val="16"/>
                <w:szCs w:val="16"/>
                <w:b w:val="1"/>
                <w:bCs w:val="1"/>
                <w:color w:val="auto"/>
              </w:rPr>
              <w:t>Low</w:t>
            </w:r>
          </w:p>
        </w:tc>
      </w:tr>
      <w:tr>
        <w:trPr>
          <w:trHeight w:val="33"/>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43.14</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33.64</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37.81</w:t>
            </w:r>
          </w:p>
        </w:tc>
        <w:tc>
          <w:tcPr>
            <w:tcW w:w="6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34.44</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41.21</w:t>
            </w:r>
          </w:p>
        </w:tc>
        <w:tc>
          <w:tcPr>
            <w:tcW w:w="6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33.68</w:t>
            </w: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33.91</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42.88</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35.77</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37.53</w:t>
            </w:r>
          </w:p>
        </w:tc>
        <w:tc>
          <w:tcPr>
            <w:tcW w:w="6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31.75</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43.35</w:t>
            </w:r>
          </w:p>
        </w:tc>
        <w:tc>
          <w:tcPr>
            <w:tcW w:w="6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36.42</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graph compares the five-year cumulative total return to shareholders on our common stock with the five-year cumulative total return of our peer group of companies used for the year ended December 31, 2015 and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83185</wp:posOffset>
            </wp:positionV>
            <wp:extent cx="5711190" cy="4288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1190" cy="428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right="4560"/>
        <w:spacing w:after="0" w:line="277" w:lineRule="auto"/>
        <w:tabs>
          <w:tab w:leader="none" w:pos="1115"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invested on 12/31/10 in stock or index, including investment of dividends. Fiscal years ending December 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performance graph above is being furnished solely to accompany this Report pursuant to Item 201(e) of Regulation S-K,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presentation assumes $100 invested on December 31, 2010 in the common stock of Itron, Inc., the peer group, and the NASDAQ Composite Index, with all dividends reinvested. With respect to companies in the peer group, the returns of each such corporation have been weighted to reflect relative stock market capitalization at the beginning of each annual period plotted. The stock prices shown above for our common stock are historical and not necessarily indicative of future price performance.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year, we reassess our peer group to identify global companies that are either direct competitors or have similar industry and business operating characteristics. Our 2015 peer group includes the following publicly traded companies: Badger Meter, Inc., Echelon Corporation, National Instruments Corporation, Roper Industries, Inc., and Silver Spring Networks,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information about our purchases of our shares of common stock, based on settlement date, during the quarterly period ended December 31, 2015.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Maximum Dollar Value of</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Total Number of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 Price Paid per</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Purchased Under the</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940" w:type="dxa"/>
            <w:vAlign w:val="bottom"/>
          </w:tcPr>
          <w:p>
            <w:pPr>
              <w:jc w:val="right"/>
              <w:ind w:right="459"/>
              <w:spacing w:after="0"/>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Share</w:t>
            </w:r>
            <w:r>
              <w:rPr>
                <w:rFonts w:ascii="Arial" w:cs="Arial" w:eastAsia="Arial" w:hAnsi="Arial"/>
                <w:sz w:val="21"/>
                <w:szCs w:val="21"/>
                <w:b w:val="1"/>
                <w:bCs w:val="1"/>
                <w:color w:val="auto"/>
                <w:w w:val="84"/>
                <w:vertAlign w:val="superscript"/>
              </w:rPr>
              <w:t>(2)</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Plans or Programs</w:t>
            </w:r>
          </w:p>
        </w:tc>
      </w:tr>
      <w:tr>
        <w:trPr>
          <w:trHeight w:val="231"/>
        </w:trPr>
        <w:tc>
          <w:tcPr>
            <w:tcW w:w="3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October 1 through October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88,266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88,266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November 1 through November 30</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25,000</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 through December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w:t>
            </w:r>
          </w:p>
        </w:tc>
      </w:tr>
      <w:tr>
        <w:trPr>
          <w:trHeight w:val="244"/>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88,266</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34.04</w:t>
            </w:r>
          </w:p>
        </w:tc>
        <w:tc>
          <w:tcPr>
            <w:tcW w:w="100" w:type="dxa"/>
            <w:vAlign w:val="bottom"/>
          </w:tcPr>
          <w:p>
            <w:pPr>
              <w:spacing w:after="0"/>
              <w:rPr>
                <w:sz w:val="21"/>
                <w:szCs w:val="21"/>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88,266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line="229" w:lineRule="auto"/>
        <w:tabs>
          <w:tab w:leader="none" w:pos="34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On February 19, 2015, our Board of Directors authorized a twelve-month repurchase program of up to $50 million of Itron's common stock. Repurchases are made in the open market or in privately negotiated transactions, and in accordance with applicable securities laws. No shares were purchased outside of this plan.</w:t>
      </w:r>
    </w:p>
    <w:p>
      <w:pPr>
        <w:spacing w:after="0" w:line="98" w:lineRule="exact"/>
        <w:rPr>
          <w:rFonts w:ascii="Arial" w:cs="Arial" w:eastAsia="Arial" w:hAnsi="Arial"/>
          <w:sz w:val="21"/>
          <w:szCs w:val="21"/>
          <w:color w:val="auto"/>
          <w:vertAlign w:val="superscript"/>
        </w:rPr>
      </w:pPr>
    </w:p>
    <w:p>
      <w:pPr>
        <w:ind w:left="340" w:hanging="332"/>
        <w:spacing w:after="0"/>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Includes commissions.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At May 31, 2016, there were 224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the inception of the Company, we have not declared or paid cash dividends. We intend to retain future earnings for the development of our business and do not anticipate paying cash dividends in the foreseeable future.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tab/>
        <w:t>SELECTED CONSOLIDATED FINANCIAL DATA</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selected consolidated financial data below is derived from our consolidated financial statements, which have been revised to correct previously issued financial statements. Refer to Item 8: “Financial Statements and Supplementary Data, Note 2: Revised Financials” included in this Annual Report on Form 10-K for further discussion and analysis of this revision. Information included in the table below from fiscal years 2013 through 2015 Consolidated Statements of Operations and Consolidated Statements of Cash Flows, and the Consolidated Balance Sheets for 2014 and 2015, have been audited by an independent registered public accounting firm.</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selected consolidated financial and other data represent portions of our financial statements. You should read this information together with Item 7: “Management’s Discussion and Analysis of Financial Condition and Results of Operations” and Item 8: “Financial Statements and Supplementary Data” included in this Annual Report on Form 10-K. Historical results are not necessarily indicative of future performance.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r>
              <w:rPr>
                <w:rFonts w:ascii="Arial" w:cs="Arial" w:eastAsia="Arial" w:hAnsi="Arial"/>
                <w:sz w:val="21"/>
                <w:szCs w:val="21"/>
                <w:b w:val="1"/>
                <w:bCs w:val="1"/>
                <w:color w:val="auto"/>
                <w:vertAlign w:val="superscript"/>
              </w:rPr>
              <w:t>(5)</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r>
              <w:rPr>
                <w:rFonts w:ascii="Arial" w:cs="Arial" w:eastAsia="Arial" w:hAnsi="Arial"/>
                <w:sz w:val="21"/>
                <w:szCs w:val="21"/>
                <w:b w:val="1"/>
                <w:bCs w:val="1"/>
                <w:color w:val="auto"/>
                <w:vertAlign w:val="superscript"/>
              </w:rPr>
              <w:t>(4)</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2012</w:t>
            </w:r>
            <w:r>
              <w:rPr>
                <w:rFonts w:ascii="Arial" w:cs="Arial" w:eastAsia="Arial" w:hAnsi="Arial"/>
                <w:sz w:val="21"/>
                <w:szCs w:val="21"/>
                <w:b w:val="1"/>
                <w:bCs w:val="1"/>
                <w:color w:val="auto"/>
                <w:vertAlign w:val="superscript"/>
              </w:rPr>
              <w:t>(3)</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2011</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(in thousands, except per share data)</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1,883,533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1,947,616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1,938,025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2,156,365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2,426,137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1,326,848</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1,333,566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1,323,257</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1,448,753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1,686,165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556,685</w:t>
            </w:r>
          </w:p>
        </w:tc>
        <w:tc>
          <w:tcPr>
            <w:tcW w:w="3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614,050</w:t>
            </w:r>
          </w:p>
        </w:tc>
        <w:tc>
          <w:tcPr>
            <w:tcW w:w="32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614,768</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707,612</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739,972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52,846</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480</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(139,863)</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139,153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(460,652)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income (loss) attributable to Itron, Inc.</w:t>
            </w:r>
          </w:p>
        </w:tc>
        <w:tc>
          <w:tcPr>
            <w:tcW w:w="2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12,678</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(23,670)</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(153,153)</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99,839</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(510,570)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common share - Basic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2.52</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Earnings (loss) per common share - 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0.33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2.50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(12.57)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38,224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39,184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39,281</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39,625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40,612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2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38,506</w:t>
            </w:r>
          </w:p>
        </w:tc>
        <w:tc>
          <w:tcPr>
            <w:tcW w:w="3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39,184</w:t>
            </w:r>
          </w:p>
        </w:tc>
        <w:tc>
          <w:tcPr>
            <w:tcW w:w="32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39,281</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39,934</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40,612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Consolidated Balance Sheets Data</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Working capital</w:t>
            </w:r>
            <w:r>
              <w:rPr>
                <w:rFonts w:ascii="Arial" w:cs="Arial" w:eastAsia="Arial" w:hAnsi="Arial"/>
                <w:sz w:val="21"/>
                <w:szCs w:val="21"/>
                <w:color w:val="auto"/>
                <w:vertAlign w:val="superscript"/>
              </w:rPr>
              <w:t>(1)</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281,166</w:t>
            </w:r>
          </w:p>
        </w:tc>
        <w:tc>
          <w:tcPr>
            <w:tcW w:w="3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262,393</w:t>
            </w:r>
          </w:p>
        </w:tc>
        <w:tc>
          <w:tcPr>
            <w:tcW w:w="3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338,476</w:t>
            </w:r>
          </w:p>
        </w:tc>
        <w:tc>
          <w:tcPr>
            <w:tcW w:w="3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338,985</w:t>
            </w:r>
          </w:p>
        </w:tc>
        <w:tc>
          <w:tcPr>
            <w:tcW w:w="3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324,708</w:t>
            </w:r>
          </w:p>
        </w:tc>
        <w:tc>
          <w:tcPr>
            <w:tcW w:w="0" w:type="dxa"/>
            <w:vAlign w:val="bottom"/>
          </w:tcPr>
          <w:p>
            <w:pPr>
              <w:spacing w:after="0"/>
              <w:rPr>
                <w:sz w:val="1"/>
                <w:szCs w:val="1"/>
                <w:color w:val="auto"/>
              </w:rPr>
            </w:pPr>
          </w:p>
        </w:tc>
      </w:tr>
      <w:tr>
        <w:trPr>
          <w:trHeight w:val="74"/>
        </w:trPr>
        <w:tc>
          <w:tcPr>
            <w:tcW w:w="470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vMerge w:val="continue"/>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340" w:type="dxa"/>
            <w:vAlign w:val="bottom"/>
            <w:tcBorders>
              <w:bottom w:val="single" w:sz="8" w:color="CCEEFF"/>
            </w:tcBorders>
            <w:vMerge w:val="continue"/>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320" w:type="dxa"/>
            <w:vAlign w:val="bottom"/>
            <w:tcBorders>
              <w:bottom w:val="single" w:sz="8" w:color="CCEEFF"/>
            </w:tcBorders>
            <w:vMerge w:val="continue"/>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340" w:type="dxa"/>
            <w:vAlign w:val="bottom"/>
            <w:tcBorders>
              <w:bottom w:val="single" w:sz="8" w:color="CCEEFF"/>
            </w:tcBorders>
            <w:vMerge w:val="continue"/>
            <w:shd w:val="clear" w:color="auto" w:fill="CCEEFF"/>
          </w:tcPr>
          <w:p>
            <w:pPr>
              <w:spacing w:after="0"/>
              <w:rPr>
                <w:sz w:val="6"/>
                <w:szCs w:val="6"/>
                <w:color w:val="auto"/>
              </w:rPr>
            </w:pPr>
          </w:p>
        </w:tc>
        <w:tc>
          <w:tcPr>
            <w:tcW w:w="1000" w:type="dxa"/>
            <w:vAlign w:val="bottom"/>
            <w:tcBorders>
              <w:bottom w:val="single" w:sz="8" w:color="CCEEFF"/>
            </w:tcBorders>
            <w:vMerge w:val="continue"/>
            <w:shd w:val="clear" w:color="auto" w:fill="CCEEFF"/>
          </w:tcPr>
          <w:p>
            <w:pPr>
              <w:spacing w:after="0"/>
              <w:rPr>
                <w:sz w:val="6"/>
                <w:szCs w:val="6"/>
                <w:color w:val="auto"/>
              </w:rPr>
            </w:pPr>
          </w:p>
        </w:tc>
        <w:tc>
          <w:tcPr>
            <w:tcW w:w="340" w:type="dxa"/>
            <w:vAlign w:val="bottom"/>
            <w:tcBorders>
              <w:bottom w:val="single" w:sz="8" w:color="CCEEFF"/>
            </w:tcBorders>
            <w:vMerge w:val="continue"/>
            <w:shd w:val="clear" w:color="auto" w:fill="CCEEFF"/>
          </w:tcPr>
          <w:p>
            <w:pPr>
              <w:spacing w:after="0"/>
              <w:rPr>
                <w:sz w:val="6"/>
                <w:szCs w:val="6"/>
                <w:color w:val="auto"/>
              </w:rPr>
            </w:pPr>
          </w:p>
        </w:tc>
        <w:tc>
          <w:tcPr>
            <w:tcW w:w="9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1,681,363</w:t>
            </w:r>
          </w:p>
        </w:tc>
        <w:tc>
          <w:tcPr>
            <w:tcW w:w="3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1,751,747</w:t>
            </w:r>
          </w:p>
        </w:tc>
        <w:tc>
          <w:tcPr>
            <w:tcW w:w="32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1,907,179</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2,110,825</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2,065,522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371,212</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323,969</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378,750</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417,500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452,502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Itron, Inc. shareholders' equity</w:t>
            </w:r>
          </w:p>
        </w:tc>
        <w:tc>
          <w:tcPr>
            <w:tcW w:w="2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604,758</w:t>
            </w:r>
          </w:p>
        </w:tc>
        <w:tc>
          <w:tcPr>
            <w:tcW w:w="3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681,001</w:t>
            </w:r>
          </w:p>
        </w:tc>
        <w:tc>
          <w:tcPr>
            <w:tcW w:w="32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839,011</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982,253</w:t>
            </w:r>
          </w:p>
        </w:tc>
        <w:tc>
          <w:tcPr>
            <w:tcW w:w="3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905,103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Other Financial Data</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73,350</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132,973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105,421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205,090</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252,358</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(48,951)</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(41,496)</w:t>
            </w: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(56,771)</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(125,445)</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(78,741)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7,740</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(91,877)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(57,438)</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(77,528)</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(209,453)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(43,918)</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(44,495)</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(60,020)</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(50,543)</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(60,076)</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Working capital represents current assets less current liabilities.</w:t>
      </w:r>
    </w:p>
    <w:p>
      <w:pPr>
        <w:spacing w:after="0" w:line="20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During 2011, we incurred a goodwill impairment charge of $584.8 million. In addition, restructuring projects were approved and commenced to increase efficiency and lower our cost of manufacturing, for which we incurred costs of $63.6 million in 2011.</w:t>
      </w:r>
    </w:p>
    <w:p>
      <w:pPr>
        <w:spacing w:after="0" w:line="180"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On May 1, 2012, we completed our acquisition of SmartSynch, Inc. for $77.7 million in cash (net of $6.7 million of cash and cash equivalents acquired).</w:t>
      </w:r>
    </w:p>
    <w:p>
      <w:pPr>
        <w:spacing w:after="0" w:line="201" w:lineRule="exact"/>
        <w:rPr>
          <w:rFonts w:ascii="Arial" w:cs="Arial" w:eastAsia="Arial" w:hAnsi="Arial"/>
          <w:sz w:val="22"/>
          <w:szCs w:val="22"/>
          <w:color w:val="auto"/>
          <w:vertAlign w:val="superscript"/>
        </w:rPr>
      </w:pPr>
    </w:p>
    <w:p>
      <w:pPr>
        <w:ind w:left="340" w:hanging="332"/>
        <w:spacing w:after="0" w:line="216"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During 2013, we incurred a goodwill impairment charge of $174.2 million. In addition, we incurred costs of $36.3 million in 2013 related to restructuring projects to increase efficiency.</w:t>
      </w:r>
    </w:p>
    <w:p>
      <w:pPr>
        <w:spacing w:after="0" w:line="180"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During 2014, we incurred costs of $49.5 million related to restructuring projects to improve operational efficiencies and reduce expenses. Refer to Item</w:t>
      </w:r>
    </w:p>
    <w:p>
      <w:pPr>
        <w:spacing w:after="0" w:line="1" w:lineRule="exact"/>
        <w:rPr>
          <w:rFonts w:ascii="Arial" w:cs="Arial" w:eastAsia="Arial" w:hAnsi="Arial"/>
          <w:sz w:val="22"/>
          <w:szCs w:val="22"/>
          <w:color w:val="auto"/>
          <w:vertAlign w:val="superscript"/>
        </w:rPr>
      </w:pPr>
    </w:p>
    <w:p>
      <w:pPr>
        <w:ind w:left="340" w:right="20" w:hanging="8"/>
        <w:spacing w:after="0" w:line="259" w:lineRule="auto"/>
        <w:tabs>
          <w:tab w:leader="none" w:pos="561" w:val="left"/>
        </w:tabs>
        <w:numPr>
          <w:ilvl w:val="1"/>
          <w:numId w:val="9"/>
        </w:numPr>
        <w:rPr>
          <w:rFonts w:ascii="Arial" w:cs="Arial" w:eastAsia="Arial" w:hAnsi="Arial"/>
          <w:sz w:val="18"/>
          <w:szCs w:val="18"/>
          <w:color w:val="auto"/>
        </w:rPr>
      </w:pPr>
      <w:r>
        <w:rPr>
          <w:rFonts w:ascii="Arial" w:cs="Arial" w:eastAsia="Arial" w:hAnsi="Arial"/>
          <w:sz w:val="18"/>
          <w:szCs w:val="18"/>
          <w:color w:val="auto"/>
        </w:rPr>
        <w:t>“Financial Statements and Supplementary Data, Note 14: Restructuring” included in this Annual Report on Form 10-K for further disclosures regarding the restructuring charges.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and analysis should be read in conjunction with Item 8: “Financial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technology company, offering end-to-end smart metering solutions to electric, natural gas, and water utilities around the world. Our smart metering solutions, meter data management software, and knowledge application solutions bring additional value to a utility’s metering and grid systems. Our professional services help our customers project-manage, install, implement, operate, and maintain their systems. 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three measures of segment performance under U.S. generally accepted accounting principles (GAAP): revenue, gross profit (margin), and operating income (margin). In addition, we measure segment performance using non-GAAP operating income. Intersegment revenues are minimal. Certain operating expenses are allocated to the operating segments based upon internally established allocation methodologies. Interest income, interest expense, other income (expense), income tax provision, and certain corporate operating expenses are neither allocated to the segments nor included in the measures of segment performance. See pages 39-41 for information about our non-GAAP measures and reconciliations to the most comparable GAAP measures.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year ended December 31, 2015, management reevaluated revenue and costs recognized as part of multiple element arrangements containing software and post contract services. This analysis revealed misstatements that existed in our previously reported financial statements. Accordingly, the financial statements for the years ended December 31, 2014 and 2013, and the quarters contained within the fiscal years ending December 31, 2015 and 2014 have been revised. These misstatements primarily impacted the timing of revenue and cost recognition associated with contracts involving certain software products that we were unable to demonstrate vendor specific objective evidence (VSOE) of fair value for certain undelivered elements or determine whether software was essential to the functionality of certain hardware.</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 evaluated these misstatements considering both qualitative and quantitative factors and determined that none of our previously issued annual or quarterly financial statements were materially misstated. However, the aggregate misstatements to all prior periods could not be corrected in 2015 without materially misstating the consolidated financial statements for the year ended December 31, 2015. As a result, we have revised the previously issued financial statements in this Annual Report on Form 10-K for the year ended December 31, 2015 and all accompanying footnotes and other Items contained within.</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to the foregoing revisions, the updated statements reflect other adjustments in the revised periods for items previously considered immaterial, as well as for events which occurred after our preliminary FY 2015 results announcement but are properly attributable to the year ended December 31, 2015.</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further discussion and analysis of this revision, refer to Item 8: “Financial Statements and Supplementary Data, Note 2: Revision of Prior Period Financial Statements” and “Note 18: Quarterly Results (Unaudited),” included in this Annual Report on Form 10-K. For further discussion regarding the material weakness surrounding software revenue recognition and management’s planned remediation plans, refer to Item 9A; “Controls and Procedures” included in this Annual Report on Form 10-K.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2015 revenues were unfavorably impacted by changes in foreign currency rates, while our cost of revenues and our operating expenses were favorably impacted. A more detailed analysis of revenue, gross profit, and operating expense fluctuations is provided in </w:t>
      </w:r>
      <w:r>
        <w:rPr>
          <w:rFonts w:ascii="Arial" w:cs="Arial" w:eastAsia="Arial" w:hAnsi="Arial"/>
          <w:sz w:val="18"/>
          <w:szCs w:val="18"/>
          <w:i w:val="1"/>
          <w:iCs w:val="1"/>
          <w:color w:val="auto"/>
        </w:rPr>
        <w:t>Operating Segment Results</w:t>
      </w:r>
      <w:r>
        <w:rPr>
          <w:rFonts w:ascii="Arial" w:cs="Arial" w:eastAsia="Arial" w:hAnsi="Arial"/>
          <w:sz w:val="18"/>
          <w:szCs w:val="18"/>
          <w:color w:val="auto"/>
        </w:rPr>
        <w:t>. Period-over-period changes referred to below, on a constant currency basis, represent differences between 2015 results and 2014 results, exclusive of changes in foreign currency rates.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decreased $64.1 million, or 3%, in 2015, compared with 2014. On a constant currency basis, revenues increased $114.2 million, driven higher in 2015 by increases in product shipments in the Electricity and Water segments and increased professional services in Electricity, partially offset by a decline in product volumes in the Gas segment. Revenues increased $40.8 million, or 2%, in 2014, compared with 2013 on a constant currency basis. Revenues were driven higher in 2014 by increases in product shipments in the Gas and Water segments and increased services revenue in the Electricity segment, partially offset by a decline in product volumes in the Electricity segment.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Total backlog was $1.6 billion, and twelve-month backlog was $836.0 million at December 31, 2015.</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company gross margin decreased 190 basis points in 2015, compared with 2014. During 2015, gross margin was negatively impacted by a special warranty charge of $29.4 million in our Water segment. The special warranty charge relates to a product replacement notification sent to customers of our Water business who purchased certain communication modules manufactured between July 2013 and December 2014 that were failing prematurely. Total company gross margin decreased 20 basis points in 2014, compared with 2013. The gross margin reduction was the result of decreased margins in our Electricity and Gas segments, partially offset by improved margins in our Water segment.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26, 2015, we completed our acquisition of 100% of Temetra Limited (Temetra) in a stock purchase. Temetra is a technology company located in Ireland and focused on meter data management and meter data collection in the water industry with a software-as-a-service business model. The acquisition strengthens our data analytics capabilities and provides us with additional cloud-based technology options for our water utility customers. The purchase price of Temetra was $9.8 million (net of $1.4 million of cash and cash equivalents acquired). Refer to Item 8: “Financial Statements and Supplementary Data, Note 6: Goodwill” for additional information about this acquisition.</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23, 2015, we entered into an amended and restated credit agreement providing for committed credit facilities in the amount of $725 million U.S. dollars (the 2015 credit facility). The 2015 credit facility consists of a $225 million U.S. dollar term loan (the term loan) and a multicurrency revolving line of credit (the revolver) with a principal amount of up to $500 million. The revolver also contains a $300 million standby letter of credit sub-facility and a $50 million swingline sub-facility (available for immediate cash needs at a higher interest rate). The 2015 credit facility permits us and certain of our foreign subsidiaries to borrow in U.S. dollars, euros, British pounds, or, with lender approval, other currencies readily convertible into U.S. dollars.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will position us to meet our long-term profitability goals by better aligning global operations with markets where we can serve our customers profitably.We began implementing these projects in the fourth quarter of 2014, and we expect to substantially complete these projects by the fourth quarter of 2016. Upon completion of the 2014 Projects, we expect to achieve annualized savings of $40 million.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2015, the total expected restructuring costs decreased by approximately $15.1 million. This includes $12.2 million in restructuring severance expense release, recognized during the year ended December 31, 2015, resulting from employees, originally identified to be terminated, voluntarily resigning or filling vacant positions in different departments or locations, as well as the result of employee negotiations and the need to keep additional employees to meet revised forecasted demand on certain projects. In addition, we are expecting lower future legal costs associated with the termination of employees in certain locations. The favorable change in the translation impact of foreign exchange rates also lowered the expected remaining costs to be recognized. Certain aspects of the projects are subject to a variety of labor and employment laws, rules, and regulations, which could result in a delay in completing the projects at some locations.</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2, 2015, we reached a settlement agreement with the counterparty related to the product development contract litigation from the SmartSynch, Inc. acquisition. As a result of the settlement, we recognized litigation cost, net of recovery from an indemnification escrow from SmartSynch shareholders, of $14.7 million, inclusive of attorney’s fees incurred, reflected in our results of operations for the year ended December 31, 2014 within general and administrative expense. In 2015, we recovered $8.2 million of costs associated with this settlement from SmartSynch shareholders.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7, 2014, our Board authorized a 12-month repurchase program of up to $50 million in shares of our common stock, to begin on March 8, 2014, upon the expiration of the previous stock repurchase program. Under this program, we repurchased 1,246,241 shares of our common stock, which fully utilized the $50 million authorized under the program.</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19, 2015, our Board authorized a new repurchase program of up to $50 million of our common stock over a 12-month period, beginning February 19, 2015. From February 19, 2015 through December 31, 2015, we repurchased 743,444 shares of our common stock, totaling $25.0 million. This program expired on February 19, 2016 with no share repurchases made subsequent to December 31, 2015. Refer to Part II, Item 5: “Market for Registrant's Common Equity, Related Stockholder Matters and Issuer Purchases of Equity Securities” for additional information related to our share repurchase program.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GAAP and Non-GAAP Highlights and Unit Shipments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w w:val="90"/>
              </w:rPr>
              <w:t>Year Ended December 31,</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739"/>
              <w:spacing w:after="0"/>
              <w:rPr>
                <w:sz w:val="20"/>
                <w:szCs w:val="20"/>
                <w:color w:val="auto"/>
              </w:rPr>
            </w:pPr>
            <w:r>
              <w:rPr>
                <w:rFonts w:ascii="Arial" w:cs="Arial" w:eastAsia="Arial" w:hAnsi="Arial"/>
                <w:sz w:val="16"/>
                <w:szCs w:val="16"/>
                <w:b w:val="1"/>
                <w:bCs w:val="1"/>
                <w:color w:val="auto"/>
              </w:rPr>
              <w:t>2015</w:t>
            </w:r>
          </w:p>
        </w:tc>
        <w:tc>
          <w:tcPr>
            <w:tcW w:w="1400" w:type="dxa"/>
            <w:vAlign w:val="bottom"/>
          </w:tcPr>
          <w:p>
            <w:pPr>
              <w:jc w:val="right"/>
              <w:ind w:right="319"/>
              <w:spacing w:after="0"/>
              <w:rPr>
                <w:sz w:val="20"/>
                <w:szCs w:val="20"/>
                <w:color w:val="auto"/>
              </w:rPr>
            </w:pPr>
            <w:r>
              <w:rPr>
                <w:rFonts w:ascii="Arial" w:cs="Arial" w:eastAsia="Arial" w:hAnsi="Arial"/>
                <w:sz w:val="16"/>
                <w:szCs w:val="16"/>
                <w:b w:val="1"/>
                <w:bCs w:val="1"/>
                <w:color w:val="auto"/>
              </w:rPr>
              <w:t>% Change</w:t>
            </w:r>
          </w:p>
        </w:tc>
        <w:tc>
          <w:tcPr>
            <w:tcW w:w="480" w:type="dxa"/>
            <w:vAlign w:val="bottom"/>
          </w:tcPr>
          <w:p>
            <w:pPr>
              <w:spacing w:after="0"/>
              <w:rPr>
                <w:sz w:val="20"/>
                <w:szCs w:val="20"/>
                <w:color w:val="auto"/>
              </w:rPr>
            </w:pPr>
          </w:p>
        </w:tc>
        <w:tc>
          <w:tcPr>
            <w:tcW w:w="1480" w:type="dxa"/>
            <w:vAlign w:val="bottom"/>
          </w:tcPr>
          <w:p>
            <w:pPr>
              <w:jc w:val="right"/>
              <w:ind w:right="839"/>
              <w:spacing w:after="0"/>
              <w:rPr>
                <w:sz w:val="20"/>
                <w:szCs w:val="20"/>
                <w:color w:val="auto"/>
              </w:rPr>
            </w:pPr>
            <w:r>
              <w:rPr>
                <w:rFonts w:ascii="Arial" w:cs="Arial" w:eastAsia="Arial" w:hAnsi="Arial"/>
                <w:sz w:val="16"/>
                <w:szCs w:val="16"/>
                <w:b w:val="1"/>
                <w:bCs w:val="1"/>
                <w:color w:val="auto"/>
              </w:rPr>
              <w:t>2014</w:t>
            </w:r>
          </w:p>
        </w:tc>
        <w:tc>
          <w:tcPr>
            <w:tcW w:w="1360" w:type="dxa"/>
            <w:vAlign w:val="bottom"/>
          </w:tcPr>
          <w:p>
            <w:pPr>
              <w:jc w:val="right"/>
              <w:ind w:right="379"/>
              <w:spacing w:after="0"/>
              <w:rPr>
                <w:sz w:val="20"/>
                <w:szCs w:val="20"/>
                <w:color w:val="auto"/>
              </w:rPr>
            </w:pPr>
            <w:r>
              <w:rPr>
                <w:rFonts w:ascii="Arial" w:cs="Arial" w:eastAsia="Arial" w:hAnsi="Arial"/>
                <w:sz w:val="16"/>
                <w:szCs w:val="16"/>
                <w:b w:val="1"/>
                <w:bCs w:val="1"/>
                <w:color w:val="auto"/>
              </w:rPr>
              <w:t>% Change</w:t>
            </w:r>
          </w:p>
        </w:tc>
        <w:tc>
          <w:tcPr>
            <w:tcW w:w="42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2013</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72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(in thousands, except margin and per share data)</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3380" w:type="dxa"/>
            <w:vAlign w:val="bottom"/>
            <w:gridSpan w:val="6"/>
          </w:tcPr>
          <w:p>
            <w:pPr>
              <w:ind w:left="40"/>
              <w:spacing w:after="0"/>
              <w:rPr>
                <w:sz w:val="20"/>
                <w:szCs w:val="20"/>
                <w:color w:val="auto"/>
              </w:rPr>
            </w:pPr>
            <w:r>
              <w:rPr>
                <w:rFonts w:ascii="Arial" w:cs="Arial" w:eastAsia="Arial" w:hAnsi="Arial"/>
                <w:sz w:val="16"/>
                <w:szCs w:val="16"/>
                <w:b w:val="1"/>
                <w:bCs w:val="1"/>
                <w:color w:val="auto"/>
              </w:rPr>
              <w:t>GAAP</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50"/>
        </w:trPr>
        <w:tc>
          <w:tcPr>
            <w:tcW w:w="33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1,883,533</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1,947,616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1,938,025</w:t>
            </w:r>
          </w:p>
        </w:tc>
      </w:tr>
      <w:tr>
        <w:trPr>
          <w:trHeight w:val="237"/>
        </w:trPr>
        <w:tc>
          <w:tcPr>
            <w:tcW w:w="3380" w:type="dxa"/>
            <w:vAlign w:val="bottom"/>
            <w:gridSpan w:val="6"/>
          </w:tcPr>
          <w:p>
            <w:pPr>
              <w:ind w:left="4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0"/>
                <w:szCs w:val="20"/>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556,685</w:t>
            </w:r>
          </w:p>
        </w:tc>
        <w:tc>
          <w:tcPr>
            <w:tcW w:w="1400" w:type="dxa"/>
            <w:vAlign w:val="bottom"/>
          </w:tcPr>
          <w:p>
            <w:pPr>
              <w:jc w:val="right"/>
              <w:spacing w:after="0"/>
              <w:rPr>
                <w:sz w:val="20"/>
                <w:szCs w:val="20"/>
                <w:color w:val="auto"/>
              </w:rPr>
            </w:pPr>
            <w:r>
              <w:rPr>
                <w:rFonts w:ascii="Arial" w:cs="Arial" w:eastAsia="Arial" w:hAnsi="Arial"/>
                <w:sz w:val="16"/>
                <w:szCs w:val="16"/>
                <w:color w:val="auto"/>
              </w:rPr>
              <w:t>(9)%</w:t>
            </w:r>
          </w:p>
        </w:tc>
        <w:tc>
          <w:tcPr>
            <w:tcW w:w="480" w:type="dxa"/>
            <w:vAlign w:val="bottom"/>
          </w:tcPr>
          <w:p>
            <w:pPr>
              <w:spacing w:after="0"/>
              <w:rPr>
                <w:sz w:val="20"/>
                <w:szCs w:val="20"/>
                <w:color w:val="auto"/>
              </w:rPr>
            </w:pPr>
          </w:p>
        </w:tc>
        <w:tc>
          <w:tcPr>
            <w:tcW w:w="1480" w:type="dxa"/>
            <w:vAlign w:val="bottom"/>
          </w:tcPr>
          <w:p>
            <w:pPr>
              <w:jc w:val="right"/>
              <w:ind w:right="439"/>
              <w:spacing w:after="0"/>
              <w:rPr>
                <w:sz w:val="20"/>
                <w:szCs w:val="20"/>
                <w:color w:val="auto"/>
              </w:rPr>
            </w:pPr>
            <w:r>
              <w:rPr>
                <w:rFonts w:ascii="Arial" w:cs="Arial" w:eastAsia="Arial" w:hAnsi="Arial"/>
                <w:sz w:val="16"/>
                <w:szCs w:val="16"/>
                <w:color w:val="auto"/>
              </w:rPr>
              <w:t>614,050</w:t>
            </w:r>
          </w:p>
        </w:tc>
        <w:tc>
          <w:tcPr>
            <w:tcW w:w="1360" w:type="dxa"/>
            <w:vAlign w:val="bottom"/>
          </w:tcPr>
          <w:p>
            <w:pPr>
              <w:jc w:val="right"/>
              <w:spacing w:after="0"/>
              <w:rPr>
                <w:sz w:val="20"/>
                <w:szCs w:val="20"/>
                <w:color w:val="auto"/>
              </w:rPr>
            </w:pPr>
            <w:r>
              <w:rPr>
                <w:rFonts w:ascii="Arial" w:cs="Arial" w:eastAsia="Arial" w:hAnsi="Arial"/>
                <w:sz w:val="16"/>
                <w:szCs w:val="16"/>
                <w:color w:val="auto"/>
              </w:rPr>
              <w:t>— %</w:t>
            </w:r>
          </w:p>
        </w:tc>
        <w:tc>
          <w:tcPr>
            <w:tcW w:w="42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614,768</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503,839</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613,570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754,631</w:t>
            </w:r>
          </w:p>
        </w:tc>
      </w:tr>
      <w:tr>
        <w:trPr>
          <w:trHeight w:val="237"/>
        </w:trPr>
        <w:tc>
          <w:tcPr>
            <w:tcW w:w="3380" w:type="dxa"/>
            <w:vAlign w:val="bottom"/>
            <w:gridSpan w:val="6"/>
          </w:tcPr>
          <w:p>
            <w:pPr>
              <w:ind w:left="40"/>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20"/>
                <w:szCs w:val="20"/>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52,846</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N/A</w:t>
            </w:r>
          </w:p>
        </w:tc>
        <w:tc>
          <w:tcPr>
            <w:tcW w:w="480" w:type="dxa"/>
            <w:vAlign w:val="bottom"/>
          </w:tcPr>
          <w:p>
            <w:pPr>
              <w:spacing w:after="0"/>
              <w:rPr>
                <w:sz w:val="20"/>
                <w:szCs w:val="20"/>
                <w:color w:val="auto"/>
              </w:rPr>
            </w:pPr>
          </w:p>
        </w:tc>
        <w:tc>
          <w:tcPr>
            <w:tcW w:w="1480" w:type="dxa"/>
            <w:vAlign w:val="bottom"/>
          </w:tcPr>
          <w:p>
            <w:pPr>
              <w:jc w:val="right"/>
              <w:ind w:right="439"/>
              <w:spacing w:after="0"/>
              <w:rPr>
                <w:sz w:val="20"/>
                <w:szCs w:val="20"/>
                <w:color w:val="auto"/>
              </w:rPr>
            </w:pPr>
            <w:r>
              <w:rPr>
                <w:rFonts w:ascii="Arial" w:cs="Arial" w:eastAsia="Arial" w:hAnsi="Arial"/>
                <w:sz w:val="16"/>
                <w:szCs w:val="16"/>
                <w:color w:val="auto"/>
              </w:rPr>
              <w:t>480</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N/A</w:t>
            </w:r>
          </w:p>
        </w:tc>
        <w:tc>
          <w:tcPr>
            <w:tcW w:w="4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(139,863)</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(15,744)</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(18,745)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(13,537)</w:t>
            </w:r>
          </w:p>
        </w:tc>
      </w:tr>
      <w:tr>
        <w:trPr>
          <w:trHeight w:val="237"/>
        </w:trPr>
        <w:tc>
          <w:tcPr>
            <w:tcW w:w="3380" w:type="dxa"/>
            <w:vAlign w:val="bottom"/>
            <w:gridSpan w:val="6"/>
          </w:tcPr>
          <w:p>
            <w:pPr>
              <w:ind w:left="40"/>
              <w:spacing w:after="0"/>
              <w:rPr>
                <w:sz w:val="20"/>
                <w:szCs w:val="20"/>
                <w:color w:val="auto"/>
              </w:rPr>
            </w:pPr>
            <w:r>
              <w:rPr>
                <w:rFonts w:ascii="Arial" w:cs="Arial" w:eastAsia="Arial" w:hAnsi="Arial"/>
                <w:sz w:val="16"/>
                <w:szCs w:val="16"/>
                <w:color w:val="auto"/>
              </w:rPr>
              <w:t>Income tax (provision) benefit</w:t>
            </w:r>
          </w:p>
        </w:tc>
        <w:tc>
          <w:tcPr>
            <w:tcW w:w="340" w:type="dxa"/>
            <w:vAlign w:val="bottom"/>
          </w:tcPr>
          <w:p>
            <w:pPr>
              <w:spacing w:after="0"/>
              <w:rPr>
                <w:sz w:val="20"/>
                <w:szCs w:val="20"/>
                <w:color w:val="auto"/>
              </w:rPr>
            </w:pP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(22,099)</w:t>
            </w:r>
          </w:p>
        </w:tc>
        <w:tc>
          <w:tcPr>
            <w:tcW w:w="1400" w:type="dxa"/>
            <w:vAlign w:val="bottom"/>
          </w:tcPr>
          <w:p>
            <w:pPr>
              <w:jc w:val="right"/>
              <w:spacing w:after="0"/>
              <w:rPr>
                <w:sz w:val="20"/>
                <w:szCs w:val="20"/>
                <w:color w:val="auto"/>
              </w:rPr>
            </w:pPr>
            <w:r>
              <w:rPr>
                <w:rFonts w:ascii="Arial" w:cs="Arial" w:eastAsia="Arial" w:hAnsi="Arial"/>
                <w:sz w:val="16"/>
                <w:szCs w:val="16"/>
                <w:color w:val="auto"/>
              </w:rPr>
              <w:t>448 %</w:t>
            </w:r>
          </w:p>
        </w:tc>
        <w:tc>
          <w:tcPr>
            <w:tcW w:w="480" w:type="dxa"/>
            <w:vAlign w:val="bottom"/>
          </w:tcPr>
          <w:p>
            <w:pPr>
              <w:spacing w:after="0"/>
              <w:rPr>
                <w:sz w:val="20"/>
                <w:szCs w:val="20"/>
                <w:color w:val="auto"/>
              </w:rPr>
            </w:pPr>
          </w:p>
        </w:tc>
        <w:tc>
          <w:tcPr>
            <w:tcW w:w="1480" w:type="dxa"/>
            <w:vAlign w:val="bottom"/>
          </w:tcPr>
          <w:p>
            <w:pPr>
              <w:jc w:val="right"/>
              <w:ind w:right="379"/>
              <w:spacing w:after="0"/>
              <w:rPr>
                <w:sz w:val="20"/>
                <w:szCs w:val="20"/>
                <w:color w:val="auto"/>
              </w:rPr>
            </w:pPr>
            <w:r>
              <w:rPr>
                <w:rFonts w:ascii="Arial" w:cs="Arial" w:eastAsia="Arial" w:hAnsi="Arial"/>
                <w:sz w:val="16"/>
                <w:szCs w:val="16"/>
                <w:color w:val="auto"/>
              </w:rPr>
              <w:t>(4,035)</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N/A</w:t>
            </w:r>
          </w:p>
        </w:tc>
        <w:tc>
          <w:tcPr>
            <w:tcW w:w="42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2,466</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Itron, Inc.</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12,678</w:t>
            </w: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N/A</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(23,670)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(153,153)</w:t>
            </w: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189"/>
        </w:trPr>
        <w:tc>
          <w:tcPr>
            <w:tcW w:w="3380" w:type="dxa"/>
            <w:vAlign w:val="bottom"/>
            <w:gridSpan w:val="6"/>
            <w:shd w:val="clear" w:color="auto" w:fill="CCEEFF"/>
          </w:tcPr>
          <w:p>
            <w:pPr>
              <w:ind w:left="40"/>
              <w:spacing w:after="0" w:line="189" w:lineRule="exact"/>
              <w:rPr>
                <w:sz w:val="20"/>
                <w:szCs w:val="20"/>
                <w:color w:val="auto"/>
              </w:rPr>
            </w:pPr>
            <w:r>
              <w:rPr>
                <w:rFonts w:ascii="Arial" w:cs="Arial" w:eastAsia="Arial" w:hAnsi="Arial"/>
                <w:sz w:val="16"/>
                <w:szCs w:val="16"/>
                <w:b w:val="1"/>
                <w:bCs w:val="1"/>
                <w:color w:val="auto"/>
              </w:rPr>
              <w:t>Non-GAAP</w:t>
            </w:r>
            <w:r>
              <w:rPr>
                <w:rFonts w:ascii="Arial" w:cs="Arial" w:eastAsia="Arial" w:hAnsi="Arial"/>
                <w:sz w:val="21"/>
                <w:szCs w:val="21"/>
                <w:b w:val="1"/>
                <w:bCs w:val="1"/>
                <w:color w:val="auto"/>
                <w:vertAlign w:val="superscript"/>
              </w:rPr>
              <w:t>(1)</w:t>
            </w: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r>
      <w:tr>
        <w:trPr>
          <w:trHeight w:val="237"/>
        </w:trPr>
        <w:tc>
          <w:tcPr>
            <w:tcW w:w="3380" w:type="dxa"/>
            <w:vAlign w:val="bottom"/>
            <w:gridSpan w:val="6"/>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484,967</w:t>
            </w:r>
          </w:p>
        </w:tc>
        <w:tc>
          <w:tcPr>
            <w:tcW w:w="1400" w:type="dxa"/>
            <w:vAlign w:val="bottom"/>
          </w:tcPr>
          <w:p>
            <w:pPr>
              <w:jc w:val="right"/>
              <w:spacing w:after="0"/>
              <w:rPr>
                <w:sz w:val="20"/>
                <w:szCs w:val="20"/>
                <w:color w:val="auto"/>
              </w:rPr>
            </w:pPr>
            <w:r>
              <w:rPr>
                <w:rFonts w:ascii="Arial" w:cs="Arial" w:eastAsia="Arial" w:hAnsi="Arial"/>
                <w:sz w:val="16"/>
                <w:szCs w:val="16"/>
                <w:color w:val="auto"/>
              </w:rPr>
              <w:t>(4)%</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39"/>
              <w:spacing w:after="0"/>
              <w:rPr>
                <w:sz w:val="20"/>
                <w:szCs w:val="20"/>
                <w:color w:val="auto"/>
              </w:rPr>
            </w:pPr>
            <w:r>
              <w:rPr>
                <w:rFonts w:ascii="Arial" w:cs="Arial" w:eastAsia="Arial" w:hAnsi="Arial"/>
                <w:sz w:val="16"/>
                <w:szCs w:val="16"/>
                <w:color w:val="auto"/>
              </w:rPr>
              <w:t>504,931</w:t>
            </w:r>
          </w:p>
        </w:tc>
        <w:tc>
          <w:tcPr>
            <w:tcW w:w="1360" w:type="dxa"/>
            <w:vAlign w:val="bottom"/>
          </w:tcPr>
          <w:p>
            <w:pPr>
              <w:jc w:val="right"/>
              <w:spacing w:after="0"/>
              <w:rPr>
                <w:sz w:val="20"/>
                <w:szCs w:val="20"/>
                <w:color w:val="auto"/>
              </w:rPr>
            </w:pPr>
            <w:r>
              <w:rPr>
                <w:rFonts w:ascii="Arial" w:cs="Arial" w:eastAsia="Arial" w:hAnsi="Arial"/>
                <w:sz w:val="16"/>
                <w:szCs w:val="16"/>
                <w:color w:val="auto"/>
              </w:rPr>
              <w:t>1 %</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499,749</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71,718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109,119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115,019</w:t>
            </w:r>
          </w:p>
        </w:tc>
      </w:tr>
      <w:tr>
        <w:trPr>
          <w:trHeight w:val="237"/>
        </w:trPr>
        <w:tc>
          <w:tcPr>
            <w:tcW w:w="3380" w:type="dxa"/>
            <w:vAlign w:val="bottom"/>
            <w:gridSpan w:val="6"/>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Pr>
          <w:p>
            <w:pPr>
              <w:spacing w:after="0"/>
              <w:rPr>
                <w:sz w:val="20"/>
                <w:szCs w:val="20"/>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27,981</w:t>
            </w:r>
          </w:p>
        </w:tc>
        <w:tc>
          <w:tcPr>
            <w:tcW w:w="1400" w:type="dxa"/>
            <w:vAlign w:val="bottom"/>
          </w:tcPr>
          <w:p>
            <w:pPr>
              <w:jc w:val="right"/>
              <w:spacing w:after="0"/>
              <w:rPr>
                <w:sz w:val="20"/>
                <w:szCs w:val="20"/>
                <w:color w:val="auto"/>
              </w:rPr>
            </w:pPr>
            <w:r>
              <w:rPr>
                <w:rFonts w:ascii="Arial" w:cs="Arial" w:eastAsia="Arial" w:hAnsi="Arial"/>
                <w:sz w:val="16"/>
                <w:szCs w:val="16"/>
                <w:color w:val="auto"/>
              </w:rPr>
              <w:t>(54)%</w:t>
            </w:r>
          </w:p>
        </w:tc>
        <w:tc>
          <w:tcPr>
            <w:tcW w:w="480" w:type="dxa"/>
            <w:vAlign w:val="bottom"/>
          </w:tcPr>
          <w:p>
            <w:pPr>
              <w:spacing w:after="0"/>
              <w:rPr>
                <w:sz w:val="20"/>
                <w:szCs w:val="20"/>
                <w:color w:val="auto"/>
              </w:rPr>
            </w:pPr>
          </w:p>
        </w:tc>
        <w:tc>
          <w:tcPr>
            <w:tcW w:w="1480" w:type="dxa"/>
            <w:vAlign w:val="bottom"/>
          </w:tcPr>
          <w:p>
            <w:pPr>
              <w:jc w:val="right"/>
              <w:ind w:right="439"/>
              <w:spacing w:after="0"/>
              <w:rPr>
                <w:sz w:val="20"/>
                <w:szCs w:val="20"/>
                <w:color w:val="auto"/>
              </w:rPr>
            </w:pPr>
            <w:r>
              <w:rPr>
                <w:rFonts w:ascii="Arial" w:cs="Arial" w:eastAsia="Arial" w:hAnsi="Arial"/>
                <w:sz w:val="16"/>
                <w:szCs w:val="16"/>
                <w:color w:val="auto"/>
              </w:rPr>
              <w:t>60,621</w:t>
            </w:r>
          </w:p>
        </w:tc>
        <w:tc>
          <w:tcPr>
            <w:tcW w:w="1360" w:type="dxa"/>
            <w:vAlign w:val="bottom"/>
          </w:tcPr>
          <w:p>
            <w:pPr>
              <w:jc w:val="right"/>
              <w:spacing w:after="0"/>
              <w:rPr>
                <w:sz w:val="20"/>
                <w:szCs w:val="20"/>
                <w:color w:val="auto"/>
              </w:rPr>
            </w:pPr>
            <w:r>
              <w:rPr>
                <w:rFonts w:ascii="Arial" w:cs="Arial" w:eastAsia="Arial" w:hAnsi="Arial"/>
                <w:sz w:val="16"/>
                <w:szCs w:val="16"/>
                <w:color w:val="auto"/>
              </w:rPr>
              <w:t>(14)%</w:t>
            </w:r>
          </w:p>
        </w:tc>
        <w:tc>
          <w:tcPr>
            <w:tcW w:w="42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70,315</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189"/>
        </w:trPr>
        <w:tc>
          <w:tcPr>
            <w:tcW w:w="3380" w:type="dxa"/>
            <w:vAlign w:val="bottom"/>
            <w:gridSpan w:val="6"/>
          </w:tcPr>
          <w:p>
            <w:pPr>
              <w:ind w:left="40"/>
              <w:spacing w:after="0"/>
              <w:rPr>
                <w:sz w:val="20"/>
                <w:szCs w:val="20"/>
                <w:color w:val="auto"/>
              </w:rPr>
            </w:pPr>
            <w:r>
              <w:rPr>
                <w:rFonts w:ascii="Arial" w:cs="Arial" w:eastAsia="Arial" w:hAnsi="Arial"/>
                <w:sz w:val="16"/>
                <w:szCs w:val="16"/>
                <w:b w:val="1"/>
                <w:bCs w:val="1"/>
                <w:color w:val="auto"/>
              </w:rPr>
              <w:t>GAAP Margins and Earnings Per Share</w:t>
            </w: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50"/>
        </w:trPr>
        <w:tc>
          <w:tcPr>
            <w:tcW w:w="33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29.6%</w:t>
            </w:r>
          </w:p>
        </w:tc>
        <w:tc>
          <w:tcPr>
            <w:tcW w:w="1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31.5%</w:t>
            </w: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31.7 %</w:t>
            </w:r>
          </w:p>
        </w:tc>
      </w:tr>
      <w:tr>
        <w:trPr>
          <w:trHeight w:val="237"/>
        </w:trPr>
        <w:tc>
          <w:tcPr>
            <w:tcW w:w="3380" w:type="dxa"/>
            <w:vAlign w:val="bottom"/>
            <w:gridSpan w:val="6"/>
          </w:tcPr>
          <w:p>
            <w:pPr>
              <w:ind w:left="40"/>
              <w:spacing w:after="0"/>
              <w:rPr>
                <w:sz w:val="20"/>
                <w:szCs w:val="20"/>
                <w:color w:val="auto"/>
              </w:rPr>
            </w:pPr>
            <w:r>
              <w:rPr>
                <w:rFonts w:ascii="Arial" w:cs="Arial" w:eastAsia="Arial" w:hAnsi="Arial"/>
                <w:sz w:val="16"/>
                <w:szCs w:val="16"/>
                <w:color w:val="auto"/>
              </w:rPr>
              <w:t>Operating margin</w:t>
            </w:r>
          </w:p>
        </w:tc>
        <w:tc>
          <w:tcPr>
            <w:tcW w:w="340" w:type="dxa"/>
            <w:vAlign w:val="bottom"/>
          </w:tcPr>
          <w:p>
            <w:pPr>
              <w:spacing w:after="0"/>
              <w:rPr>
                <w:sz w:val="20"/>
                <w:szCs w:val="20"/>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2.8%</w:t>
            </w:r>
          </w:p>
        </w:tc>
        <w:tc>
          <w:tcPr>
            <w:tcW w:w="1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Basic EPS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0.33</w:t>
            </w:r>
          </w:p>
        </w:tc>
        <w:tc>
          <w:tcPr>
            <w:tcW w:w="1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(0.60)</w:t>
            </w: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(3.90)</w:t>
            </w:r>
          </w:p>
        </w:tc>
      </w:tr>
      <w:tr>
        <w:trPr>
          <w:trHeight w:val="237"/>
        </w:trPr>
        <w:tc>
          <w:tcPr>
            <w:tcW w:w="3380" w:type="dxa"/>
            <w:vAlign w:val="bottom"/>
            <w:gridSpan w:val="6"/>
          </w:tcPr>
          <w:p>
            <w:pPr>
              <w:ind w:left="40"/>
              <w:spacing w:after="0"/>
              <w:rPr>
                <w:sz w:val="20"/>
                <w:szCs w:val="20"/>
                <w:color w:val="auto"/>
              </w:rPr>
            </w:pPr>
            <w:r>
              <w:rPr>
                <w:rFonts w:ascii="Arial" w:cs="Arial" w:eastAsia="Arial" w:hAnsi="Arial"/>
                <w:sz w:val="16"/>
                <w:szCs w:val="16"/>
                <w:color w:val="auto"/>
              </w:rPr>
              <w:t>Diluted EPS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0.33</w:t>
            </w:r>
          </w:p>
        </w:tc>
        <w:tc>
          <w:tcPr>
            <w:tcW w:w="1400" w:type="dxa"/>
            <w:vAlign w:val="bottom"/>
          </w:tcPr>
          <w:p>
            <w:pPr>
              <w:spacing w:after="0"/>
              <w:rPr>
                <w:sz w:val="20"/>
                <w:szCs w:val="20"/>
                <w:color w:val="auto"/>
              </w:rPr>
            </w:pP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79"/>
              <w:spacing w:after="0"/>
              <w:rPr>
                <w:sz w:val="20"/>
                <w:szCs w:val="20"/>
                <w:color w:val="auto"/>
              </w:rPr>
            </w:pPr>
            <w:r>
              <w:rPr>
                <w:rFonts w:ascii="Arial" w:cs="Arial" w:eastAsia="Arial" w:hAnsi="Arial"/>
                <w:sz w:val="16"/>
                <w:szCs w:val="16"/>
                <w:color w:val="auto"/>
              </w:rPr>
              <w:t>(0.60)</w:t>
            </w:r>
          </w:p>
        </w:tc>
        <w:tc>
          <w:tcPr>
            <w:tcW w:w="1360" w:type="dxa"/>
            <w:vAlign w:val="bottom"/>
          </w:tcPr>
          <w:p>
            <w:pPr>
              <w:spacing w:after="0"/>
              <w:rPr>
                <w:sz w:val="20"/>
                <w:szCs w:val="20"/>
                <w:color w:val="auto"/>
              </w:rPr>
            </w:pP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(3.90)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189"/>
        </w:trPr>
        <w:tc>
          <w:tcPr>
            <w:tcW w:w="3380" w:type="dxa"/>
            <w:vAlign w:val="bottom"/>
            <w:gridSpan w:val="6"/>
          </w:tcPr>
          <w:p>
            <w:pPr>
              <w:ind w:left="40"/>
              <w:spacing w:after="0" w:line="189" w:lineRule="exact"/>
              <w:rPr>
                <w:sz w:val="20"/>
                <w:szCs w:val="20"/>
                <w:color w:val="auto"/>
              </w:rPr>
            </w:pPr>
            <w:r>
              <w:rPr>
                <w:rFonts w:ascii="Arial" w:cs="Arial" w:eastAsia="Arial" w:hAnsi="Arial"/>
                <w:sz w:val="16"/>
                <w:szCs w:val="16"/>
                <w:b w:val="1"/>
                <w:bCs w:val="1"/>
                <w:color w:val="auto"/>
              </w:rPr>
              <w:t>Non-GAAP Earnings Per Share</w:t>
            </w:r>
            <w:r>
              <w:rPr>
                <w:rFonts w:ascii="Arial" w:cs="Arial" w:eastAsia="Arial" w:hAnsi="Arial"/>
                <w:sz w:val="21"/>
                <w:szCs w:val="21"/>
                <w:b w:val="1"/>
                <w:bCs w:val="1"/>
                <w:color w:val="auto"/>
                <w:vertAlign w:val="superscript"/>
              </w:rPr>
              <w:t>(1)</w:t>
            </w: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400" w:type="dxa"/>
            <w:vAlign w:val="bottom"/>
            <w:tcBorders>
              <w:top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37"/>
        </w:trPr>
        <w:tc>
          <w:tcPr>
            <w:tcW w:w="338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Diluted EPS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0.73</w:t>
            </w:r>
          </w:p>
        </w:tc>
        <w:tc>
          <w:tcPr>
            <w:tcW w:w="14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1.54</w:t>
            </w:r>
          </w:p>
        </w:tc>
        <w:tc>
          <w:tcPr>
            <w:tcW w:w="136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1.78</w:t>
            </w:r>
          </w:p>
        </w:tc>
      </w:tr>
      <w:tr>
        <w:trPr>
          <w:trHeight w:val="33"/>
        </w:trPr>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340" w:right="380" w:hanging="332"/>
        <w:spacing w:after="0" w:line="244" w:lineRule="auto"/>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 xml:space="preserve">These measures exclude certain expenses that we do not believe are indicative of our core operating results. See pages </w:t>
      </w:r>
      <w:r>
        <w:rPr>
          <w:rFonts w:ascii="Arial" w:cs="Arial" w:eastAsia="Arial" w:hAnsi="Arial"/>
          <w:sz w:val="18"/>
          <w:szCs w:val="18"/>
          <w:color w:val="auto"/>
        </w:rPr>
        <w:t>39-41</w:t>
      </w:r>
      <w:r>
        <w:rPr>
          <w:rFonts w:ascii="Arial" w:cs="Arial" w:eastAsia="Arial" w:hAnsi="Arial"/>
          <w:sz w:val="16"/>
          <w:szCs w:val="16"/>
          <w:color w:val="auto"/>
        </w:rPr>
        <w:t xml:space="preserve"> for information about these non-GAAP measures and reconciliations to the most comparable 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Revenues by region</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 and Canada</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997,293</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875,796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848,951</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Europe, Middle East, and Africa (EMEA)</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701,301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849,841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849,464</w:t>
            </w: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184,939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221,979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239,610</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Total Company</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1,883,533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1,947,616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1,938,025</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three categories:</w:t>
      </w:r>
    </w:p>
    <w:p>
      <w:pPr>
        <w:spacing w:after="0" w:line="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Advanced metering – one-way communication of meter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Smart metering – two-way communication including remote meter configuration and upgrade (consisting primarily of our OpenWay technology)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addition, advanced and smart meter communication modules can be sold separately from the meter.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is driven significantly by sales of meters and communication modules. A summary of our meter and communication module shipments is as follows:</w:t>
      </w:r>
    </w:p>
    <w:p>
      <w:pPr>
        <w:spacing w:after="0" w:line="333"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37465</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gridSpan w:val="2"/>
          </w:tcPr>
          <w:p>
            <w:pPr>
              <w:ind w:left="6760"/>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7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6"/>
                <w:szCs w:val="16"/>
                <w:b w:val="1"/>
                <w:bCs w:val="1"/>
                <w:color w:val="auto"/>
              </w:rPr>
              <w:t>(units in thousands)</w:t>
            </w:r>
          </w:p>
        </w:tc>
        <w:tc>
          <w:tcPr>
            <w:tcW w:w="1700" w:type="dxa"/>
            <w:vAlign w:val="bottom"/>
          </w:tcPr>
          <w:p>
            <w:pPr>
              <w:spacing w:after="0"/>
              <w:rPr>
                <w:sz w:val="18"/>
                <w:szCs w:val="18"/>
                <w:color w:val="auto"/>
              </w:rPr>
            </w:pPr>
          </w:p>
        </w:tc>
      </w:tr>
      <w:tr>
        <w:trPr>
          <w:trHeight w:val="270"/>
        </w:trPr>
        <w:tc>
          <w:tcPr>
            <w:tcW w:w="7160" w:type="dxa"/>
            <w:vAlign w:val="bottom"/>
            <w:gridSpan w:val="2"/>
          </w:tcPr>
          <w:p>
            <w:pPr>
              <w:ind w:left="40"/>
              <w:spacing w:after="0"/>
              <w:rPr>
                <w:sz w:val="20"/>
                <w:szCs w:val="20"/>
                <w:color w:val="auto"/>
              </w:rPr>
            </w:pPr>
            <w:r>
              <w:rPr>
                <w:rFonts w:ascii="Arial" w:cs="Arial" w:eastAsia="Arial" w:hAnsi="Arial"/>
                <w:sz w:val="16"/>
                <w:szCs w:val="16"/>
                <w:color w:val="auto"/>
              </w:rPr>
              <w:t>Meters</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17,560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17,850</w:t>
            </w:r>
          </w:p>
        </w:tc>
      </w:tr>
      <w:tr>
        <w:trPr>
          <w:trHeight w:val="237"/>
        </w:trPr>
        <w:tc>
          <w:tcPr>
            <w:tcW w:w="7160" w:type="dxa"/>
            <w:vAlign w:val="bottom"/>
            <w:gridSpan w:val="2"/>
          </w:tcPr>
          <w:p>
            <w:pPr>
              <w:ind w:left="380"/>
              <w:spacing w:after="0"/>
              <w:rPr>
                <w:sz w:val="20"/>
                <w:szCs w:val="20"/>
                <w:color w:val="auto"/>
              </w:rPr>
            </w:pPr>
            <w:r>
              <w:rPr>
                <w:rFonts w:ascii="Arial" w:cs="Arial" w:eastAsia="Arial" w:hAnsi="Arial"/>
                <w:sz w:val="16"/>
                <w:szCs w:val="16"/>
                <w:color w:val="auto"/>
              </w:rPr>
              <w:t>Advanced and smart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7,290</w:t>
            </w:r>
          </w:p>
        </w:tc>
        <w:tc>
          <w:tcPr>
            <w:tcW w:w="1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6,090</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5,930</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1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24,850</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24,830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23,780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Stand-alone communication modules</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50"/>
        </w:trPr>
        <w:tc>
          <w:tcPr>
            <w:tcW w:w="7160" w:type="dxa"/>
            <w:vAlign w:val="bottom"/>
            <w:gridSpan w:val="2"/>
          </w:tcPr>
          <w:p>
            <w:pPr>
              <w:ind w:left="720"/>
              <w:spacing w:after="0"/>
              <w:rPr>
                <w:sz w:val="20"/>
                <w:szCs w:val="20"/>
                <w:color w:val="auto"/>
              </w:rPr>
            </w:pPr>
            <w:r>
              <w:rPr>
                <w:rFonts w:ascii="Arial" w:cs="Arial" w:eastAsia="Arial" w:hAnsi="Arial"/>
                <w:sz w:val="16"/>
                <w:szCs w:val="16"/>
                <w:color w:val="auto"/>
              </w:rPr>
              <w:t>Advanced and smart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5,840</w:t>
            </w:r>
          </w:p>
        </w:tc>
        <w:tc>
          <w:tcPr>
            <w:tcW w:w="12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5,770</w:t>
            </w:r>
          </w:p>
        </w:tc>
        <w:tc>
          <w:tcPr>
            <w:tcW w:w="100" w:type="dxa"/>
            <w:vAlign w:val="bottom"/>
          </w:tcPr>
          <w:p>
            <w:pPr>
              <w:spacing w:after="0"/>
              <w:rPr>
                <w:sz w:val="21"/>
                <w:szCs w:val="21"/>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5,550</w:t>
            </w:r>
          </w:p>
        </w:tc>
      </w:tr>
      <w:tr>
        <w:trPr>
          <w:trHeight w:val="20"/>
        </w:trPr>
        <w:tc>
          <w:tcPr>
            <w:tcW w:w="60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Revenues decreased $64.1 million, or 3%, in 2015, compared with 2014. Revenues in 2015 were lower due to $178.3 million of adverse foreign currency impact. On a constant currency basis, revenue increased in our Electricity and Water segments by 15% and 3%, respectively. Revenues increased $9.6 million in 2014, compared with 2013. Changes in currency exchange rates unfavorably impacted revenues by $31.2 million across all segments. On a constant currency basis, the Gas and Water segments had increased revenue of 7% and 8%, respectively, partially offset by a decline of 5% in the Electricity segment revenue. A more detailed analysis of these fluctuations is provided in </w:t>
      </w:r>
      <w:r>
        <w:rPr>
          <w:rFonts w:ascii="Arial" w:cs="Arial" w:eastAsia="Arial" w:hAnsi="Arial"/>
          <w:sz w:val="17"/>
          <w:szCs w:val="17"/>
          <w:i w:val="1"/>
          <w:iCs w:val="1"/>
          <w:color w:val="auto"/>
        </w:rPr>
        <w:t>Operating Segment Results.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represented more than 10% of total revenues for the years ended December 31, 2015, 2014, and 2013. Our 10 largest customers accounted for 22%, 19%, and 21% of total revenues in 2015, 2014, and 2013.</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Gross margin was 29.6% for 2015, compared with 31.5% in 2014. The decrease was driven by a special warranty charge of $29.4 million related to the premature failure of certain communication modules that necessitated a product replacement notification. Gross margin was 31.5% in 2014, compared with 31.7% in 2013. The decrease was driven by decreased margins in the Electricity and Gas segments, partially offset by improved margins in Water. A more detailed analysis of these fluctuations is provided in </w:t>
      </w:r>
      <w:r>
        <w:rPr>
          <w:rFonts w:ascii="Arial" w:cs="Arial" w:eastAsia="Arial" w:hAnsi="Arial"/>
          <w:sz w:val="18"/>
          <w:szCs w:val="18"/>
          <w:i w:val="1"/>
          <w:iCs w:val="1"/>
          <w:color w:val="auto"/>
        </w:rPr>
        <w:t>Operating Segment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operating expense: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40" w:type="dxa"/>
            <w:vAlign w:val="bottom"/>
            <w:gridSpan w:val="4"/>
          </w:tcPr>
          <w:p>
            <w:pPr>
              <w:ind w:left="40"/>
              <w:spacing w:after="0"/>
              <w:rPr>
                <w:sz w:val="20"/>
                <w:szCs w:val="20"/>
                <w:color w:val="auto"/>
              </w:rPr>
            </w:pPr>
            <w:r>
              <w:rPr>
                <w:rFonts w:ascii="Arial" w:cs="Arial" w:eastAsia="Arial" w:hAnsi="Arial"/>
                <w:sz w:val="16"/>
                <w:szCs w:val="16"/>
                <w:b w:val="1"/>
                <w:bCs w:val="1"/>
                <w:color w:val="auto"/>
                <w:w w:val="95"/>
              </w:rPr>
              <w:t>Year Ended December 31,</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20"/>
                <w:szCs w:val="20"/>
                <w:color w:val="auto"/>
              </w:rPr>
            </w:pPr>
          </w:p>
        </w:tc>
        <w:tc>
          <w:tcPr>
            <w:tcW w:w="14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(in thousands)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(in thousands)</w:t>
            </w:r>
          </w:p>
        </w:tc>
      </w:tr>
      <w:tr>
        <w:trPr>
          <w:trHeight w:val="3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161,380</w:t>
            </w:r>
          </w:p>
        </w:tc>
        <w:tc>
          <w:tcPr>
            <w:tcW w:w="10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(12)%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182,503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182,687</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2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162,334</w:t>
            </w:r>
          </w:p>
        </w:tc>
        <w:tc>
          <w:tcPr>
            <w:tcW w:w="1040" w:type="dxa"/>
            <w:vAlign w:val="bottom"/>
            <w:gridSpan w:val="2"/>
          </w:tcPr>
          <w:p>
            <w:pPr>
              <w:jc w:val="center"/>
              <w:ind w:left="39"/>
              <w:spacing w:after="0"/>
              <w:rPr>
                <w:sz w:val="20"/>
                <w:szCs w:val="20"/>
                <w:color w:val="auto"/>
              </w:rPr>
            </w:pPr>
            <w:r>
              <w:rPr>
                <w:rFonts w:ascii="Arial" w:cs="Arial" w:eastAsia="Arial" w:hAnsi="Arial"/>
                <w:sz w:val="16"/>
                <w:szCs w:val="16"/>
                <w:color w:val="auto"/>
                <w:w w:val="94"/>
              </w:rPr>
              <w:t>(8)%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175,500</w:t>
            </w:r>
          </w:p>
        </w:tc>
        <w:tc>
          <w:tcPr>
            <w:tcW w:w="10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175,420</w:t>
            </w:r>
          </w:p>
        </w:tc>
      </w:tr>
      <w:tr>
        <w:trPr>
          <w:trHeight w:val="3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155,715</w:t>
            </w:r>
          </w:p>
        </w:tc>
        <w:tc>
          <w:tcPr>
            <w:tcW w:w="10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4"/>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162,466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143,932</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31,673</w:t>
            </w:r>
          </w:p>
        </w:tc>
        <w:tc>
          <w:tcPr>
            <w:tcW w:w="104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43,619</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42,019</w:t>
            </w:r>
          </w:p>
        </w:tc>
      </w:tr>
      <w:tr>
        <w:trPr>
          <w:trHeight w:val="3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(7,263)</w:t>
            </w:r>
          </w:p>
        </w:tc>
        <w:tc>
          <w:tcPr>
            <w:tcW w:w="10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49,482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36,347</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2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(100)%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174,226</w:t>
            </w:r>
          </w:p>
        </w:tc>
      </w:tr>
      <w:tr>
        <w:trPr>
          <w:trHeight w:val="33"/>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503,839</w:t>
            </w:r>
          </w:p>
        </w:tc>
        <w:tc>
          <w:tcPr>
            <w:tcW w:w="10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(18)%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613,570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754,631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decreased $109.7 million for the year ended December 31, 2015 as compared with the same period in 2014. This decrease was partially the result of a favorable foreign exchange impact of $54.0 million. On a constant currency basis, operating expense decreased $55.8 million, which included a $50.6 million reduction in restructuring expense, an $18.3 million decrease in variable compensation, and a $21.0 million reduction in acquisition related expenses as a result of a $14.7 million settlement recorded in 2014, for which we recovered $8.2 million in 2015. These decreases were partially offset by increased litigation, professional service, and temporary worker expenses.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December 31, 2014, operating expenses decreased $141.1 million as compared with the same period in 2013. This decrease includes $17.0 million related to favorable foreign exchange impact. On a constant currency basis, operating expense decreased $124.1 million, which includes a $165.7 million decrease in goodwill impairment charges. This was partially offset by a $14.3 million increase in restructuring expense following the approval of the 2014 Projects, and a $22.1 million increase in general and administrative expenses due to higher litigation and variable compensation costs in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Operating Expenses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non-GAAP purposes, total company and segment operating expenses exclude intangible asset amortization, restructuring, and goodwill impairment expenses, as well as acquisition-related costs (classified within general and administrative). Total non-GAAP operating expenses, as a percentage of revenues, were 26% for the years ended December 31, 2015, 2014, and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80" w:type="dxa"/>
            <w:vAlign w:val="bottom"/>
            <w:gridSpan w:val="5"/>
          </w:tcPr>
          <w:p>
            <w:pPr>
              <w:ind w:left="160"/>
              <w:spacing w:after="0"/>
              <w:rPr>
                <w:sz w:val="20"/>
                <w:szCs w:val="20"/>
                <w:color w:val="auto"/>
              </w:rPr>
            </w:pPr>
            <w:r>
              <w:rPr>
                <w:rFonts w:ascii="Arial" w:cs="Arial" w:eastAsia="Arial" w:hAnsi="Arial"/>
                <w:sz w:val="16"/>
                <w:szCs w:val="16"/>
                <w:b w:val="1"/>
                <w:bCs w:val="1"/>
                <w:color w:val="auto"/>
                <w:w w:val="91"/>
              </w:rPr>
              <w:t>Year Ended December 31,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200" w:type="dxa"/>
            <w:vAlign w:val="bottom"/>
          </w:tcPr>
          <w:p>
            <w:pPr>
              <w:ind w:left="320"/>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480" w:type="dxa"/>
            <w:vAlign w:val="bottom"/>
            <w:gridSpan w:val="2"/>
          </w:tcPr>
          <w:p>
            <w:pPr>
              <w:ind w:left="320"/>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20"/>
                <w:szCs w:val="20"/>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33"/>
        </w:trPr>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(in thousands)</w:t>
            </w: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93"/>
              </w:rPr>
              <w:t>54%</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1,152</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(10,161)</w:t>
            </w:r>
          </w:p>
        </w:tc>
        <w:tc>
          <w:tcPr>
            <w:tcW w:w="120" w:type="dxa"/>
            <w:vAlign w:val="bottom"/>
          </w:tcPr>
          <w:p>
            <w:pPr>
              <w:spacing w:after="0"/>
              <w:rPr>
                <w:sz w:val="20"/>
                <w:szCs w:val="20"/>
                <w:color w:val="auto"/>
              </w:rPr>
            </w:pPr>
          </w:p>
        </w:tc>
        <w:tc>
          <w:tcPr>
            <w:tcW w:w="1200" w:type="dxa"/>
            <w:vAlign w:val="bottom"/>
          </w:tcPr>
          <w:p>
            <w:pPr>
              <w:jc w:val="center"/>
              <w:ind w:left="99"/>
              <w:spacing w:after="0"/>
              <w:rPr>
                <w:sz w:val="20"/>
                <w:szCs w:val="20"/>
                <w:color w:val="auto"/>
              </w:rPr>
            </w:pPr>
            <w:r>
              <w:rPr>
                <w:rFonts w:ascii="Arial" w:cs="Arial" w:eastAsia="Arial" w:hAnsi="Arial"/>
                <w:sz w:val="16"/>
                <w:szCs w:val="16"/>
                <w:color w:val="auto"/>
                <w:w w:val="94"/>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(9,990)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(9,030)</w:t>
            </w: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93"/>
              </w:rPr>
              <w:t>32%</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(1,656)</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(4,216)</w:t>
            </w:r>
          </w:p>
        </w:tc>
        <w:tc>
          <w:tcPr>
            <w:tcW w:w="120" w:type="dxa"/>
            <w:vAlign w:val="bottom"/>
          </w:tcPr>
          <w:p>
            <w:pPr>
              <w:spacing w:after="0"/>
              <w:rPr>
                <w:sz w:val="20"/>
                <w:szCs w:val="20"/>
                <w:color w:val="auto"/>
              </w:rPr>
            </w:pPr>
          </w:p>
        </w:tc>
        <w:tc>
          <w:tcPr>
            <w:tcW w:w="1200" w:type="dxa"/>
            <w:vAlign w:val="bottom"/>
          </w:tcPr>
          <w:p>
            <w:pPr>
              <w:jc w:val="center"/>
              <w:ind w:left="99"/>
              <w:spacing w:after="0"/>
              <w:rPr>
                <w:sz w:val="20"/>
                <w:szCs w:val="20"/>
                <w:color w:val="auto"/>
              </w:rPr>
            </w:pPr>
            <w:r>
              <w:rPr>
                <w:rFonts w:ascii="Arial" w:cs="Arial" w:eastAsia="Arial" w:hAnsi="Arial"/>
                <w:sz w:val="16"/>
                <w:szCs w:val="16"/>
                <w:color w:val="auto"/>
                <w:w w:val="98"/>
              </w:rPr>
              <w:t>(45)%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(7,637)</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(4,003)</w:t>
            </w:r>
          </w:p>
        </w:tc>
      </w:tr>
      <w:tr>
        <w:trPr>
          <w:trHeight w:val="3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(15,744)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98"/>
              </w:rPr>
              <w:t>(16)%</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(18,745)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(13,537)</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is generated from our cash and cash equivalents. Interest rates have continued to remain low and therefore interest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was consistent for the years ended December 31, 2015 and 2014. The higher interest income for the year ended December 31, 2013 relates to interest recognized on certain deposits with governmental entities related to tax contingencies.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for the year ended December 31, 2015 remained consistent compared with 2014 despite an increase in outstanding debt.</w:t>
      </w:r>
      <w:r>
        <w:rPr>
          <w:rFonts w:ascii="Arial" w:cs="Arial" w:eastAsia="Arial" w:hAnsi="Arial"/>
          <w:sz w:val="17"/>
          <w:szCs w:val="17"/>
          <w:i w:val="1"/>
          <w:iCs w:val="1"/>
          <w:color w:val="auto"/>
        </w:rPr>
        <w:t xml:space="preserve"> </w:t>
      </w:r>
      <w:r>
        <w:rPr>
          <w:rFonts w:ascii="Arial" w:cs="Arial" w:eastAsia="Arial" w:hAnsi="Arial"/>
          <w:sz w:val="17"/>
          <w:szCs w:val="17"/>
          <w:color w:val="auto"/>
        </w:rPr>
        <w:t>This was caused by lower commitment fees on the revolver (resulting from decreased revolver capacity and lower fee percentage), as well as lower interest rates on lines of credit at certain of our international locations. For the year ended December 31, 2014, interest expense increased despite the reduction in outstanding debt due to the impact of interest rate swaps, which became effective during the third quarter of 2013. The weighted-average debt outstanding was $367.1 million, $340.6 million, and $410.8 million, at December 31, 2015, 2014, and 2013, respectively.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Amortization of prepaid debt fees</w:t>
      </w:r>
      <w:r>
        <w:rPr>
          <w:rFonts w:ascii="Arial" w:cs="Arial" w:eastAsia="Arial" w:hAnsi="Arial"/>
          <w:sz w:val="18"/>
          <w:szCs w:val="18"/>
          <w:color w:val="auto"/>
        </w:rPr>
        <w:t>: Amortization of prepaid debt fees increased for the year ended December 31, 2015 due to the 2015 credit facility entered</w:t>
      </w:r>
      <w:r>
        <w:rPr>
          <w:rFonts w:ascii="Arial" w:cs="Arial" w:eastAsia="Arial" w:hAnsi="Arial"/>
          <w:sz w:val="18"/>
          <w:szCs w:val="18"/>
          <w:i w:val="1"/>
          <w:iCs w:val="1"/>
          <w:color w:val="auto"/>
        </w:rPr>
        <w:t xml:space="preserve"> </w:t>
      </w:r>
      <w:r>
        <w:rPr>
          <w:rFonts w:ascii="Arial" w:cs="Arial" w:eastAsia="Arial" w:hAnsi="Arial"/>
          <w:sz w:val="18"/>
          <w:szCs w:val="18"/>
          <w:color w:val="auto"/>
        </w:rPr>
        <w:t>into on June 23, 2015. Upon entering into the 2015 credit facility, $821,000 of unamortized prepaid debt fees related to the 2011 credit facility was written-off. Amortization of prepaid debt fees was consistent for the years ended December 31, 2014 and 2013.</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w:t>
      </w:r>
      <w:r>
        <w:rPr>
          <w:rFonts w:ascii="Arial" w:cs="Arial" w:eastAsia="Arial" w:hAnsi="Arial"/>
          <w:sz w:val="18"/>
          <w:szCs w:val="18"/>
          <w:i w:val="1"/>
          <w:iCs w:val="1"/>
          <w:color w:val="auto"/>
        </w:rPr>
        <w:t>, net</w:t>
      </w:r>
      <w:r>
        <w:rPr>
          <w:rFonts w:ascii="Arial" w:cs="Arial" w:eastAsia="Arial" w:hAnsi="Arial"/>
          <w:sz w:val="18"/>
          <w:szCs w:val="18"/>
          <w:color w:val="auto"/>
        </w:rPr>
        <w:t>: Other expenses, net, consist primarily of unrealized and realized foreign currency gains and losses due to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in a currency other than the reporting entity's functional currency. Foreign currency losses, net of hedging, were $3.0 million in 2015, compared with net foreign currency losses of $5.1 million in 2014 and $3.3 million in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 (Benefit)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recognized income tax provision (benefit) of $22.1 million, $4.0 million, and $(2.5) million for the years ended December 31, 2015, 2014, and 2013. Our actual tax rate differs from the 35% U.S. federal statutory tax rate due to the level of business in domestic and foreign jurisdictions, tax credits (including research and development and foreign tax), state income taxes, adjustments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valuation allowances, uncertain tax positions, and goodwill impairments that are non-deductible for tax purposes, among other items. For additional discussion related to income taxes, see Item 8: “Financial Statements and Supplementary Data, Note 12: Income Taxes.”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April 2016, the United States Internal Revenue Service (IRS) proposed certain significant adjustments to our research and development tax credit position as part of the 2011 to 2013 tax audit. Management disagrees with the proposed adjustments on technical and factual grounds. We plan to avail ourself of all administrative, and if necessary, judicial remedies and do not expect the adjustments to ultimately result in a material change to our financial position.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1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operating segments, refer to Item 8: “Financial Statements and Supplementary Data, Note 17: Segment Information” in this Annual Report on Form 10-K. The following tables and discussion highlight significant changes in trends or components of each operating segment.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6"/>
          </w:tcPr>
          <w:p>
            <w:pPr>
              <w:jc w:val="center"/>
              <w:ind w:right="60"/>
              <w:spacing w:after="0"/>
              <w:rPr>
                <w:sz w:val="20"/>
                <w:szCs w:val="20"/>
                <w:color w:val="auto"/>
              </w:rPr>
            </w:pPr>
            <w:r>
              <w:rPr>
                <w:rFonts w:ascii="Arial" w:cs="Arial" w:eastAsia="Arial" w:hAnsi="Arial"/>
                <w:sz w:val="16"/>
                <w:szCs w:val="16"/>
                <w:b w:val="1"/>
                <w:bCs w:val="1"/>
                <w:color w:val="auto"/>
                <w:w w:val="92"/>
              </w:rPr>
              <w:t>Year Ended December 31,</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 Change</w:t>
            </w:r>
          </w:p>
        </w:tc>
        <w:tc>
          <w:tcPr>
            <w:tcW w:w="120" w:type="dxa"/>
            <w:vAlign w:val="bottom"/>
          </w:tcPr>
          <w:p>
            <w:pPr>
              <w:spacing w:after="0"/>
              <w:rPr>
                <w:sz w:val="20"/>
                <w:szCs w:val="20"/>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9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Segment Revenues</w:t>
            </w:r>
          </w:p>
        </w:tc>
        <w:tc>
          <w:tcPr>
            <w:tcW w:w="120" w:type="dxa"/>
            <w:vAlign w:val="bottom"/>
          </w:tcPr>
          <w:p>
            <w:pPr>
              <w:spacing w:after="0"/>
              <w:rPr>
                <w:sz w:val="18"/>
                <w:szCs w:val="18"/>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0"/>
              </w:rPr>
              <w:t>(in thousands)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8"/>
              </w:rPr>
              <w:t>(in thousands)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820,306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771,857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4"/>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825,391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380"/>
              <w:spacing w:after="0"/>
              <w:rPr>
                <w:sz w:val="20"/>
                <w:szCs w:val="20"/>
                <w:color w:val="auto"/>
              </w:rPr>
            </w:pPr>
            <w:r>
              <w:rPr>
                <w:rFonts w:ascii="Arial" w:cs="Arial" w:eastAsia="Arial" w:hAnsi="Arial"/>
                <w:sz w:val="16"/>
                <w:szCs w:val="16"/>
                <w:color w:val="auto"/>
              </w:rPr>
              <w:t>Gas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543,805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599,091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59"/>
              <w:spacing w:after="0"/>
              <w:rPr>
                <w:sz w:val="20"/>
                <w:szCs w:val="20"/>
                <w:color w:val="auto"/>
              </w:rPr>
            </w:pPr>
            <w:r>
              <w:rPr>
                <w:rFonts w:ascii="Arial" w:cs="Arial" w:eastAsia="Arial" w:hAnsi="Arial"/>
                <w:sz w:val="16"/>
                <w:szCs w:val="16"/>
                <w:color w:val="auto"/>
                <w:w w:val="94"/>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570,450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519,422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576,668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4"/>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542,184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96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1,883,533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220" w:type="dxa"/>
            <w:vAlign w:val="bottom"/>
            <w:gridSpan w:val="2"/>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1,947,616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1,938,025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5"/>
          </w:tcPr>
          <w:p>
            <w:pPr>
              <w:ind w:left="50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2015</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2014</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3"/>
          </w:tcPr>
          <w:p>
            <w:pPr>
              <w:jc w:val="right"/>
              <w:ind w:right="125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16"/>
                <w:szCs w:val="16"/>
                <w:b w:val="1"/>
                <w:bCs w:val="1"/>
                <w:i w:val="1"/>
                <w:iCs w:val="1"/>
                <w:color w:val="auto"/>
                <w:w w:val="86"/>
              </w:rPr>
              <w:t>Gross Profit</w:t>
            </w:r>
          </w:p>
        </w:tc>
        <w:tc>
          <w:tcPr>
            <w:tcW w:w="12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9"/>
              </w:rPr>
              <w:t>Gross Margin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6"/>
                <w:szCs w:val="16"/>
                <w:b w:val="1"/>
                <w:bCs w:val="1"/>
                <w:i w:val="1"/>
                <w:iCs w:val="1"/>
                <w:color w:val="auto"/>
                <w:w w:val="88"/>
              </w:rPr>
              <w:t>Gross Profit</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i w:val="1"/>
                <w:iCs w:val="1"/>
                <w:color w:val="auto"/>
                <w:w w:val="89"/>
              </w:rPr>
              <w:t>Gross Margin</w:t>
            </w:r>
          </w:p>
        </w:tc>
        <w:tc>
          <w:tcPr>
            <w:tcW w:w="120" w:type="dxa"/>
            <w:vAlign w:val="bottom"/>
          </w:tcPr>
          <w:p>
            <w:pPr>
              <w:spacing w:after="0"/>
              <w:rPr>
                <w:sz w:val="20"/>
                <w:szCs w:val="20"/>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i w:val="1"/>
                <w:iCs w:val="1"/>
                <w:color w:val="auto"/>
                <w:w w:val="88"/>
              </w:rPr>
              <w:t>Gross Profit</w:t>
            </w:r>
          </w:p>
        </w:tc>
        <w:tc>
          <w:tcPr>
            <w:tcW w:w="100" w:type="dxa"/>
            <w:vAlign w:val="bottom"/>
          </w:tcPr>
          <w:p>
            <w:pPr>
              <w:spacing w:after="0"/>
              <w:rPr>
                <w:sz w:val="20"/>
                <w:szCs w:val="20"/>
                <w:color w:val="auto"/>
              </w:rPr>
            </w:pPr>
          </w:p>
        </w:tc>
        <w:tc>
          <w:tcPr>
            <w:tcW w:w="1480" w:type="dxa"/>
            <w:vAlign w:val="bottom"/>
          </w:tcPr>
          <w:p>
            <w:pPr>
              <w:jc w:val="right"/>
              <w:ind w:right="199"/>
              <w:spacing w:after="0"/>
              <w:rPr>
                <w:sz w:val="20"/>
                <w:szCs w:val="20"/>
                <w:color w:val="auto"/>
              </w:rPr>
            </w:pPr>
            <w:r>
              <w:rPr>
                <w:rFonts w:ascii="Arial" w:cs="Arial" w:eastAsia="Arial" w:hAnsi="Arial"/>
                <w:sz w:val="16"/>
                <w:szCs w:val="16"/>
                <w:b w:val="1"/>
                <w:bCs w:val="1"/>
                <w:i w:val="1"/>
                <w:iCs w:val="1"/>
                <w:color w:val="auto"/>
              </w:rPr>
              <w:t>Gross Margin</w:t>
            </w:r>
          </w:p>
        </w:tc>
        <w:tc>
          <w:tcPr>
            <w:tcW w:w="0" w:type="dxa"/>
            <w:vAlign w:val="bottom"/>
          </w:tcPr>
          <w:p>
            <w:pPr>
              <w:spacing w:after="0"/>
              <w:rPr>
                <w:sz w:val="1"/>
                <w:szCs w:val="1"/>
                <w:color w:val="auto"/>
              </w:rPr>
            </w:pPr>
          </w:p>
        </w:tc>
      </w:tr>
      <w:tr>
        <w:trPr>
          <w:trHeight w:val="33"/>
        </w:trPr>
        <w:tc>
          <w:tcPr>
            <w:tcW w:w="196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w w:val="96"/>
              </w:rPr>
              <w:t>Segment Gross Profit and</w:t>
            </w: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vMerge w:val="restart"/>
          </w:tcPr>
          <w:p>
            <w:pPr>
              <w:jc w:val="center"/>
              <w:ind w:right="380"/>
              <w:spacing w:after="0"/>
              <w:rPr>
                <w:sz w:val="20"/>
                <w:szCs w:val="20"/>
                <w:color w:val="auto"/>
              </w:rPr>
            </w:pPr>
            <w:r>
              <w:rPr>
                <w:rFonts w:ascii="Arial" w:cs="Arial" w:eastAsia="Arial" w:hAnsi="Arial"/>
                <w:sz w:val="16"/>
                <w:szCs w:val="16"/>
                <w:b w:val="1"/>
                <w:bCs w:val="1"/>
                <w:color w:val="auto"/>
                <w:w w:val="90"/>
              </w:rPr>
              <w:t>(in thousands)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vMerge w:val="restart"/>
          </w:tcPr>
          <w:p>
            <w:pPr>
              <w:jc w:val="center"/>
              <w:ind w:right="360"/>
              <w:spacing w:after="0"/>
              <w:rPr>
                <w:sz w:val="20"/>
                <w:szCs w:val="20"/>
                <w:color w:val="auto"/>
              </w:rPr>
            </w:pPr>
            <w:r>
              <w:rPr>
                <w:rFonts w:ascii="Arial" w:cs="Arial" w:eastAsia="Arial" w:hAnsi="Arial"/>
                <w:sz w:val="16"/>
                <w:szCs w:val="16"/>
                <w:b w:val="1"/>
                <w:bCs w:val="1"/>
                <w:color w:val="auto"/>
                <w:w w:val="88"/>
              </w:rPr>
              <w:t>(in thousands)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Margin</w:t>
            </w:r>
          </w:p>
        </w:tc>
        <w:tc>
          <w:tcPr>
            <w:tcW w:w="12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225,446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200,249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2"/>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219,852</w:t>
            </w:r>
          </w:p>
        </w:tc>
        <w:tc>
          <w:tcPr>
            <w:tcW w:w="15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26.6%</w:t>
            </w:r>
          </w:p>
        </w:tc>
        <w:tc>
          <w:tcPr>
            <w:tcW w:w="0" w:type="dxa"/>
            <w:vAlign w:val="bottom"/>
          </w:tcPr>
          <w:p>
            <w:pPr>
              <w:spacing w:after="0"/>
              <w:rPr>
                <w:sz w:val="1"/>
                <w:szCs w:val="1"/>
                <w:color w:val="auto"/>
              </w:rPr>
            </w:pPr>
          </w:p>
        </w:tc>
      </w:tr>
      <w:tr>
        <w:trPr>
          <w:trHeight w:val="237"/>
        </w:trPr>
        <w:tc>
          <w:tcPr>
            <w:tcW w:w="1960" w:type="dxa"/>
            <w:vAlign w:val="bottom"/>
          </w:tcPr>
          <w:p>
            <w:pPr>
              <w:ind w:left="380"/>
              <w:spacing w:after="0"/>
              <w:rPr>
                <w:sz w:val="20"/>
                <w:szCs w:val="20"/>
                <w:color w:val="auto"/>
              </w:rPr>
            </w:pPr>
            <w:r>
              <w:rPr>
                <w:rFonts w:ascii="Arial" w:cs="Arial" w:eastAsia="Arial" w:hAnsi="Arial"/>
                <w:sz w:val="16"/>
                <w:szCs w:val="16"/>
                <w:color w:val="auto"/>
              </w:rPr>
              <w:t>Gas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185,559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34.1%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211,623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59"/>
              <w:spacing w:after="0"/>
              <w:rPr>
                <w:sz w:val="20"/>
                <w:szCs w:val="20"/>
                <w:color w:val="auto"/>
              </w:rPr>
            </w:pPr>
            <w:r>
              <w:rPr>
                <w:rFonts w:ascii="Arial" w:cs="Arial" w:eastAsia="Arial" w:hAnsi="Arial"/>
                <w:sz w:val="16"/>
                <w:szCs w:val="16"/>
                <w:color w:val="auto"/>
                <w:w w:val="92"/>
              </w:rPr>
              <w:t>35.3%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207,577</w:t>
            </w:r>
          </w:p>
        </w:tc>
        <w:tc>
          <w:tcPr>
            <w:tcW w:w="158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36.4%</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145,680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202,178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2"/>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187,339</w:t>
            </w:r>
          </w:p>
        </w:tc>
        <w:tc>
          <w:tcPr>
            <w:tcW w:w="15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34.6%</w:t>
            </w:r>
          </w:p>
        </w:tc>
        <w:tc>
          <w:tcPr>
            <w:tcW w:w="0" w:type="dxa"/>
            <w:vAlign w:val="bottom"/>
          </w:tcPr>
          <w:p>
            <w:pPr>
              <w:spacing w:after="0"/>
              <w:rPr>
                <w:sz w:val="1"/>
                <w:szCs w:val="1"/>
                <w:color w:val="auto"/>
              </w:rPr>
            </w:pPr>
          </w:p>
        </w:tc>
      </w:tr>
      <w:tr>
        <w:trPr>
          <w:trHeight w:val="244"/>
        </w:trPr>
        <w:tc>
          <w:tcPr>
            <w:tcW w:w="196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556,685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29.6%</w:t>
            </w:r>
          </w:p>
        </w:tc>
        <w:tc>
          <w:tcPr>
            <w:tcW w:w="220" w:type="dxa"/>
            <w:vAlign w:val="bottom"/>
            <w:gridSpan w:val="2"/>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614,050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right="59"/>
              <w:spacing w:after="0"/>
              <w:rPr>
                <w:sz w:val="20"/>
                <w:szCs w:val="20"/>
                <w:color w:val="auto"/>
              </w:rPr>
            </w:pPr>
            <w:r>
              <w:rPr>
                <w:rFonts w:ascii="Arial" w:cs="Arial" w:eastAsia="Arial" w:hAnsi="Arial"/>
                <w:sz w:val="16"/>
                <w:szCs w:val="16"/>
                <w:color w:val="auto"/>
                <w:w w:val="92"/>
              </w:rPr>
              <w:t>31.5%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614,768</w:t>
            </w:r>
          </w:p>
        </w:tc>
        <w:tc>
          <w:tcPr>
            <w:tcW w:w="158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31.7%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60" w:type="dxa"/>
            <w:vAlign w:val="bottom"/>
            <w:gridSpan w:val="6"/>
          </w:tcPr>
          <w:p>
            <w:pPr>
              <w:jc w:val="center"/>
              <w:ind w:right="60"/>
              <w:spacing w:after="0"/>
              <w:rPr>
                <w:sz w:val="20"/>
                <w:szCs w:val="20"/>
                <w:color w:val="auto"/>
              </w:rPr>
            </w:pPr>
            <w:r>
              <w:rPr>
                <w:rFonts w:ascii="Arial" w:cs="Arial" w:eastAsia="Arial" w:hAnsi="Arial"/>
                <w:sz w:val="16"/>
                <w:szCs w:val="16"/>
                <w:b w:val="1"/>
                <w:bCs w:val="1"/>
                <w:color w:val="auto"/>
                <w:w w:val="92"/>
              </w:rPr>
              <w:t>Year Ended December 31,</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 Change</w:t>
            </w:r>
          </w:p>
        </w:tc>
        <w:tc>
          <w:tcPr>
            <w:tcW w:w="120" w:type="dxa"/>
            <w:vAlign w:val="bottom"/>
          </w:tcPr>
          <w:p>
            <w:pPr>
              <w:spacing w:after="0"/>
              <w:rPr>
                <w:sz w:val="20"/>
                <w:szCs w:val="20"/>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6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Segment Operating</w:t>
            </w: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vMerge w:val="restart"/>
          </w:tcPr>
          <w:p>
            <w:pPr>
              <w:jc w:val="center"/>
              <w:ind w:right="380"/>
              <w:spacing w:after="0"/>
              <w:rPr>
                <w:sz w:val="20"/>
                <w:szCs w:val="20"/>
                <w:color w:val="auto"/>
              </w:rPr>
            </w:pPr>
            <w:r>
              <w:rPr>
                <w:rFonts w:ascii="Arial" w:cs="Arial" w:eastAsia="Arial" w:hAnsi="Arial"/>
                <w:sz w:val="16"/>
                <w:szCs w:val="16"/>
                <w:b w:val="1"/>
                <w:bCs w:val="1"/>
                <w:color w:val="auto"/>
                <w:w w:val="90"/>
              </w:rPr>
              <w:t>(in thousands)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vMerge w:val="restart"/>
          </w:tcPr>
          <w:p>
            <w:pPr>
              <w:jc w:val="center"/>
              <w:ind w:right="360"/>
              <w:spacing w:after="0"/>
              <w:rPr>
                <w:sz w:val="20"/>
                <w:szCs w:val="20"/>
                <w:color w:val="auto"/>
              </w:rPr>
            </w:pPr>
            <w:r>
              <w:rPr>
                <w:rFonts w:ascii="Arial" w:cs="Arial" w:eastAsia="Arial" w:hAnsi="Arial"/>
                <w:sz w:val="16"/>
                <w:szCs w:val="16"/>
                <w:b w:val="1"/>
                <w:bCs w:val="1"/>
                <w:color w:val="auto"/>
                <w:w w:val="88"/>
              </w:rPr>
              <w:t>(in thousands)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Expenses</w:t>
            </w:r>
          </w:p>
        </w:tc>
        <w:tc>
          <w:tcPr>
            <w:tcW w:w="12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194,342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3"/>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457,131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380"/>
              <w:spacing w:after="0"/>
              <w:rPr>
                <w:sz w:val="20"/>
                <w:szCs w:val="20"/>
                <w:color w:val="auto"/>
              </w:rPr>
            </w:pPr>
            <w:r>
              <w:rPr>
                <w:rFonts w:ascii="Arial" w:cs="Arial" w:eastAsia="Arial" w:hAnsi="Arial"/>
                <w:sz w:val="16"/>
                <w:szCs w:val="16"/>
                <w:color w:val="auto"/>
              </w:rPr>
              <w:t>Gas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118,088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135,522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59"/>
              <w:spacing w:after="0"/>
              <w:rPr>
                <w:sz w:val="20"/>
                <w:szCs w:val="20"/>
                <w:color w:val="auto"/>
              </w:rPr>
            </w:pPr>
            <w:r>
              <w:rPr>
                <w:rFonts w:ascii="Arial" w:cs="Arial" w:eastAsia="Arial" w:hAnsi="Arial"/>
                <w:sz w:val="16"/>
                <w:szCs w:val="16"/>
                <w:color w:val="auto"/>
                <w:w w:val="94"/>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125,401</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130,822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4"/>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380"/>
              <w:spacing w:after="0"/>
              <w:rPr>
                <w:sz w:val="20"/>
                <w:szCs w:val="20"/>
                <w:color w:val="auto"/>
              </w:rPr>
            </w:pPr>
            <w:r>
              <w:rPr>
                <w:rFonts w:ascii="Arial" w:cs="Arial" w:eastAsia="Arial" w:hAnsi="Arial"/>
                <w:sz w:val="16"/>
                <w:szCs w:val="16"/>
                <w:color w:val="auto"/>
                <w:w w:val="99"/>
              </w:rPr>
              <w:t>Corporate unallocated</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65,593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69,226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59"/>
              <w:spacing w:after="0"/>
              <w:rPr>
                <w:sz w:val="20"/>
                <w:szCs w:val="20"/>
                <w:color w:val="auto"/>
              </w:rPr>
            </w:pPr>
            <w:r>
              <w:rPr>
                <w:rFonts w:ascii="Arial" w:cs="Arial" w:eastAsia="Arial" w:hAnsi="Arial"/>
                <w:sz w:val="16"/>
                <w:szCs w:val="16"/>
                <w:color w:val="auto"/>
                <w:w w:val="93"/>
              </w:rPr>
              <w:t>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46,775</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503,839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(18)%</w:t>
            </w: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613,570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3"/>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754,631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5"/>
          </w:tcPr>
          <w:p>
            <w:pPr>
              <w:ind w:left="50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2015</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2014</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3"/>
          </w:tcPr>
          <w:p>
            <w:pPr>
              <w:jc w:val="right"/>
              <w:ind w:right="125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6"/>
                <w:szCs w:val="16"/>
                <w:b w:val="1"/>
                <w:bCs w:val="1"/>
                <w:i w:val="1"/>
                <w:iCs w:val="1"/>
                <w:color w:val="auto"/>
                <w:w w:val="89"/>
              </w:rPr>
              <w:t>Operating Income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6"/>
                <w:szCs w:val="16"/>
                <w:b w:val="1"/>
                <w:bCs w:val="1"/>
                <w:i w:val="1"/>
                <w:iCs w:val="1"/>
                <w:color w:val="auto"/>
                <w:w w:val="89"/>
              </w:rPr>
              <w:t>Operating Income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i w:val="1"/>
                <w:iCs w:val="1"/>
                <w:color w:val="auto"/>
                <w:w w:val="89"/>
              </w:rPr>
              <w:t>Operating Income</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16"/>
                <w:szCs w:val="16"/>
                <w:b w:val="1"/>
                <w:bCs w:val="1"/>
                <w:i w:val="1"/>
                <w:iCs w:val="1"/>
                <w:color w:val="auto"/>
                <w:w w:val="83"/>
              </w:rPr>
              <w:t>(Loss)</w:t>
            </w:r>
          </w:p>
        </w:tc>
        <w:tc>
          <w:tcPr>
            <w:tcW w:w="12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2"/>
              </w:rPr>
              <w:t>Operating Margin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6"/>
                <w:szCs w:val="16"/>
                <w:b w:val="1"/>
                <w:bCs w:val="1"/>
                <w:i w:val="1"/>
                <w:iCs w:val="1"/>
                <w:color w:val="auto"/>
                <w:w w:val="87"/>
              </w:rPr>
              <w:t>(Loss)</w:t>
            </w: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i w:val="1"/>
                <w:iCs w:val="1"/>
                <w:color w:val="auto"/>
                <w:w w:val="92"/>
              </w:rPr>
              <w:t>Operating Margin</w:t>
            </w:r>
          </w:p>
        </w:tc>
        <w:tc>
          <w:tcPr>
            <w:tcW w:w="120" w:type="dxa"/>
            <w:vAlign w:val="bottom"/>
          </w:tcPr>
          <w:p>
            <w:pPr>
              <w:spacing w:after="0"/>
              <w:rPr>
                <w:sz w:val="17"/>
                <w:szCs w:val="17"/>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i w:val="1"/>
                <w:iCs w:val="1"/>
                <w:color w:val="auto"/>
                <w:w w:val="87"/>
              </w:rPr>
              <w:t>(Loss)</w:t>
            </w:r>
          </w:p>
        </w:tc>
        <w:tc>
          <w:tcPr>
            <w:tcW w:w="10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b w:val="1"/>
                <w:bCs w:val="1"/>
                <w:i w:val="1"/>
                <w:iCs w:val="1"/>
                <w:color w:val="auto"/>
              </w:rPr>
              <w:t>Operating Margin</w:t>
            </w:r>
          </w:p>
        </w:tc>
        <w:tc>
          <w:tcPr>
            <w:tcW w:w="0" w:type="dxa"/>
            <w:vAlign w:val="bottom"/>
          </w:tcPr>
          <w:p>
            <w:pPr>
              <w:spacing w:after="0"/>
              <w:rPr>
                <w:sz w:val="1"/>
                <w:szCs w:val="1"/>
                <w:color w:val="auto"/>
              </w:rPr>
            </w:pPr>
          </w:p>
        </w:tc>
      </w:tr>
      <w:tr>
        <w:trPr>
          <w:trHeight w:val="33"/>
        </w:trPr>
        <w:tc>
          <w:tcPr>
            <w:tcW w:w="196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w w:val="91"/>
              </w:rPr>
              <w:t>Segment Operating Income</w:t>
            </w: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(Loss) and Operating</w:t>
            </w:r>
          </w:p>
        </w:tc>
        <w:tc>
          <w:tcPr>
            <w:tcW w:w="120" w:type="dxa"/>
            <w:vAlign w:val="bottom"/>
          </w:tcPr>
          <w:p>
            <w:pPr>
              <w:spacing w:after="0"/>
              <w:rPr>
                <w:sz w:val="17"/>
                <w:szCs w:val="17"/>
                <w:color w:val="auto"/>
              </w:rPr>
            </w:pPr>
          </w:p>
        </w:tc>
        <w:tc>
          <w:tcPr>
            <w:tcW w:w="1620" w:type="dxa"/>
            <w:vAlign w:val="bottom"/>
            <w:gridSpan w:val="3"/>
            <w:vMerge w:val="restart"/>
          </w:tcPr>
          <w:p>
            <w:pPr>
              <w:jc w:val="center"/>
              <w:ind w:right="380"/>
              <w:spacing w:after="0"/>
              <w:rPr>
                <w:sz w:val="20"/>
                <w:szCs w:val="20"/>
                <w:color w:val="auto"/>
              </w:rPr>
            </w:pPr>
            <w:r>
              <w:rPr>
                <w:rFonts w:ascii="Arial" w:cs="Arial" w:eastAsia="Arial" w:hAnsi="Arial"/>
                <w:sz w:val="16"/>
                <w:szCs w:val="16"/>
                <w:b w:val="1"/>
                <w:bCs w:val="1"/>
                <w:color w:val="auto"/>
                <w:w w:val="90"/>
              </w:rPr>
              <w:t>(in thousands)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vMerge w:val="restart"/>
          </w:tcPr>
          <w:p>
            <w:pPr>
              <w:jc w:val="center"/>
              <w:ind w:right="360"/>
              <w:spacing w:after="0"/>
              <w:rPr>
                <w:sz w:val="20"/>
                <w:szCs w:val="20"/>
                <w:color w:val="auto"/>
              </w:rPr>
            </w:pPr>
            <w:r>
              <w:rPr>
                <w:rFonts w:ascii="Arial" w:cs="Arial" w:eastAsia="Arial" w:hAnsi="Arial"/>
                <w:sz w:val="16"/>
                <w:szCs w:val="16"/>
                <w:b w:val="1"/>
                <w:bCs w:val="1"/>
                <w:color w:val="auto"/>
                <w:w w:val="88"/>
              </w:rPr>
              <w:t>(in thousands)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Margin</w:t>
            </w:r>
          </w:p>
        </w:tc>
        <w:tc>
          <w:tcPr>
            <w:tcW w:w="12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2"/>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(237,279)</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(28.7)%</w:t>
            </w:r>
          </w:p>
        </w:tc>
        <w:tc>
          <w:tcPr>
            <w:tcW w:w="0" w:type="dxa"/>
            <w:vAlign w:val="bottom"/>
          </w:tcPr>
          <w:p>
            <w:pPr>
              <w:spacing w:after="0"/>
              <w:rPr>
                <w:sz w:val="1"/>
                <w:szCs w:val="1"/>
                <w:color w:val="auto"/>
              </w:rPr>
            </w:pPr>
          </w:p>
        </w:tc>
      </w:tr>
      <w:tr>
        <w:trPr>
          <w:trHeight w:val="237"/>
        </w:trPr>
        <w:tc>
          <w:tcPr>
            <w:tcW w:w="1960" w:type="dxa"/>
            <w:vAlign w:val="bottom"/>
          </w:tcPr>
          <w:p>
            <w:pPr>
              <w:ind w:left="380"/>
              <w:spacing w:after="0"/>
              <w:rPr>
                <w:sz w:val="20"/>
                <w:szCs w:val="20"/>
                <w:color w:val="auto"/>
              </w:rPr>
            </w:pPr>
            <w:r>
              <w:rPr>
                <w:rFonts w:ascii="Arial" w:cs="Arial" w:eastAsia="Arial" w:hAnsi="Arial"/>
                <w:sz w:val="16"/>
                <w:szCs w:val="16"/>
                <w:color w:val="auto"/>
              </w:rPr>
              <w:t>Gas</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67,471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76,101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59"/>
              <w:spacing w:after="0"/>
              <w:rPr>
                <w:sz w:val="20"/>
                <w:szCs w:val="20"/>
                <w:color w:val="auto"/>
              </w:rPr>
            </w:pPr>
            <w:r>
              <w:rPr>
                <w:rFonts w:ascii="Arial" w:cs="Arial" w:eastAsia="Arial" w:hAnsi="Arial"/>
                <w:sz w:val="16"/>
                <w:szCs w:val="16"/>
                <w:color w:val="auto"/>
                <w:w w:val="92"/>
              </w:rPr>
              <w:t>12.7%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82,176</w:t>
            </w:r>
          </w:p>
        </w:tc>
        <w:tc>
          <w:tcPr>
            <w:tcW w:w="158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14.4%</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71,356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2"/>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62,015</w:t>
            </w:r>
          </w:p>
        </w:tc>
        <w:tc>
          <w:tcPr>
            <w:tcW w:w="15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11.4%</w:t>
            </w:r>
          </w:p>
        </w:tc>
        <w:tc>
          <w:tcPr>
            <w:tcW w:w="0" w:type="dxa"/>
            <w:vAlign w:val="bottom"/>
          </w:tcPr>
          <w:p>
            <w:pPr>
              <w:spacing w:after="0"/>
              <w:rPr>
                <w:sz w:val="1"/>
                <w:szCs w:val="1"/>
                <w:color w:val="auto"/>
              </w:rPr>
            </w:pPr>
          </w:p>
        </w:tc>
      </w:tr>
      <w:tr>
        <w:trPr>
          <w:trHeight w:val="237"/>
        </w:trPr>
        <w:tc>
          <w:tcPr>
            <w:tcW w:w="1960" w:type="dxa"/>
            <w:vAlign w:val="bottom"/>
          </w:tcPr>
          <w:p>
            <w:pPr>
              <w:ind w:left="380"/>
              <w:spacing w:after="0"/>
              <w:rPr>
                <w:sz w:val="20"/>
                <w:szCs w:val="20"/>
                <w:color w:val="auto"/>
              </w:rPr>
            </w:pPr>
            <w:r>
              <w:rPr>
                <w:rFonts w:ascii="Arial" w:cs="Arial" w:eastAsia="Arial" w:hAnsi="Arial"/>
                <w:sz w:val="16"/>
                <w:szCs w:val="16"/>
                <w:color w:val="auto"/>
                <w:w w:val="99"/>
              </w:rPr>
              <w:t>Corporate unallocated</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(65,593)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(69,226)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(46,775)</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52,846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2.8%</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(139,863)</w:t>
            </w:r>
          </w:p>
        </w:tc>
        <w:tc>
          <w:tcPr>
            <w:tcW w:w="15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(7.2)%</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Electricity segment financial results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compared with 2014, and for the year ended December 31, 2014 compared with 2013,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2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Constant Currency</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0"/>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8"/>
                <w:szCs w:val="18"/>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Pr>
          <w:p>
            <w:pPr>
              <w:spacing w:after="0"/>
              <w:rPr>
                <w:sz w:val="18"/>
                <w:szCs w:val="18"/>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Change</w:t>
            </w:r>
          </w:p>
        </w:tc>
        <w:tc>
          <w:tcPr>
            <w:tcW w:w="2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w w:val="98"/>
              </w:rPr>
              <w:t>Total Change</w:t>
            </w:r>
          </w:p>
        </w:tc>
      </w:tr>
      <w:tr>
        <w:trPr>
          <w:trHeight w:val="33"/>
        </w:trPr>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Electricity Segment</w:t>
            </w: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820,306</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771,857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(55,440)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103,889</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48,449</w:t>
            </w: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225,446</w:t>
            </w: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200,249</w:t>
            </w:r>
          </w:p>
        </w:tc>
        <w:tc>
          <w:tcPr>
            <w:tcW w:w="280" w:type="dxa"/>
            <w:vAlign w:val="bottom"/>
          </w:tcPr>
          <w:p>
            <w:pPr>
              <w:spacing w:after="0"/>
              <w:rPr>
                <w:sz w:val="20"/>
                <w:szCs w:val="20"/>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(14,322)</w:t>
            </w:r>
          </w:p>
        </w:tc>
        <w:tc>
          <w:tcPr>
            <w:tcW w:w="180" w:type="dxa"/>
            <w:vAlign w:val="bottom"/>
          </w:tcPr>
          <w:p>
            <w:pPr>
              <w:spacing w:after="0"/>
              <w:rPr>
                <w:sz w:val="20"/>
                <w:szCs w:val="20"/>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39,519</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25,197</w:t>
            </w:r>
          </w:p>
        </w:tc>
      </w:tr>
      <w:tr>
        <w:trPr>
          <w:trHeight w:val="33"/>
        </w:trPr>
        <w:tc>
          <w:tcPr>
            <w:tcW w:w="2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194,342</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278,000</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(20,234)</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(63,424)</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(83,658)</w:t>
            </w:r>
          </w:p>
        </w:tc>
      </w:tr>
      <w:tr>
        <w:trPr>
          <w:trHeight w:val="507"/>
        </w:trPr>
        <w:tc>
          <w:tcPr>
            <w:tcW w:w="2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
        </w:trPr>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2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Constant Currency</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0"/>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8"/>
                <w:szCs w:val="18"/>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Pr>
          <w:p>
            <w:pPr>
              <w:spacing w:after="0"/>
              <w:rPr>
                <w:sz w:val="18"/>
                <w:szCs w:val="18"/>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Change</w:t>
            </w:r>
          </w:p>
        </w:tc>
        <w:tc>
          <w:tcPr>
            <w:tcW w:w="2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w w:val="98"/>
              </w:rPr>
              <w:t>Total Change</w:t>
            </w:r>
          </w:p>
        </w:tc>
      </w:tr>
      <w:tr>
        <w:trPr>
          <w:trHeight w:val="33"/>
        </w:trPr>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Electricity Segment</w:t>
            </w: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771,857</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825,391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(39,316)</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(53,534)</w:t>
            </w: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200,249</w:t>
            </w: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219,852</w:t>
            </w:r>
          </w:p>
        </w:tc>
        <w:tc>
          <w:tcPr>
            <w:tcW w:w="280" w:type="dxa"/>
            <w:vAlign w:val="bottom"/>
          </w:tcPr>
          <w:p>
            <w:pPr>
              <w:spacing w:after="0"/>
              <w:rPr>
                <w:sz w:val="20"/>
                <w:szCs w:val="20"/>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(2,307)</w:t>
            </w:r>
          </w:p>
        </w:tc>
        <w:tc>
          <w:tcPr>
            <w:tcW w:w="18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(17,296)</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(19,603)</w:t>
            </w:r>
          </w:p>
        </w:tc>
      </w:tr>
      <w:tr>
        <w:trPr>
          <w:trHeight w:val="33"/>
        </w:trPr>
        <w:tc>
          <w:tcPr>
            <w:tcW w:w="2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278,000</w:t>
            </w:r>
          </w:p>
        </w:tc>
        <w:tc>
          <w:tcPr>
            <w:tcW w:w="5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457,131</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(13,215)</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(165,916)</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(179,131)</w:t>
            </w:r>
          </w:p>
        </w:tc>
      </w:tr>
      <w:tr>
        <w:trPr>
          <w:trHeight w:val="33"/>
        </w:trPr>
        <w:tc>
          <w:tcPr>
            <w:tcW w:w="2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- 2015 vs. 2014</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constant currency, Electricity revenues for 2015 increased by $103.9 million, or 15%, compared with 2014 revenues. The increase was primarily driven by increased North America revenue of $109.8 million, including increased smart and advanced meter sales and professional services revenue and $13.4 million improved services revenue in EMEA. The improvements in North America and EMEA were partially offset by $26.0 million lower product revenue in EMEA due to the planned exit of certain markets and products under our restructuring plan.</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- 2014 vs. 2013</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constant currency, revenues for 2014 decreased by $39.3 million, or 5%, compared with 2013 revenues. The decrease was primarily driven by lower product sales in EMEA, resulting in a $50.0 million decline in revenue. In addition, Latin America's product revenue declined $12.3 million due to our decision to reduce the manufacture and sale of standard meters in the region as part of our restructuring projects. These decreases were partially offset by $7.0 million increase in North American revenue and $17.4 million increase in EMEA services revenue.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 customer represented more than 10% of the Electricity operating segment revenues in 2015, 2014, or 2013.</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- 2015 vs.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was 27.5% in 2015, compared with 25.9% in 2014. The margin improvement was driven by net charges for an OpenWay project in North America of $15.9 million, which negatively impacted 2014 gross margin by 220 basis points. In addition, we had lower variable compensation expense in 2015. These improvements were partially offset by decreased product revenue in EMEA.</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- 2014 vs. 2013</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margin was 25.9% in 2014, compared with 26.6% in 2013. The 70 basis point margin reduction was driven by decreased revenue in all regions except North America and increased variable compensation expense. These decreases were partially offset by lower warranty costs in Latin America. In 2014, net charges for an OpenWay project in North America were $15.9 million, which negatively impacted gross margin by 220 basis points. A similar charge was recorded on this project in 2013 for $14.5 million, which reduced gross margin by 170 basis points.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- 2015 vs. 2014</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constant currency, operating expenses decreased $63.4 million, or 25%, primarily due to reduced restructuring charges of $25.5 million. In addition, general and administrative expenses decreased $19.8 million due to an $8.2 million litigation expense reimbursement related to a $14.7 million charge in 2014, which are included in general and administrative expense. Variable compensation expense included in the sales and marketing, product development, and general and administrative categories were all lower when comparing 2015 to 2014, while amortization expense decreased $5.4 million year over year.</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- 2014 vs. 2013</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constant currency, operating expenses decreased by $165.9 million, or 37%, in 2014 compared with 2013. This was primarily due to decreased goodwill impairment of $165.7 million. There was also a reduction of $9.0 million in product development expense as a result of restructuring activities. These decreases were partially offset by $8.2 million in higher general and administrative expense, primarily due to a legal settlement related to a contract dispute that resulted in $14.7 million of litigation expense. Intangible asset amortization expense increased $5.7 million based on the projected cash flows determined at acquisition.</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- 2015 vs. 2014</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Total non-GAAP operating expenses, as a percentage of revenues, were 23% and 28% for the years ended December 31, 2015 and 2014, respectively. The reduction in operating expenses was primarily the result of favorable foreign currency impact and reduced variable compensation expense in 2015.</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- 2014 vs. 2013</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Total non-GAAP operating expenses, as a percentage of revenues, was 28% and 29% for the years ended December 31, 2014 and 2013,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Gas segment financial results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compared with 2014, and for the year ended December 31, 2014 compared with 2013,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2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Constant Currency</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0"/>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8"/>
                <w:szCs w:val="18"/>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Pr>
          <w:p>
            <w:pPr>
              <w:spacing w:after="0"/>
              <w:rPr>
                <w:sz w:val="18"/>
                <w:szCs w:val="18"/>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Change</w:t>
            </w:r>
          </w:p>
        </w:tc>
        <w:tc>
          <w:tcPr>
            <w:tcW w:w="2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w w:val="98"/>
              </w:rPr>
              <w:t>Total Change</w:t>
            </w:r>
          </w:p>
        </w:tc>
      </w:tr>
      <w:tr>
        <w:trPr>
          <w:trHeight w:val="33"/>
        </w:trPr>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Gas Segment</w:t>
            </w: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543,805</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599,091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(49,908)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(5,378)</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(55,286)</w:t>
            </w: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185,559</w:t>
            </w: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211,623</w:t>
            </w:r>
          </w:p>
        </w:tc>
        <w:tc>
          <w:tcPr>
            <w:tcW w:w="280" w:type="dxa"/>
            <w:vAlign w:val="bottom"/>
          </w:tcPr>
          <w:p>
            <w:pPr>
              <w:spacing w:after="0"/>
              <w:rPr>
                <w:sz w:val="20"/>
                <w:szCs w:val="20"/>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(11,786)</w:t>
            </w:r>
          </w:p>
        </w:tc>
        <w:tc>
          <w:tcPr>
            <w:tcW w:w="18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(14,278)</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(26,064)</w:t>
            </w:r>
          </w:p>
        </w:tc>
      </w:tr>
      <w:tr>
        <w:trPr>
          <w:trHeight w:val="33"/>
        </w:trPr>
        <w:tc>
          <w:tcPr>
            <w:tcW w:w="2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118,088</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135,522</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(14,054)</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(3,380)</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(17,434)</w:t>
            </w:r>
          </w:p>
        </w:tc>
      </w:tr>
      <w:tr>
        <w:trPr>
          <w:trHeight w:val="507"/>
        </w:trPr>
        <w:tc>
          <w:tcPr>
            <w:tcW w:w="2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
        </w:trPr>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2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Constant Currency</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0"/>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8"/>
                <w:szCs w:val="18"/>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Pr>
          <w:p>
            <w:pPr>
              <w:spacing w:after="0"/>
              <w:rPr>
                <w:sz w:val="18"/>
                <w:szCs w:val="18"/>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Change</w:t>
            </w:r>
          </w:p>
        </w:tc>
        <w:tc>
          <w:tcPr>
            <w:tcW w:w="2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w w:val="98"/>
              </w:rPr>
              <w:t>Total Change</w:t>
            </w:r>
          </w:p>
        </w:tc>
      </w:tr>
      <w:tr>
        <w:trPr>
          <w:trHeight w:val="33"/>
        </w:trPr>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Gas Segment</w:t>
            </w: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599,091</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570,450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37,776</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28,641</w:t>
            </w: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211,623</w:t>
            </w: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207,577</w:t>
            </w:r>
          </w:p>
        </w:tc>
        <w:tc>
          <w:tcPr>
            <w:tcW w:w="280" w:type="dxa"/>
            <w:vAlign w:val="bottom"/>
          </w:tcPr>
          <w:p>
            <w:pPr>
              <w:spacing w:after="0"/>
              <w:rPr>
                <w:sz w:val="20"/>
                <w:szCs w:val="20"/>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(1,554)</w:t>
            </w:r>
          </w:p>
        </w:tc>
        <w:tc>
          <w:tcPr>
            <w:tcW w:w="180" w:type="dxa"/>
            <w:vAlign w:val="bottom"/>
          </w:tcPr>
          <w:p>
            <w:pPr>
              <w:spacing w:after="0"/>
              <w:rPr>
                <w:sz w:val="20"/>
                <w:szCs w:val="20"/>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5,600</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4,046</w:t>
            </w:r>
          </w:p>
        </w:tc>
      </w:tr>
      <w:tr>
        <w:trPr>
          <w:trHeight w:val="33"/>
        </w:trPr>
        <w:tc>
          <w:tcPr>
            <w:tcW w:w="2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135,522</w:t>
            </w:r>
          </w:p>
        </w:tc>
        <w:tc>
          <w:tcPr>
            <w:tcW w:w="5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125,401</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(1,649)</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11,770</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10,121</w:t>
            </w:r>
          </w:p>
        </w:tc>
      </w:tr>
      <w:tr>
        <w:trPr>
          <w:trHeight w:val="33"/>
        </w:trPr>
        <w:tc>
          <w:tcPr>
            <w:tcW w:w="2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- 2015 vs. 2014</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constant currency, Gas revenues decreased by $5.4 million, or 1%, in 2015 compared with 2014. A significant portion of this decrease was in our EMEA region, which had a $20.2 million decrease due to the phase out of a large project and a planned reduction in standard meter volumes as we shift our focus to smart meters, which did show increased sales during 2015. These decreases were partially offset by a $13.5 million revenue increase in North America driven by higher product shipments.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- 2014 vs. 2013</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constant currency, revenues increased by $37.8 million, or 7%, in 2014 compared with 2013. The increase was driven by $27.5 million in increased revenues in North America and $7.6 million and $3.9 million in increased product sales in EMEA and Latin America,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the Gas operating segment revenues in 2015, 2014, or 2013.</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- 2015 vs. 2014</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margin was 34.1% in 2015, compared with 35.3% in 2014. The decrease in gross margin was driven by lower standard meter volumes and lower margins associated with sales of first generation smart meters in EMEA. In addition, EMEA experienced higher inventory costs associated with the closure of our Naples manufacturing facility as part of our restructuring activities. This decline more than offset improvements in Latin America and Asia/Pacific due to higher overall sales as well as improved sales in North America of our higher margin communication modules.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- 2014 vs. 2013</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35.3% in 2014, compared with 36.4% in 2013. The 110 basis point decline in gross margin was primarily the result of less favorable product mix in EMEA.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- 2015 vs.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constant currency, operating expenses decreased by $3.4 million, or 3%, in 2015. The decrease was primarily due to the reduced restructuring charges of $8.2 million and reduced intangible amortization of $1.3 million. These decreases were partially offset by a $6.3 million increase in general and administrative expense resulting from higher employee related costs and increased allocations of corporate expenses.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- 2014 vs. 2013</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In constant currency, operating expenses increased by $11.8 million, or 10% in 2014. The increase was primarily due to increases in restructuring expense of $5.3 million and product development costs of $7.6 million. These increases more than offset a scheduled decrease in amortization expense of $1.6 million.</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- 2015 vs. 2014</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Total non-GAAP operating expense, as a percentage of revenues, was 20% and 19% for the years ended December 31, 2015 and 2014, respectively.</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- 2014 vs.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non-GAAP operating expense, as a percentage of revenues, was 19% for the years ended December 31, 2014 and 2013.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Water segment financial results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compared with 2014, and for the year ended December 31, 2014 compared with 2013,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2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Constant Currency</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0"/>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8"/>
                <w:szCs w:val="18"/>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Pr>
          <w:p>
            <w:pPr>
              <w:spacing w:after="0"/>
              <w:rPr>
                <w:sz w:val="18"/>
                <w:szCs w:val="18"/>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Change</w:t>
            </w:r>
          </w:p>
        </w:tc>
        <w:tc>
          <w:tcPr>
            <w:tcW w:w="2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w w:val="98"/>
              </w:rPr>
              <w:t>Total Change</w:t>
            </w:r>
          </w:p>
        </w:tc>
      </w:tr>
      <w:tr>
        <w:trPr>
          <w:trHeight w:val="33"/>
        </w:trPr>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Water Segment</w:t>
            </w: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519,422</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576,668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(72,902)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15,656</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(57,246)</w:t>
            </w: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145,680</w:t>
            </w: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202,178</w:t>
            </w:r>
          </w:p>
        </w:tc>
        <w:tc>
          <w:tcPr>
            <w:tcW w:w="280" w:type="dxa"/>
            <w:vAlign w:val="bottom"/>
          </w:tcPr>
          <w:p>
            <w:pPr>
              <w:spacing w:after="0"/>
              <w:rPr>
                <w:sz w:val="20"/>
                <w:szCs w:val="20"/>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(25,156)</w:t>
            </w:r>
          </w:p>
        </w:tc>
        <w:tc>
          <w:tcPr>
            <w:tcW w:w="18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(31,342)</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(56,498)</w:t>
            </w:r>
          </w:p>
        </w:tc>
      </w:tr>
      <w:tr>
        <w:trPr>
          <w:trHeight w:val="33"/>
        </w:trPr>
        <w:tc>
          <w:tcPr>
            <w:tcW w:w="2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125,816</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130,822</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(16,723)</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11,717</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(5,006)</w:t>
            </w:r>
          </w:p>
        </w:tc>
      </w:tr>
      <w:tr>
        <w:trPr>
          <w:trHeight w:val="507"/>
        </w:trPr>
        <w:tc>
          <w:tcPr>
            <w:tcW w:w="2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
        </w:trPr>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2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Constant Currency</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0"/>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8"/>
                <w:szCs w:val="18"/>
                <w:color w:val="auto"/>
              </w:rPr>
            </w:pPr>
          </w:p>
        </w:tc>
        <w:tc>
          <w:tcPr>
            <w:tcW w:w="1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Pr>
          <w:p>
            <w:pPr>
              <w:spacing w:after="0"/>
              <w:rPr>
                <w:sz w:val="18"/>
                <w:szCs w:val="18"/>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Change</w:t>
            </w:r>
          </w:p>
        </w:tc>
        <w:tc>
          <w:tcPr>
            <w:tcW w:w="2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w w:val="98"/>
              </w:rPr>
              <w:t>Total Change</w:t>
            </w:r>
          </w:p>
        </w:tc>
      </w:tr>
      <w:tr>
        <w:trPr>
          <w:trHeight w:val="33"/>
        </w:trPr>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Water Segment</w:t>
            </w: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576,668</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542,184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42,347</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34,484</w:t>
            </w: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202,178</w:t>
            </w: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187,339</w:t>
            </w:r>
          </w:p>
        </w:tc>
        <w:tc>
          <w:tcPr>
            <w:tcW w:w="280" w:type="dxa"/>
            <w:vAlign w:val="bottom"/>
          </w:tcPr>
          <w:p>
            <w:pPr>
              <w:spacing w:after="0"/>
              <w:rPr>
                <w:sz w:val="20"/>
                <w:szCs w:val="20"/>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(2,675)</w:t>
            </w:r>
          </w:p>
        </w:tc>
        <w:tc>
          <w:tcPr>
            <w:tcW w:w="180" w:type="dxa"/>
            <w:vAlign w:val="bottom"/>
          </w:tcPr>
          <w:p>
            <w:pPr>
              <w:spacing w:after="0"/>
              <w:rPr>
                <w:sz w:val="20"/>
                <w:szCs w:val="20"/>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17,514</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14,839</w:t>
            </w:r>
          </w:p>
        </w:tc>
      </w:tr>
      <w:tr>
        <w:trPr>
          <w:trHeight w:val="33"/>
        </w:trPr>
        <w:tc>
          <w:tcPr>
            <w:tcW w:w="2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130,822</w:t>
            </w:r>
          </w:p>
        </w:tc>
        <w:tc>
          <w:tcPr>
            <w:tcW w:w="5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125,324</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(1,622)</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7,120</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5,498</w:t>
            </w:r>
          </w:p>
        </w:tc>
      </w:tr>
      <w:tr>
        <w:trPr>
          <w:trHeight w:val="33"/>
        </w:trPr>
        <w:tc>
          <w:tcPr>
            <w:tcW w:w="2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- 2015 vs. 2014</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constant currency, revenues increased $15.7 million, or 3%, in 2015. This increase was driven primarily by growth in product sales in North America and EMEA of $18.4 million, as the result of increased sales of advanced and smart meters and modules in those regions. The increase was partially offset by lower product sales in Latin America of $5.0 million due to continued reduced expenditures by our utility customers in that region.</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- 2014 vs. 2013</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constant currency, revenues increased $42.3 million, or 8%, in 2014. The increase was driven primarily by growth in product sales in EMEA of $33.7 million, in Latin America of $7.5 million, and in Asia/Pacific of $5.7 million. North America revenue declined $3.6 million due to the completion of a significant project in 2013.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the Water operating segment revenues in 2015, 2014, or 2013.</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- 2015 vs. 2014</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Gross margin decreased to 28.0% in 2015, compared with 35.1% in 2014, primarily as the result of a warranty charge of $29.4 million. This warranty charge negatively impacted 2015 gross margin by 570 basis points.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- 2014 vs.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to 35.1% in 2014, compared with 34.6% in 2013, due to decreases in manufacturing costs globally.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- 2015 vs. 2014</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constant currency, operating expenses increased $11.7 million, or 10%, in 2015. The increase was a result of a $4.1 million increase in sales and marketing expense, higher product development expense of $5.3 million, and a $4.7 million increase in general and administrative expenses, primarily due to higher litigation costs. These increases were partially offset by reductions in restructuring and intangible asset amortization expense totaling $2.4 million.</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- 2014 vs. 2013</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constant currency, operating expenses increased by $7.1 million, or 6% in 2014. The increase was a result of a $3.7 million increase in sales and marketing expense, primarily higher compensation expense related to increased revenues, higher product development expense of $2.1 million, and a $4.2 million increase in general and administrative expenses. The overall increase was partially offset by a decrease in intangible asset amortization expense of $2.1 million.</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- 2015 vs. 2014</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non-GAAP operating expenses, as a percentage of revenues, were 23% for the year ended December 31, 2015, compared with 21% in 2014. The increase was primarily the result of the reduced revenues for 2015.</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Operating Expenses - 2014 vs.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non-GAAP operating expenses, as a percentage of revenues, were 21% for the years ended December 31, 2014 and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decreased $3.6 million, or 5%, in 2015. This decrease was primarily due to $18.1 million reduction in restructuring expenses, and a decrease in variable compensation. These decreases were partially offset by higher litigation expenses.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unallocated expenses increased $22.4 million, or 48%, in 2014. This increase was primarily due to $13.8 million of increased restructuring expenses in 2014, as well as an $8.1 million increase in general and administrative expense due to increased variable compensation expense and costs associated with our shared services center in Ireland, which was established late in 2013.</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73,350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132,973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105,421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(48,951)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(41,496)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(56,771)</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(57,438)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(13,492)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(12,034)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(2,818)</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cash and cash equivalents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18,647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(11,606)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and cash equivalents at December 31, 2015 were $131.0 million, compared with $112.4 million at December 31, 2014. The increase in cash and cash equivalents was primarily the result of an increase in proceeds from borrowings, a decrease in debt payments, and an increase in net income (loss) exclusive of depreciation and amortization and deferred income taxes. These were partially offset by an increase in inventory and decrease in restructuring liabilities. Cash and cash equivalents at December 31, 2014 were lower compared with the prior year primarily due to a decrease in net income (loss) exclusive of goodwill impairment, an increase in accounts receivable, and higher payments on debt. These were partially offset by increases in accounts payable, unearned revenue, and other current liabilities.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provided by operating activities in 2015 was $59.6 million lower than in 2014. This decrease was primarily due to a $52.7 million increase in inventory in 2015 for expected demand in North America and EMEA, and a $57.4 million increased use of cash in other current liabilities due to payments and releases of significant restructuring accruals in 2015 as compared to a substantial increase in restructuring liabilities in 2014. Additionally, while warranty liabilities increased $18.0 million in 2015, cash paid for claims activity was lower compared to 2014, resulting in a $27.5 million decreased use of cash. A year over year increase of $37.3 million in net income (loss) and a $36.2 million increase in deferred income taxes also increased cash provided by operating activities as compared with 2014.</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operating activities in 2014 was $27.6 million higher than 2013. This increase was primarily due to a decrease in accounts payable payments of $20.8 million due to timing, a $21.8 million increase in deferred revenue, and a decline in inventory in 2014 as compared to an increase in 2013, resulting in $19.6 million increased cash, and an increase in other liabilities of $27.1 million as a result of restructuring activities and litigation accruals recognized at the end of 2014. These increases were partially offset by the decrease in net income of $45.6 million, exclusive of the impact of the goodwill impairment charge, and decreased receipts on accounts receivable balances due to invoice timing resulting in a $26.9 million reduction in cash provided as compared with 2013.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cash used in investing activities in 2015 was $7.5 million higher than in 2014. This increase in investing activities during 2015 was the result of the $5.8 million paid as part of the Temetra acquisition.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in 2014 was $15.3 million lower than in 2013. This decrease in investing activities during 2014 was the result of $15.5 million in reduced acquisitions of property, plant, and equipment.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provided by financing activities in 2015 was $99.6 million greater than in 2014, primarily as a result of $65.8 million of additional proceeds from borrowings and a $39.4 million decrease in debt repayments.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in 2014 was $34.4 million higher than in 2013, primarily as a result of increased repayments of debt, net of proceeds from borrowings, of $16.0 million in 2014, and an increase of $12.7 million in repurchases of our common stock.</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exchange rates on the cash balances of currencies held in foreign denominations resulted in a decrease of $13.5 million, a decrease of $12.0 million, and a decrease of $2.8 million in 2015, 2014, and 2013, respectively. Our foreign currency exposure relates to non-U.S. dollar denominated balances in our international subsidiary operations, the most significant of which is the euro.</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73,350</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132,973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105,421</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Acquisitions of property, plant, and equipment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(43,918)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(44,495)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(60,020)</w:t>
            </w:r>
          </w:p>
        </w:tc>
      </w:tr>
      <w:tr>
        <w:trPr>
          <w:trHeight w:val="33"/>
        </w:trPr>
        <w:tc>
          <w:tcPr>
            <w:tcW w:w="6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Free cash flow</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29,432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88,478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45,401</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Free cash flow in 2015 was $59.0 million lower than in 2014 as a result of lower cash provided by operating activities. See the cash flow discussion of operating activities above.</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Free cash flow in 2014 was $43.1 million greater than in 2013, primarily as result of a $27.6 million increase in cash provided by operating activities and a $15.5 million decrease in acquisitions of property, plant, and equipment. See the cash flow discussion of operating and investing activities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December 31, 2015 and December 31, 2014 that we believe are reasonably likely to have a current or future effect on our financial condition, results of operations, or cash flows.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about contractual obligations and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known obligations to make future payments pursuant to certain contracts as of December 31, 2015, as well as an estimate of the timing in which these obligations are expected to be satisfied.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Less than</w:t>
            </w:r>
          </w:p>
        </w:tc>
        <w:tc>
          <w:tcPr>
            <w:tcW w:w="100" w:type="dxa"/>
            <w:vAlign w:val="bottom"/>
          </w:tcPr>
          <w:p>
            <w:pPr>
              <w:spacing w:after="0"/>
              <w:rPr>
                <w:sz w:val="17"/>
                <w:szCs w:val="17"/>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19"/>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auto"/>
              </w:rPr>
              <w:t>Beyond</w:t>
            </w: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1 year</w:t>
            </w:r>
          </w:p>
        </w:tc>
        <w:tc>
          <w:tcPr>
            <w:tcW w:w="10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years</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b w:val="1"/>
                <w:bCs w:val="1"/>
                <w:color w:val="auto"/>
              </w:rPr>
              <w:t>5 years</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03"/>
        </w:trPr>
        <w:tc>
          <w:tcPr>
            <w:tcW w:w="47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USD denominated term loan</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246,091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182,951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170,750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3,392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8,445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158,913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36,076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10,396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16,517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8,007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1,156</w:t>
            </w: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Purchase and service commitments</w:t>
            </w:r>
            <w:r>
              <w:rPr>
                <w:rFonts w:ascii="Arial" w:cs="Arial" w:eastAsia="Arial" w:hAnsi="Arial"/>
                <w:sz w:val="21"/>
                <w:szCs w:val="21"/>
                <w:color w:val="auto"/>
                <w:vertAlign w:val="superscript"/>
              </w:rPr>
              <w:t>(3)</w:t>
            </w:r>
          </w:p>
        </w:tc>
        <w:tc>
          <w:tcPr>
            <w:tcW w:w="3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180,077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179,254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long-term liabilities reflected on the balance sheet under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9"/>
        </w:trPr>
        <w:tc>
          <w:tcPr>
            <w:tcW w:w="4700" w:type="dxa"/>
            <w:vAlign w:val="bottom"/>
            <w:shd w:val="clear" w:color="auto" w:fill="CCEEFF"/>
          </w:tcPr>
          <w:p>
            <w:pPr>
              <w:ind w:left="120"/>
              <w:spacing w:after="0" w:line="239" w:lineRule="exact"/>
              <w:rPr>
                <w:sz w:val="20"/>
                <w:szCs w:val="20"/>
                <w:color w:val="auto"/>
              </w:rPr>
            </w:pPr>
            <w:r>
              <w:rPr>
                <w:rFonts w:ascii="Arial" w:cs="Arial" w:eastAsia="Arial" w:hAnsi="Arial"/>
                <w:sz w:val="16"/>
                <w:szCs w:val="16"/>
                <w:color w:val="auto"/>
              </w:rPr>
              <w:t>generally accepted accounting principles</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77,988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36,772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12,211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29,005</w:t>
            </w:r>
          </w:p>
        </w:tc>
      </w:tr>
      <w:tr>
        <w:trPr>
          <w:trHeight w:val="244"/>
        </w:trPr>
        <w:tc>
          <w:tcPr>
            <w:tcW w:w="4700" w:type="dxa"/>
            <w:vAlign w:val="bottom"/>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710,982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209,616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108,903</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362,302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30,161</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Borrowings are disclosed within Item 8: “Financial Statements and Supplementary Data, Note 7: Debt” included in this Annual Report on Form 10-K, with the addition of estimated interest expense but not including the amortization of prepaid debt fees.</w:t>
      </w:r>
    </w:p>
    <w:p>
      <w:pPr>
        <w:spacing w:after="0" w:line="172" w:lineRule="exact"/>
        <w:rPr>
          <w:rFonts w:ascii="Arial" w:cs="Arial" w:eastAsia="Arial" w:hAnsi="Arial"/>
          <w:sz w:val="22"/>
          <w:szCs w:val="22"/>
          <w:color w:val="auto"/>
          <w:vertAlign w:val="superscript"/>
        </w:rPr>
      </w:pPr>
    </w:p>
    <w:p>
      <w:pPr>
        <w:ind w:left="340" w:hanging="332"/>
        <w:spacing w:after="0" w:line="229" w:lineRule="auto"/>
        <w:tabs>
          <w:tab w:leader="none" w:pos="34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Operating lease obligations are disclosed in Item 8: “Financial Statements and Supplementary Data, Note 13: Commitments and Contingencies” included in this Annual Report on Form 10-K and do not include common area maintenance charges, real estate taxes, and insurance charges for which we are obligated.</w:t>
      </w:r>
    </w:p>
    <w:p>
      <w:pPr>
        <w:spacing w:after="0" w:line="172" w:lineRule="exact"/>
        <w:rPr>
          <w:rFonts w:ascii="Arial" w:cs="Arial" w:eastAsia="Arial" w:hAnsi="Arial"/>
          <w:sz w:val="21"/>
          <w:szCs w:val="21"/>
          <w:color w:val="auto"/>
          <w:vertAlign w:val="superscript"/>
        </w:rPr>
      </w:pPr>
    </w:p>
    <w:p>
      <w:pPr>
        <w:jc w:val="both"/>
        <w:ind w:left="340" w:hanging="332"/>
        <w:spacing w:after="0" w:line="230"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We enter into standard purchase orders in the ordinary course of business that typically obligate us to purchase materials and other items. Purchase orders can include open-ended agreements that provide for estimated quantities over an extended shipment period, typically up to one year at an established unit cost. Our long-term executory purchase agreements that contain termination clauses have been classified as less than one year, as the commitments are the estimated amounts we would be required to pay at December 31, 2015 if the commitments were canceled.</w:t>
      </w:r>
    </w:p>
    <w:p>
      <w:pPr>
        <w:spacing w:after="0" w:line="187" w:lineRule="exact"/>
        <w:rPr>
          <w:rFonts w:ascii="Arial" w:cs="Arial" w:eastAsia="Arial" w:hAnsi="Arial"/>
          <w:sz w:val="22"/>
          <w:szCs w:val="22"/>
          <w:color w:val="auto"/>
          <w:vertAlign w:val="superscript"/>
        </w:rPr>
      </w:pPr>
    </w:p>
    <w:p>
      <w:pPr>
        <w:jc w:val="both"/>
        <w:ind w:left="340" w:hanging="332"/>
        <w:spacing w:after="0" w:line="260"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 xml:space="preserve">Other long-term liabilities consist of warranty obligations, estimated pension benefit payments, and other obligations. Estimated pension benefit payments include amounts from 2017-2025. Long-term unrecognized tax benefits totaling $27.5 million (net of pre-payments), which include accrued interest and penalties, are not included in the above contractual obligations and commitments table as we cannot reliably estimate the period of cash settlement with the respective taxing authorities. Additionally, because the amount and timing of the future cash outflows are uncertain, deferred revenue totaling $66.2 million, which includes deferred revenue related to extended warranty guarantees, is not included in the table. For further information on defined benefit pension plans, income taxes, and warranty obligations and deferred revenue for extended warranties, see Item 8: </w:t>
      </w:r>
      <w:r>
        <w:rPr>
          <w:rFonts w:ascii="Arial" w:cs="Arial" w:eastAsia="Arial" w:hAnsi="Arial"/>
          <w:sz w:val="18"/>
          <w:szCs w:val="18"/>
          <w:color w:val="auto"/>
        </w:rPr>
        <w:t>“</w:t>
      </w:r>
      <w:r>
        <w:rPr>
          <w:rFonts w:ascii="Arial" w:cs="Arial" w:eastAsia="Arial" w:hAnsi="Arial"/>
          <w:sz w:val="16"/>
          <w:szCs w:val="16"/>
          <w:color w:val="auto"/>
        </w:rPr>
        <w:t>Financial Statements and Supplementary Data, Notes 9, 12, and 13,</w:t>
      </w:r>
      <w:r>
        <w:rPr>
          <w:rFonts w:ascii="Arial" w:cs="Arial" w:eastAsia="Arial" w:hAnsi="Arial"/>
          <w:sz w:val="18"/>
          <w:szCs w:val="18"/>
          <w:color w:val="auto"/>
        </w:rPr>
        <w:t>”</w:t>
      </w:r>
      <w:r>
        <w:rPr>
          <w:rFonts w:ascii="Arial" w:cs="Arial" w:eastAsia="Arial" w:hAnsi="Arial"/>
          <w:sz w:val="16"/>
          <w:szCs w:val="16"/>
          <w:color w:val="auto"/>
        </w:rPr>
        <w:t xml:space="preserve"> respectively, included in this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 Working capital, which represents current assets less current liabilities, was $281.2 million at December 31, 2015, compared with $262.4 million at December 31, 2014.</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credit facility consists of a $225 million U.S. dollar term loan and a multicurrency revolving line of credit (the revolver) with a principal amount of up to $500 million. At December 31, 2015, $151.8 million was outstanding under the revolver, and $46.6 million was utilized by outstanding standby letters of credit, resulting in $301.6 million available for additional borrowings.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facility includes debt covenants, which contain certain financial ratio thresholds, place certain restrictions on the incurrence of debt, investments, and the issuance of dividends, and require quarterly unaudited and annual audited financial reporting. We were not in compliance with the financial reporting portion of these covenants under the 2015 credit facility at March 31, 2016. We have been granted waivers which extend the due dates for annual audited financial statements and quarterly unaudited financial statements through September 12, 2016.</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For further description of the term loan and the revolver under our credit facility, refer to Item 8: “Financial Statements and Supplementary Data, Note 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Debt” included in this Annual Report on Form 10-K.</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8: “Financial Statements and Supplementary Data, Note 13: Commitments and Contingencies” included in this Annual Report on Form 10-K.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the risks and uncertainties related to our credit facility and ability to file timely periodic reports, refer to Item 1A: “Risk Factors” included in this Annual Report on Form 10-K.</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19, 2015, our Board authorized a new repurchase program of up to $50 million of our common stock over a 12-month period, beginning February 19, 2015. From February 19, 2015 through December 31, 2015, we repurchased 743,444 shares of our common stock, totaling $25.0 million. This program expired on February 19, 2016 with no share repurchases made subsequent to December 31, 2015.</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2014, our management approved restructuring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will position us to meet our long-term profitability goals by better aligning global operations with markets where we can serve our customers profitably.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expected costs were approximately $50.2 million as of December 31, 2015. A substantial portion of the total expected restructuring charges was recognized in the fourth quarter of 2014, and $29.6 million was accrued at December 31, 2015 under the 2013 and 2014 Projects, of which $25.2 million is expected to be paid over the next 12 months. Certain projects are subject to a variety of labor and employment laws, rules, and regulations that could result in a delay in implementing projects at some locations. Real estate market conditions may impact the timing of our ability to sell some of the manufacturing facilities we have designated for closure and disposal. This may delay the completion of the 2014 Projects beyond December 31, 2016. For further details regarding our restructuring activities, refer to Item 8: “Financial Statements and Supplementary Data, Note 14: Restructuring” included in this Annual Report on Form 10-K.</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tax provision (benefit) as a percentage of income (loss) before tax typically differs from the U.S. federal statutory rate of 35%. Changes in our actual tax rate are subject to several factors, including fluctuations in operating results, new or revised tax legislation and accounting pronouncements, changes in the level of business in domestic and foreign jurisdictions, tax credits (including research and development and foreign tax), state income taxes, adjustments to valuation allowances, and uncertain tax positions, among other items. Changes in tax laws, valuation allowances, and unanticipated tax liabilities could significantly impact our tax rate.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Our cash income tax payments (refunds) for 2015, 2014, and 2013 were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federal taxes paid (refunded)</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15,700</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State income taxes paid (refunded)</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1,543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and local income taxes paid</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11,946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14,484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18,690</w:t>
            </w:r>
          </w:p>
        </w:tc>
      </w:tr>
      <w:tr>
        <w:trPr>
          <w:trHeight w:val="217"/>
        </w:trPr>
        <w:tc>
          <w:tcPr>
            <w:tcW w:w="6060" w:type="dxa"/>
            <w:vAlign w:val="bottom"/>
          </w:tcPr>
          <w:p>
            <w:pPr>
              <w:ind w:left="380"/>
              <w:spacing w:after="0"/>
              <w:rPr>
                <w:sz w:val="20"/>
                <w:szCs w:val="20"/>
                <w:color w:val="auto"/>
              </w:rPr>
            </w:pPr>
            <w:r>
              <w:rPr>
                <w:rFonts w:ascii="Arial" w:cs="Arial" w:eastAsia="Arial" w:hAnsi="Arial"/>
                <w:sz w:val="16"/>
                <w:szCs w:val="16"/>
                <w:color w:val="auto"/>
              </w:rPr>
              <w:t>Total income taxes paid</w:t>
            </w: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29,189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18,222</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18,659</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current projections, we expect to pay, net of refunds, approximately $7.0 million in federal taxes, $5.1 million in state taxes and $12.3 million in foreign and local income taxes in 2016.</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provided U.S. deferred taxes related to the cash in certain foreign subsidiaries because our investment is considered permanent in duration. As of December 31, 2015, there was $42.6 million of cash and short-term investments held by certain foreign subsidiaries in which we are permanently reinvested for tax purposes. If this cash were repatriated to fund U.S. operations, additional tax costs may be incurred. Tax is one of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or because we exercise control over the operations. The noncontrolling interest balance in our Consolidated Balance Sheets represents the proportional share of the equity of the joint venture entities, which is attributable to the minority shareholders. Approximately $26.9 million of our consolidated cash balance at December 31, 2015 resides in our joint venture entities. As a result, the minority shareholders of these entities control their proportional share of this cash balance, and there may be limitations on our ability to repatriate cash to the U.S. from these entities.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For a description of our funded and unfunded non-U.S. defined benefit pension plans and our expected 2016 contributions, refer to Item 8: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Supplementary Data, Note 9: Defined Benefit Pension Plans” included in this Annual Report on Form 10-K.</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2015, we have accrued $11.9 million of bonus and profit sharing plans expense for the achievement of annual financial and nonfinancial targets, which was paid in cash during the first quarter of 2016.</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changes in estimated liabilities for product warranties and/or litigation, future business combinations, capital market fluctuations, international risks, and other factors described under Item 1A: “Risk Factors,” as well as Item 7A: “Quantitative and Qualitative Disclosures About Market Risk,” both included in this Annual Report on Form 10-K.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Refer to Item 8: “Financial Statements and Supplementary Data, Note 13: Commitments and Contingencies” included in this Annual Report on Form 10-K.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Many of our revenue arrangements involve multiple deliverables, which require us to determine the fair value of each deliverable and then allocate the total arrangement consideration among the separate deliverables based on the relative fair value percentages.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 loss. A majority of our revenue is recognized when products are shipped to or received by a customer or when services are provided. For further discussion and analysis of this revision to prior year financial statements as a result of management identifying misstatements related to revenue recognition, refer to Item 8: “Financial Statements and Supplementary Data, Note 2: Revision of Prior Period Financial Statements” and “Note 18: Quarterly Results (Unaudited),” included in this Annual Report on Form 10-K.</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implementation services are essential to a software arrangement and VSOE exists for undelivered software elements, revenue is recognized using either the percentage-of-completion methodology of contract accounting if project costs can be reliably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 and estimates may adversely or positively affect financial performance.</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contract accounting, if we estimate that the completion of a contract component (unit of accounting) will result in a loss, the loss is recognized in the period in which the loss becomes evident.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of our customer arrangements contain clauses for liquidated damages, related to the timing of delivery or milestone accomplishments, which could become material in an event of failure to meet the contractual deadlines. At the inception of the arrangement and on an ongoing basis, we evaluate if the liquidated damages represent contingent revenue and, if so, we reduce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amount of consideration allocated to the delivered products and services and record it as a reduction in revenue in the period of default. If the arrangement is subject to contract accounting, liquidated damages resulting from anticipated events of default are estimated and are accounted for as job costs in the period in which the liquidated damages are deemed probable of occurrence and are reasonably estimable.</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allocate consideration to each deliverable in an arrangement based on its relative selling price. We determine selling price using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The objective of ESP is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the cost to produce the deliverable, the anticipated margin on that deliverable, our ongoing pricing strategy and policies, and the characteristics of the varying markets in which the deliverable is sold.</w:t>
      </w:r>
    </w:p>
    <w:p>
      <w:pPr>
        <w:spacing w:after="0" w:line="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later of when we terminate a contract in accordance with the contract terms or when we cease using the rights conveyed by the contract.</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recorded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recorded within restructuring expense in the Consolidated Statements of Operations.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 are made. Our estimates involve a number of risks and 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recorded.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estimate income tax expense in each of the taxing jurisdictions in which we operate. Changes in our actual tax rate are subject to several factors, including fluctuations in operating results, new or revised tax legislation and accounting pronouncements, changes in the level of business in domestic and foreign jurisdictions, tax credits (including research and development and foreign tax), state income taxes, adjustments to valuation allowances, and uncertain tax positions, among other items. Changes in tax laws, valuation allowances, and unanticipated tax liabilities could significantly impact our tax rate.</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our control. Our most sensitive and critical factors are the projection, source, and character of future taxable income. Although realization is not assured, we believe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audits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Items are removed from inventory using the first-in, first-out method. Inventories include raw materials, sub-assemblies, and finished goods. 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from period to period as a result of our factory scheduling and timing of contract fulfillments.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and intangible assets may result from our business acquisitions. Intangible assets may also result from the purchase of assets and intellectual property where we do not acquire a business.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In-process research and development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The reporting units are aligned with our reporting segments, effective in the fourth quarter of 2013.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analysis as of October 1, 2015, all reporting units' fair values exceeded their respective carrying values by at least 40%. Changes in market demand, fluctuations in the economies in which we operate, the volatility and decline in the worldwide equity markets, and a further decline in our market capitalization could negatively impact the remaining carrying value of our goodwill, which could have a significant effect on our current and future results of operations and financial condition.</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that arise during the period but are not recognized as components of net periodic benefit cost.</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94% of our benefit obligation, we use two discount rates, with consideration of the duration of the plans, using a hypothetical yield curve developed from euro-denominated AA-rated corporate bond issues, partially weighted for market value, with minimum amounts outstanding of €500 million for bonds with less than 10 years to maturity and €50 million for bonds with 10 or more years to maturity, and excluding the highest and lowest yielding 10% of bonds within each maturity group. The discount rates used, depending on the duration of the plans, were 1.50% and 2.25%, respectively. The weighted average discount rate used to measure the projected benefit obligation for all of the plans at December 31, 2015 was 2.59%. A change of 25 basis points in the discount rate would change our pension benefit obligation by approximately $7.1 million. The financial and actuarial assumptions used at December 31, 2015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general funding policy for these qualified pension plans is to contribute amounts at least sufficient to satisfy funding standards of the respective countries for each plan. Our contributions for both funded and unfunded plans are paid from cash flows from our operations. Refer to Item 8: “Financial Statements and Supplementary Data, Note 9: Defined Benefit Pension Plans” included in this Annual Report on Form 10-K for our expected contributions for 2016.</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awards of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The fair value of restricted stock units with a market condition is estimated at the date of award using a Monte Carlo simulation model, which includes assumptions for the dividend yield, expected volatility, risk-free interest rate and the expected term. In valuing our stock options and restricted stock units with a market condition, significant judgment is required in determining the expected volatility of our common stock and the expected life that individuals will hold their stock options prior to exercising. Expected volatility for stock options is based on the historical and implied volatility of our own common stock while the volatility for our restricted stock units with a market condition is based on the historical volatility of our own stock and the stock for companies comprising the market index within the market condition.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 options,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ESPP awards, the fair value is the difference between the market close price of our common stock on the date of purchase and the discounted purchase price. For restricted stock units without a market condition and unrestricted stock awards,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October 1, 2013, we changed the terms of the ESPP to reduce the discount to 5% from the fair market value of the stock at the end of each fiscal quarter. As a result of this change, the ESPP is no longer considered compensatory, and no compensation expense is recognized for sales of our common stock to employees.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(GAAP), which we supplement with certain non-GAAP financial information. These non-GAAP measures should not be considered in isolation or as a substitute for the related GAAP measures, and other companies may define such measures differently. We encourage investors to review our financial statements and publicly-filed reports in their entirety and not to rely on any single financial measure. These non-GAAP measures exclude the impact of certain expenses that we do not believe are indicative of our core operating results. We use these non-GAAP financial measures for financial and operational decision making and/or as a means for determining executive compensation. These non-GAAP financial measures facilitate management's internal comparisons to our historical performance.</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Non-GAAP operating expenses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operating income</w:t>
      </w:r>
      <w:r>
        <w:rPr>
          <w:rFonts w:ascii="Arial" w:cs="Arial" w:eastAsia="Arial" w:hAnsi="Arial"/>
          <w:sz w:val="17"/>
          <w:szCs w:val="17"/>
          <w:color w:val="auto"/>
        </w:rPr>
        <w:t xml:space="preserve"> – We define non-GAAP operating expenses as operating expenses excluding certain expenses related to the amortization of intangible assets, restructuring, acquisitions and goodwill impairment. We define non-GAAP operating income as operating income excluding the expenses related to the amortization of intangible assets, restructuring, acquisitions and goodwill impairment. We consider these non-GAAP financial measures to be useful metrics for management and investors because they exclude the effect of expenses that are related to previous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Non-GAAP net income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diluted EPS</w:t>
      </w:r>
      <w:r>
        <w:rPr>
          <w:rFonts w:ascii="Arial" w:cs="Arial" w:eastAsia="Arial" w:hAnsi="Arial"/>
          <w:sz w:val="17"/>
          <w:szCs w:val="17"/>
          <w:color w:val="auto"/>
        </w:rPr>
        <w:t xml:space="preserve"> – We define non-GAAP net income as net income excluding the expenses associated with amortization of intangible assets, restructuring, acquisitions, goodwill impairment and amortization of debt placement fees.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reconcile the non-GAAP financial measures of operating expenses, operating income, net income and diluted EPS, free cash flow, and operating income by segment with the most directly comparable GAAP financial measures.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080" w:type="dxa"/>
            <w:vAlign w:val="bottom"/>
          </w:tcPr>
          <w:p>
            <w:pPr>
              <w:ind w:left="40"/>
              <w:spacing w:after="0"/>
              <w:rPr>
                <w:sz w:val="20"/>
                <w:szCs w:val="20"/>
                <w:color w:val="auto"/>
              </w:rPr>
            </w:pPr>
            <w:r>
              <w:rPr>
                <w:rFonts w:ascii="Arial" w:cs="Arial" w:eastAsia="Arial" w:hAnsi="Arial"/>
                <w:sz w:val="13"/>
                <w:szCs w:val="13"/>
                <w:color w:val="auto"/>
              </w:rPr>
              <w:t>(Unaudited; in thousands, except per share data)</w:t>
            </w: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2"/>
        </w:trPr>
        <w:tc>
          <w:tcPr>
            <w:tcW w:w="6080" w:type="dxa"/>
            <w:vAlign w:val="bottom"/>
          </w:tcPr>
          <w:p>
            <w:pPr>
              <w:ind w:left="40"/>
              <w:spacing w:after="0"/>
              <w:rPr>
                <w:sz w:val="20"/>
                <w:szCs w:val="20"/>
                <w:color w:val="auto"/>
              </w:rPr>
            </w:pPr>
            <w:r>
              <w:rPr>
                <w:rFonts w:ascii="Arial" w:cs="Arial" w:eastAsia="Arial" w:hAnsi="Arial"/>
                <w:sz w:val="13"/>
                <w:szCs w:val="13"/>
                <w:b w:val="1"/>
                <w:bCs w:val="1"/>
                <w:color w:val="auto"/>
              </w:rPr>
              <w:t>TOTAL COMPANY RECONCILIATIONS</w:t>
            </w: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2"/>
                <w:szCs w:val="22"/>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2015</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2013</w:t>
            </w:r>
          </w:p>
        </w:tc>
        <w:tc>
          <w:tcPr>
            <w:tcW w:w="0" w:type="dxa"/>
            <w:vAlign w:val="bottom"/>
          </w:tcPr>
          <w:p>
            <w:pPr>
              <w:spacing w:after="0"/>
              <w:rPr>
                <w:sz w:val="1"/>
                <w:szCs w:val="1"/>
                <w:color w:val="auto"/>
              </w:rPr>
            </w:pPr>
          </w:p>
        </w:tc>
      </w:tr>
      <w:tr>
        <w:trPr>
          <w:trHeight w:val="262"/>
        </w:trPr>
        <w:tc>
          <w:tcPr>
            <w:tcW w:w="6080" w:type="dxa"/>
            <w:vAlign w:val="bottom"/>
          </w:tcPr>
          <w:p>
            <w:pPr>
              <w:ind w:left="160"/>
              <w:spacing w:after="0"/>
              <w:rPr>
                <w:sz w:val="20"/>
                <w:szCs w:val="20"/>
                <w:color w:val="auto"/>
              </w:rPr>
            </w:pPr>
            <w:r>
              <w:rPr>
                <w:rFonts w:ascii="Arial" w:cs="Arial" w:eastAsia="Arial" w:hAnsi="Arial"/>
                <w:sz w:val="13"/>
                <w:szCs w:val="13"/>
                <w:b w:val="1"/>
                <w:bCs w:val="1"/>
                <w:color w:val="auto"/>
              </w:rPr>
              <w:t>NON-GAAP OPERATING EXPENSES</w:t>
            </w: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GAAP operating expenses</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503,839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613,570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754,631</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1100" w:type="dxa"/>
            <w:vAlign w:val="bottom"/>
          </w:tcPr>
          <w:p>
            <w:pPr>
              <w:spacing w:after="0"/>
              <w:rPr>
                <w:sz w:val="22"/>
                <w:szCs w:val="22"/>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(31,673)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(43,619)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(42,019)</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7,263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(49,482)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(36,347)</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Acquisition-related recovery (expense)</w:t>
            </w:r>
          </w:p>
        </w:tc>
        <w:tc>
          <w:tcPr>
            <w:tcW w:w="11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5,538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(15,538)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(2,290)</w:t>
            </w:r>
          </w:p>
        </w:tc>
        <w:tc>
          <w:tcPr>
            <w:tcW w:w="0" w:type="dxa"/>
            <w:vAlign w:val="bottom"/>
          </w:tcPr>
          <w:p>
            <w:pPr>
              <w:spacing w:after="0"/>
              <w:rPr>
                <w:sz w:val="1"/>
                <w:szCs w:val="1"/>
                <w:color w:val="auto"/>
              </w:rPr>
            </w:pPr>
          </w:p>
        </w:tc>
      </w:tr>
      <w:tr>
        <w:trPr>
          <w:trHeight w:val="272"/>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Goodwill impairment</w:t>
            </w:r>
          </w:p>
        </w:tc>
        <w:tc>
          <w:tcPr>
            <w:tcW w:w="1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(174,226)</w:t>
            </w:r>
          </w:p>
        </w:tc>
        <w:tc>
          <w:tcPr>
            <w:tcW w:w="0" w:type="dxa"/>
            <w:vAlign w:val="bottom"/>
          </w:tcPr>
          <w:p>
            <w:pPr>
              <w:spacing w:after="0"/>
              <w:rPr>
                <w:sz w:val="1"/>
                <w:szCs w:val="1"/>
                <w:color w:val="auto"/>
              </w:rPr>
            </w:pPr>
          </w:p>
        </w:tc>
      </w:tr>
      <w:tr>
        <w:trPr>
          <w:trHeight w:val="241"/>
        </w:trPr>
        <w:tc>
          <w:tcPr>
            <w:tcW w:w="6080" w:type="dxa"/>
            <w:vAlign w:val="bottom"/>
          </w:tcPr>
          <w:p>
            <w:pPr>
              <w:ind w:left="280"/>
              <w:spacing w:after="0"/>
              <w:rPr>
                <w:sz w:val="20"/>
                <w:szCs w:val="20"/>
                <w:color w:val="auto"/>
              </w:rPr>
            </w:pPr>
            <w:r>
              <w:rPr>
                <w:rFonts w:ascii="Arial" w:cs="Arial" w:eastAsia="Arial" w:hAnsi="Arial"/>
                <w:sz w:val="13"/>
                <w:szCs w:val="13"/>
                <w:color w:val="auto"/>
              </w:rPr>
              <w:t>Non-GAAP operating expenses</w:t>
            </w: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484,967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504,931</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499,749</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NON-GAAP OPERATING INCOME</w:t>
            </w: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0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GAAP operating income (loss)</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52,846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(139,863)</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11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31,673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43,619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42,019</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(7,263)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49,482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36,347</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Acquisition-related expense (recovery)</w:t>
            </w:r>
          </w:p>
        </w:tc>
        <w:tc>
          <w:tcPr>
            <w:tcW w:w="1100" w:type="dxa"/>
            <w:vAlign w:val="bottom"/>
          </w:tcPr>
          <w:p>
            <w:pPr>
              <w:spacing w:after="0"/>
              <w:rPr>
                <w:sz w:val="22"/>
                <w:szCs w:val="22"/>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(5,538)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15,538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2,290</w:t>
            </w:r>
          </w:p>
        </w:tc>
        <w:tc>
          <w:tcPr>
            <w:tcW w:w="0" w:type="dxa"/>
            <w:vAlign w:val="bottom"/>
          </w:tcPr>
          <w:p>
            <w:pPr>
              <w:spacing w:after="0"/>
              <w:rPr>
                <w:sz w:val="1"/>
                <w:szCs w:val="1"/>
                <w:color w:val="auto"/>
              </w:rPr>
            </w:pPr>
          </w:p>
        </w:tc>
      </w:tr>
      <w:tr>
        <w:trPr>
          <w:trHeight w:val="272"/>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Goodwill impairment</w:t>
            </w:r>
          </w:p>
        </w:tc>
        <w:tc>
          <w:tcPr>
            <w:tcW w:w="1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174,226</w:t>
            </w:r>
          </w:p>
        </w:tc>
        <w:tc>
          <w:tcPr>
            <w:tcW w:w="0" w:type="dxa"/>
            <w:vAlign w:val="bottom"/>
          </w:tcPr>
          <w:p>
            <w:pPr>
              <w:spacing w:after="0"/>
              <w:rPr>
                <w:sz w:val="1"/>
                <w:szCs w:val="1"/>
                <w:color w:val="auto"/>
              </w:rPr>
            </w:pPr>
          </w:p>
        </w:tc>
      </w:tr>
      <w:tr>
        <w:trPr>
          <w:trHeight w:val="241"/>
        </w:trPr>
        <w:tc>
          <w:tcPr>
            <w:tcW w:w="6080" w:type="dxa"/>
            <w:vAlign w:val="bottom"/>
          </w:tcPr>
          <w:p>
            <w:pPr>
              <w:ind w:left="280"/>
              <w:spacing w:after="0"/>
              <w:rPr>
                <w:sz w:val="20"/>
                <w:szCs w:val="20"/>
                <w:color w:val="auto"/>
              </w:rPr>
            </w:pPr>
            <w:r>
              <w:rPr>
                <w:rFonts w:ascii="Arial" w:cs="Arial" w:eastAsia="Arial" w:hAnsi="Arial"/>
                <w:sz w:val="13"/>
                <w:szCs w:val="13"/>
                <w:color w:val="auto"/>
              </w:rPr>
              <w:t>Non-GAAP operating income</w:t>
            </w: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71,718</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109,119</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115,019</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NON-GAAP NET INCOME &amp; DILUTED EPS</w:t>
            </w: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0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GAAP net income (loss) attributable to Itron, Inc.</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12,678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(23,670)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(153,153)</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11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31,673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43,619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42,019</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debt placement fees</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2,021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1,556</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tcPr>
          <w:p>
            <w:pPr>
              <w:spacing w:after="0"/>
              <w:rPr>
                <w:sz w:val="22"/>
                <w:szCs w:val="22"/>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(7,263)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49,482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36,347</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Acquisition-related expense (recovery)</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(5,538)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15,538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2,290</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Goodwill impairment</w:t>
            </w:r>
          </w:p>
        </w:tc>
        <w:tc>
          <w:tcPr>
            <w:tcW w:w="11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174,226</w:t>
            </w:r>
          </w:p>
        </w:tc>
        <w:tc>
          <w:tcPr>
            <w:tcW w:w="0" w:type="dxa"/>
            <w:vAlign w:val="bottom"/>
          </w:tcPr>
          <w:p>
            <w:pPr>
              <w:spacing w:after="0"/>
              <w:rPr>
                <w:sz w:val="1"/>
                <w:szCs w:val="1"/>
                <w:color w:val="auto"/>
              </w:rPr>
            </w:pPr>
          </w:p>
        </w:tc>
      </w:tr>
      <w:tr>
        <w:trPr>
          <w:trHeight w:val="272"/>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Income tax effect of non-GAAP adjustments</w:t>
            </w:r>
            <w:r>
              <w:rPr>
                <w:rFonts w:ascii="Arial" w:cs="Arial" w:eastAsia="Arial" w:hAnsi="Arial"/>
                <w:sz w:val="8"/>
                <w:szCs w:val="8"/>
                <w:color w:val="auto"/>
              </w:rPr>
              <w:t>(1)</w:t>
            </w:r>
          </w:p>
        </w:tc>
        <w:tc>
          <w:tcPr>
            <w:tcW w:w="11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(5,590)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(25,860)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(32,970)</w:t>
            </w:r>
          </w:p>
        </w:tc>
        <w:tc>
          <w:tcPr>
            <w:tcW w:w="0" w:type="dxa"/>
            <w:vAlign w:val="bottom"/>
          </w:tcPr>
          <w:p>
            <w:pPr>
              <w:spacing w:after="0"/>
              <w:rPr>
                <w:sz w:val="1"/>
                <w:szCs w:val="1"/>
                <w:color w:val="auto"/>
              </w:rPr>
            </w:pPr>
          </w:p>
        </w:tc>
      </w:tr>
      <w:tr>
        <w:trPr>
          <w:trHeight w:val="282"/>
        </w:trPr>
        <w:tc>
          <w:tcPr>
            <w:tcW w:w="60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Non-GAAP net income</w:t>
            </w:r>
          </w:p>
        </w:tc>
        <w:tc>
          <w:tcPr>
            <w:tcW w:w="1100" w:type="dxa"/>
            <w:vAlign w:val="bottom"/>
            <w:tcBorders>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27,981</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60,621</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70,315</w:t>
            </w: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0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Non-GAAP diluted EPS</w:t>
            </w:r>
          </w:p>
        </w:tc>
        <w:tc>
          <w:tcPr>
            <w:tcW w:w="1100" w:type="dxa"/>
            <w:vAlign w:val="bottom"/>
            <w:tcBorders>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0.73</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1.54</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080" w:type="dxa"/>
            <w:vAlign w:val="bottom"/>
          </w:tcPr>
          <w:p>
            <w:pPr>
              <w:ind w:left="280"/>
              <w:spacing w:after="0"/>
              <w:rPr>
                <w:sz w:val="20"/>
                <w:szCs w:val="20"/>
                <w:color w:val="auto"/>
              </w:rPr>
            </w:pPr>
            <w:r>
              <w:rPr>
                <w:rFonts w:ascii="Arial" w:cs="Arial" w:eastAsia="Arial" w:hAnsi="Arial"/>
                <w:sz w:val="13"/>
                <w:szCs w:val="13"/>
                <w:color w:val="auto"/>
              </w:rPr>
              <w:t>Weighted average common shares outstanding - Diluted</w:t>
            </w:r>
          </w:p>
        </w:tc>
        <w:tc>
          <w:tcPr>
            <w:tcW w:w="1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38,506</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39,461</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39,602</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FREE CASH FLOW</w:t>
            </w: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0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provided by operating activities</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73,350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132,973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105,421</w:t>
            </w: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Acquisitions of property, plant, and equipment</w:t>
            </w:r>
          </w:p>
        </w:tc>
        <w:tc>
          <w:tcPr>
            <w:tcW w:w="1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(43,918)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(44,495)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(60,020)</w:t>
            </w:r>
          </w:p>
        </w:tc>
        <w:tc>
          <w:tcPr>
            <w:tcW w:w="0" w:type="dxa"/>
            <w:vAlign w:val="bottom"/>
          </w:tcPr>
          <w:p>
            <w:pPr>
              <w:spacing w:after="0"/>
              <w:rPr>
                <w:sz w:val="1"/>
                <w:szCs w:val="1"/>
                <w:color w:val="auto"/>
              </w:rPr>
            </w:pPr>
          </w:p>
        </w:tc>
      </w:tr>
      <w:tr>
        <w:trPr>
          <w:trHeight w:val="242"/>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Free Cash Flow</w:t>
            </w:r>
          </w:p>
        </w:tc>
        <w:tc>
          <w:tcPr>
            <w:tcW w:w="110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29,432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88,478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45,401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hanging="332"/>
        <w:spacing w:after="0" w:line="255" w:lineRule="auto"/>
        <w:tabs>
          <w:tab w:leader="none" w:pos="340" w:val="left"/>
        </w:tabs>
        <w:numPr>
          <w:ilvl w:val="0"/>
          <w:numId w:val="13"/>
        </w:numPr>
        <w:rPr>
          <w:rFonts w:ascii="Arial" w:cs="Arial" w:eastAsia="Arial" w:hAnsi="Arial"/>
          <w:sz w:val="9"/>
          <w:szCs w:val="9"/>
          <w:color w:val="auto"/>
        </w:rPr>
      </w:pPr>
      <w:r>
        <w:rPr>
          <w:rFonts w:ascii="Arial" w:cs="Arial" w:eastAsia="Arial" w:hAnsi="Arial"/>
          <w:sz w:val="13"/>
          <w:szCs w:val="13"/>
          <w:color w:val="auto"/>
        </w:rPr>
        <w:t>The income tax effect of non-GAAP adjustments is calculated using the statutory tax rates for the relevant jurisdictions if no valuation allowance exists. If a valuation allowance exists, there is no tax impact to the non-GAAP adjustment.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080" w:type="dxa"/>
            <w:vAlign w:val="bottom"/>
          </w:tcPr>
          <w:p>
            <w:pPr>
              <w:ind w:left="40"/>
              <w:spacing w:after="0"/>
              <w:rPr>
                <w:sz w:val="20"/>
                <w:szCs w:val="20"/>
                <w:color w:val="auto"/>
              </w:rPr>
            </w:pPr>
            <w:r>
              <w:rPr>
                <w:rFonts w:ascii="Arial" w:cs="Arial" w:eastAsia="Arial" w:hAnsi="Arial"/>
                <w:sz w:val="13"/>
                <w:szCs w:val="13"/>
                <w:color w:val="auto"/>
              </w:rPr>
              <w:t>(Unaudited; in thousands)</w:t>
            </w: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2"/>
        </w:trPr>
        <w:tc>
          <w:tcPr>
            <w:tcW w:w="6080" w:type="dxa"/>
            <w:vAlign w:val="bottom"/>
          </w:tcPr>
          <w:p>
            <w:pPr>
              <w:ind w:left="40"/>
              <w:spacing w:after="0"/>
              <w:rPr>
                <w:sz w:val="20"/>
                <w:szCs w:val="20"/>
                <w:color w:val="auto"/>
              </w:rPr>
            </w:pPr>
            <w:r>
              <w:rPr>
                <w:rFonts w:ascii="Arial" w:cs="Arial" w:eastAsia="Arial" w:hAnsi="Arial"/>
                <w:sz w:val="13"/>
                <w:szCs w:val="13"/>
                <w:b w:val="1"/>
                <w:bCs w:val="1"/>
                <w:color w:val="auto"/>
              </w:rPr>
              <w:t>SEGMENT RECONCILIATIONS</w:t>
            </w:r>
          </w:p>
        </w:tc>
        <w:tc>
          <w:tcPr>
            <w:tcW w:w="1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2"/>
                <w:szCs w:val="22"/>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2015</w:t>
            </w: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2013</w:t>
            </w:r>
          </w:p>
        </w:tc>
        <w:tc>
          <w:tcPr>
            <w:tcW w:w="0" w:type="dxa"/>
            <w:vAlign w:val="bottom"/>
          </w:tcPr>
          <w:p>
            <w:pPr>
              <w:spacing w:after="0"/>
              <w:rPr>
                <w:sz w:val="1"/>
                <w:szCs w:val="1"/>
                <w:color w:val="auto"/>
              </w:rPr>
            </w:pPr>
          </w:p>
        </w:tc>
      </w:tr>
      <w:tr>
        <w:trPr>
          <w:trHeight w:val="262"/>
        </w:trPr>
        <w:tc>
          <w:tcPr>
            <w:tcW w:w="6080" w:type="dxa"/>
            <w:vAlign w:val="bottom"/>
          </w:tcPr>
          <w:p>
            <w:pPr>
              <w:ind w:left="160"/>
              <w:spacing w:after="0"/>
              <w:rPr>
                <w:sz w:val="20"/>
                <w:szCs w:val="20"/>
                <w:color w:val="auto"/>
              </w:rPr>
            </w:pPr>
            <w:r>
              <w:rPr>
                <w:rFonts w:ascii="Arial" w:cs="Arial" w:eastAsia="Arial" w:hAnsi="Arial"/>
                <w:sz w:val="13"/>
                <w:szCs w:val="13"/>
                <w:b w:val="1"/>
                <w:bCs w:val="1"/>
                <w:color w:val="auto"/>
              </w:rPr>
              <w:t>NON-GAAP OPERATING INCOME - ELECTRICITY</w:t>
            </w: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Electricity - GAAP operating income (loss)</w:t>
            </w:r>
          </w:p>
        </w:tc>
        <w:tc>
          <w:tcPr>
            <w:tcW w:w="1120" w:type="dxa"/>
            <w:vAlign w:val="bottom"/>
            <w:shd w:val="clear" w:color="auto" w:fill="CCEEFF"/>
          </w:tcPr>
          <w:p>
            <w:pPr>
              <w:jc w:val="right"/>
              <w:ind w:right="95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31,104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(77,751)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(237,279)</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112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17,663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24,452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18,835</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Restructuring</w:t>
            </w:r>
          </w:p>
        </w:tc>
        <w:tc>
          <w:tcPr>
            <w:tcW w:w="1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(7,253)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20,430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25,172</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Acquisition-related expense (recovery)</w:t>
            </w:r>
          </w:p>
        </w:tc>
        <w:tc>
          <w:tcPr>
            <w:tcW w:w="1120" w:type="dxa"/>
            <w:vAlign w:val="bottom"/>
          </w:tcPr>
          <w:p>
            <w:pPr>
              <w:spacing w:after="0"/>
              <w:rPr>
                <w:sz w:val="22"/>
                <w:szCs w:val="22"/>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(5,655)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15,491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2,287</w:t>
            </w:r>
          </w:p>
        </w:tc>
        <w:tc>
          <w:tcPr>
            <w:tcW w:w="0" w:type="dxa"/>
            <w:vAlign w:val="bottom"/>
          </w:tcPr>
          <w:p>
            <w:pPr>
              <w:spacing w:after="0"/>
              <w:rPr>
                <w:sz w:val="1"/>
                <w:szCs w:val="1"/>
                <w:color w:val="auto"/>
              </w:rPr>
            </w:pPr>
          </w:p>
        </w:tc>
      </w:tr>
      <w:tr>
        <w:trPr>
          <w:trHeight w:val="272"/>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Goodwill impairment</w:t>
            </w:r>
          </w:p>
        </w:tc>
        <w:tc>
          <w:tcPr>
            <w:tcW w:w="1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174,226</w:t>
            </w:r>
          </w:p>
        </w:tc>
        <w:tc>
          <w:tcPr>
            <w:tcW w:w="0" w:type="dxa"/>
            <w:vAlign w:val="bottom"/>
          </w:tcPr>
          <w:p>
            <w:pPr>
              <w:spacing w:after="0"/>
              <w:rPr>
                <w:sz w:val="1"/>
                <w:szCs w:val="1"/>
                <w:color w:val="auto"/>
              </w:rPr>
            </w:pPr>
          </w:p>
        </w:tc>
      </w:tr>
      <w:tr>
        <w:trPr>
          <w:trHeight w:val="241"/>
        </w:trPr>
        <w:tc>
          <w:tcPr>
            <w:tcW w:w="6080" w:type="dxa"/>
            <w:vAlign w:val="bottom"/>
          </w:tcPr>
          <w:p>
            <w:pPr>
              <w:ind w:left="280"/>
              <w:spacing w:after="0"/>
              <w:rPr>
                <w:sz w:val="20"/>
                <w:szCs w:val="20"/>
                <w:color w:val="auto"/>
              </w:rPr>
            </w:pPr>
            <w:r>
              <w:rPr>
                <w:rFonts w:ascii="Arial" w:cs="Arial" w:eastAsia="Arial" w:hAnsi="Arial"/>
                <w:sz w:val="13"/>
                <w:szCs w:val="13"/>
                <w:color w:val="auto"/>
              </w:rPr>
              <w:t>Electricity - Non-GAAP operating income (loss)</w:t>
            </w:r>
          </w:p>
        </w:tc>
        <w:tc>
          <w:tcPr>
            <w:tcW w:w="1120" w:type="dxa"/>
            <w:vAlign w:val="bottom"/>
            <w:tcBorders>
              <w:top w:val="single" w:sz="8" w:color="auto"/>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35,859</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(17,378)</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(16,759)</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NON-GAAP OPERATING INCOME - GAS</w:t>
            </w: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0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Gas - GAAP operating income</w:t>
            </w:r>
          </w:p>
        </w:tc>
        <w:tc>
          <w:tcPr>
            <w:tcW w:w="1120" w:type="dxa"/>
            <w:vAlign w:val="bottom"/>
            <w:shd w:val="clear" w:color="auto" w:fill="CCEEFF"/>
          </w:tcPr>
          <w:p>
            <w:pPr>
              <w:jc w:val="right"/>
              <w:ind w:right="95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67,471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76,101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82,176</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112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7,787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10,471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12,264</w:t>
            </w:r>
          </w:p>
        </w:tc>
        <w:tc>
          <w:tcPr>
            <w:tcW w:w="0" w:type="dxa"/>
            <w:vAlign w:val="bottom"/>
          </w:tcPr>
          <w:p>
            <w:pPr>
              <w:spacing w:after="0"/>
              <w:rPr>
                <w:sz w:val="1"/>
                <w:szCs w:val="1"/>
                <w:color w:val="auto"/>
              </w:rPr>
            </w:pPr>
          </w:p>
        </w:tc>
      </w:tr>
      <w:tr>
        <w:trPr>
          <w:trHeight w:val="272"/>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Restructuring</w:t>
            </w:r>
          </w:p>
        </w:tc>
        <w:tc>
          <w:tcPr>
            <w:tcW w:w="11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(287)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9,149</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4,299</w:t>
            </w:r>
          </w:p>
        </w:tc>
        <w:tc>
          <w:tcPr>
            <w:tcW w:w="0" w:type="dxa"/>
            <w:vAlign w:val="bottom"/>
          </w:tcPr>
          <w:p>
            <w:pPr>
              <w:spacing w:after="0"/>
              <w:rPr>
                <w:sz w:val="1"/>
                <w:szCs w:val="1"/>
                <w:color w:val="auto"/>
              </w:rPr>
            </w:pPr>
          </w:p>
        </w:tc>
      </w:tr>
      <w:tr>
        <w:trPr>
          <w:trHeight w:val="241"/>
        </w:trPr>
        <w:tc>
          <w:tcPr>
            <w:tcW w:w="6080" w:type="dxa"/>
            <w:vAlign w:val="bottom"/>
          </w:tcPr>
          <w:p>
            <w:pPr>
              <w:ind w:left="280"/>
              <w:spacing w:after="0"/>
              <w:rPr>
                <w:sz w:val="20"/>
                <w:szCs w:val="20"/>
                <w:color w:val="auto"/>
              </w:rPr>
            </w:pPr>
            <w:r>
              <w:rPr>
                <w:rFonts w:ascii="Arial" w:cs="Arial" w:eastAsia="Arial" w:hAnsi="Arial"/>
                <w:sz w:val="13"/>
                <w:szCs w:val="13"/>
                <w:color w:val="auto"/>
              </w:rPr>
              <w:t>Gas - Non-GAAP operating income</w:t>
            </w:r>
          </w:p>
        </w:tc>
        <w:tc>
          <w:tcPr>
            <w:tcW w:w="1120" w:type="dxa"/>
            <w:vAlign w:val="bottom"/>
            <w:tcBorders>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74,971</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95,721</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98,739</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NON-GAAP OPERATING INCOME - WATER</w:t>
            </w: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0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Water - GAAP operating income</w:t>
            </w:r>
          </w:p>
        </w:tc>
        <w:tc>
          <w:tcPr>
            <w:tcW w:w="1120" w:type="dxa"/>
            <w:vAlign w:val="bottom"/>
            <w:shd w:val="clear" w:color="auto" w:fill="CCEEFF"/>
          </w:tcPr>
          <w:p>
            <w:pPr>
              <w:jc w:val="right"/>
              <w:ind w:right="95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19,864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71,356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62,015</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112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6,223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8,696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10,920</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Restructuring</w:t>
            </w:r>
          </w:p>
        </w:tc>
        <w:tc>
          <w:tcPr>
            <w:tcW w:w="1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2,335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3,075</w:t>
            </w:r>
          </w:p>
        </w:tc>
        <w:tc>
          <w:tcPr>
            <w:tcW w:w="0" w:type="dxa"/>
            <w:vAlign w:val="bottom"/>
          </w:tcPr>
          <w:p>
            <w:pPr>
              <w:spacing w:after="0"/>
              <w:rPr>
                <w:sz w:val="1"/>
                <w:szCs w:val="1"/>
                <w:color w:val="auto"/>
              </w:rPr>
            </w:pPr>
          </w:p>
        </w:tc>
      </w:tr>
      <w:tr>
        <w:trPr>
          <w:trHeight w:val="264"/>
        </w:trPr>
        <w:tc>
          <w:tcPr>
            <w:tcW w:w="6080" w:type="dxa"/>
            <w:vAlign w:val="bottom"/>
          </w:tcPr>
          <w:p>
            <w:pPr>
              <w:ind w:left="400"/>
              <w:spacing w:after="0"/>
              <w:rPr>
                <w:sz w:val="20"/>
                <w:szCs w:val="20"/>
                <w:color w:val="auto"/>
              </w:rPr>
            </w:pPr>
            <w:r>
              <w:rPr>
                <w:rFonts w:ascii="Arial" w:cs="Arial" w:eastAsia="Arial" w:hAnsi="Arial"/>
                <w:sz w:val="13"/>
                <w:szCs w:val="13"/>
                <w:color w:val="auto"/>
              </w:rPr>
              <w:t>Acquisition-related expense</w:t>
            </w:r>
          </w:p>
        </w:tc>
        <w:tc>
          <w:tcPr>
            <w:tcW w:w="112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60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Water - Non-GAAP operating income</w:t>
            </w:r>
          </w:p>
        </w:tc>
        <w:tc>
          <w:tcPr>
            <w:tcW w:w="1120" w:type="dxa"/>
            <w:vAlign w:val="bottom"/>
            <w:tcBorders>
              <w:top w:val="single" w:sz="8" w:color="auto"/>
              <w:bottom w:val="single" w:sz="8" w:color="auto"/>
            </w:tcBorders>
            <w:shd w:val="clear" w:color="auto" w:fill="CCEEFF"/>
          </w:tcPr>
          <w:p>
            <w:pPr>
              <w:jc w:val="right"/>
              <w:ind w:right="95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26,969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82,387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76,010</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NON-GAAP OPERATING INCOME - CORPORATE UNALLOCATED</w:t>
            </w: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0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Corporate unallocated - GAAP operating loss</w:t>
            </w:r>
          </w:p>
        </w:tc>
        <w:tc>
          <w:tcPr>
            <w:tcW w:w="1120" w:type="dxa"/>
            <w:vAlign w:val="bottom"/>
            <w:shd w:val="clear" w:color="auto" w:fill="CCEEFF"/>
          </w:tcPr>
          <w:p>
            <w:pPr>
              <w:jc w:val="right"/>
              <w:ind w:right="95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(65,593)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(69,226)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(46,775)</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Restructuring</w:t>
            </w:r>
          </w:p>
        </w:tc>
        <w:tc>
          <w:tcPr>
            <w:tcW w:w="1120" w:type="dxa"/>
            <w:vAlign w:val="bottom"/>
          </w:tcPr>
          <w:p>
            <w:pPr>
              <w:spacing w:after="0"/>
              <w:rPr>
                <w:sz w:val="22"/>
                <w:szCs w:val="22"/>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(501)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17,568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3,801</w:t>
            </w:r>
          </w:p>
        </w:tc>
        <w:tc>
          <w:tcPr>
            <w:tcW w:w="0" w:type="dxa"/>
            <w:vAlign w:val="bottom"/>
          </w:tcPr>
          <w:p>
            <w:pPr>
              <w:spacing w:after="0"/>
              <w:rPr>
                <w:sz w:val="1"/>
                <w:szCs w:val="1"/>
                <w:color w:val="auto"/>
              </w:rPr>
            </w:pPr>
          </w:p>
        </w:tc>
      </w:tr>
      <w:tr>
        <w:trPr>
          <w:trHeight w:val="272"/>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Acquisition-related expense</w:t>
            </w:r>
          </w:p>
        </w:tc>
        <w:tc>
          <w:tcPr>
            <w:tcW w:w="11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42"/>
        </w:trPr>
        <w:tc>
          <w:tcPr>
            <w:tcW w:w="6080" w:type="dxa"/>
            <w:vAlign w:val="bottom"/>
          </w:tcPr>
          <w:p>
            <w:pPr>
              <w:ind w:left="280"/>
              <w:spacing w:after="0"/>
              <w:rPr>
                <w:sz w:val="20"/>
                <w:szCs w:val="20"/>
                <w:color w:val="auto"/>
              </w:rPr>
            </w:pPr>
            <w:r>
              <w:rPr>
                <w:rFonts w:ascii="Arial" w:cs="Arial" w:eastAsia="Arial" w:hAnsi="Arial"/>
                <w:sz w:val="13"/>
                <w:szCs w:val="13"/>
                <w:color w:val="auto"/>
              </w:rPr>
              <w:t>Corporate unallocated - Non-GAAP operating loss</w:t>
            </w:r>
          </w:p>
        </w:tc>
        <w:tc>
          <w:tcPr>
            <w:tcW w:w="1120" w:type="dxa"/>
            <w:vAlign w:val="bottom"/>
            <w:tcBorders>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(66,081)</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(51,611)</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(42,971)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exposed to interest rate risk through our variable rate debt instruments. In May 2012, we entered into six forward starting pay-fixed receive one-month LIBOR interest rate swaps. The interest rate swaps convert $200 million of our LIBOR based debt from a floating LIBOR interest rate to a fixed interest rate of 1.00% (excluding the applicable margin on the debt) and are effective from July 31, 2013 to August 8, 2016.</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2015, we entered into a forward starting pay-fixed receive one-month LIBOR interest rate swap. The interest rate swap is effective August 31, 2016 to June 23, 2020, and converts $214 million of our LIBOR based debt from a floating LIBOR interest rate to a fixed interest rate of 1.42% (excluding the applicable margin on the debt). The notional balance will amortize to maturity at the same rate as required minimum payments on our term loan. At December 31, 2015, our LIBOR-based debt balance was $314.4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 at the capped rate of 2.00% with respect to the $100 million notional amount of such agreements. The interest rate cap contracts do not include the effect of the applicable margin.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December 31, 2015. Weighted average variable rates in the table are based on implied forward rates in the Reuters U.S. dollar yield curve as of December 31, 2015 and our estimated leverage ratio, which determines our additional interest rate margin at December 31, 2015.</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8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3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7"/>
        </w:trPr>
        <w:tc>
          <w:tcPr>
            <w:tcW w:w="3400" w:type="dxa"/>
            <w:vAlign w:val="bottom"/>
          </w:tcPr>
          <w:p>
            <w:pPr>
              <w:ind w:left="40"/>
              <w:spacing w:after="0"/>
              <w:rPr>
                <w:sz w:val="20"/>
                <w:szCs w:val="20"/>
                <w:color w:val="auto"/>
              </w:rPr>
            </w:pPr>
            <w:r>
              <w:rPr>
                <w:rFonts w:ascii="Arial" w:cs="Arial" w:eastAsia="Arial" w:hAnsi="Arial"/>
                <w:sz w:val="16"/>
                <w:szCs w:val="16"/>
                <w:i w:val="1"/>
                <w:iCs w:val="1"/>
                <w:color w:val="auto"/>
              </w:rPr>
              <w:t>Variable Rate Debt</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7"/>
        </w:trPr>
        <w:tc>
          <w:tcPr>
            <w:tcW w:w="3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34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Principal: U.S. dollar term loan</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11,250</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14,063</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19,688</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22,500</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151,874</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219,375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217,830</w:t>
            </w:r>
          </w:p>
        </w:tc>
      </w:tr>
      <w:tr>
        <w:trPr>
          <w:trHeight w:val="237"/>
        </w:trPr>
        <w:tc>
          <w:tcPr>
            <w:tcW w:w="3400" w:type="dxa"/>
            <w:vAlign w:val="bottom"/>
          </w:tcPr>
          <w:p>
            <w:pPr>
              <w:ind w:left="840"/>
              <w:spacing w:after="0"/>
              <w:rPr>
                <w:sz w:val="20"/>
                <w:szCs w:val="20"/>
                <w:color w:val="auto"/>
              </w:rPr>
            </w:pPr>
            <w:r>
              <w:rPr>
                <w:rFonts w:ascii="Arial" w:cs="Arial" w:eastAsia="Arial" w:hAnsi="Arial"/>
                <w:sz w:val="16"/>
                <w:szCs w:val="16"/>
                <w:color w:val="auto"/>
              </w:rPr>
              <w:t>Average interest rate</w:t>
            </w:r>
          </w:p>
        </w:tc>
        <w:tc>
          <w:tcPr>
            <w:tcW w:w="2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2.45 %</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3.08 %</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3.46%</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3.72%</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3.84%</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0"/>
        </w:trPr>
        <w:tc>
          <w:tcPr>
            <w:tcW w:w="3400" w:type="dxa"/>
            <w:vAlign w:val="bottom"/>
          </w:tcPr>
          <w:p>
            <w:pPr>
              <w:ind w:left="840"/>
              <w:spacing w:after="0"/>
              <w:rPr>
                <w:sz w:val="20"/>
                <w:szCs w:val="20"/>
                <w:color w:val="auto"/>
              </w:rPr>
            </w:pPr>
            <w:r>
              <w:rPr>
                <w:rFonts w:ascii="Arial" w:cs="Arial" w:eastAsia="Arial" w:hAnsi="Arial"/>
                <w:sz w:val="16"/>
                <w:szCs w:val="16"/>
                <w:color w:val="auto"/>
              </w:rPr>
              <w:t>Principal: Multicurrency revolving</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3400" w:type="dxa"/>
            <w:vAlign w:val="bottom"/>
          </w:tcPr>
          <w:p>
            <w:pPr>
              <w:ind w:left="840"/>
              <w:spacing w:after="0"/>
              <w:rPr>
                <w:sz w:val="20"/>
                <w:szCs w:val="20"/>
                <w:color w:val="auto"/>
              </w:rPr>
            </w:pPr>
            <w:r>
              <w:rPr>
                <w:rFonts w:ascii="Arial" w:cs="Arial" w:eastAsia="Arial" w:hAnsi="Arial"/>
                <w:sz w:val="16"/>
                <w:szCs w:val="16"/>
                <w:color w:val="auto"/>
              </w:rPr>
              <w:t>line of credit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151,837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151,837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150,570</w:t>
            </w:r>
          </w:p>
        </w:tc>
      </w:tr>
      <w:tr>
        <w:trPr>
          <w:trHeight w:val="33"/>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Average interest rate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2.20 %</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2.58 %</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70"/>
        </w:trPr>
        <w:tc>
          <w:tcPr>
            <w:tcW w:w="3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3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i w:val="1"/>
                <w:iCs w:val="1"/>
                <w:color w:val="auto"/>
              </w:rPr>
              <w:t>Interest rate swap on LIBOR based debt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3400" w:type="dxa"/>
            <w:vAlign w:val="bottom"/>
          </w:tcPr>
          <w:p>
            <w:pPr>
              <w:ind w:left="840"/>
              <w:spacing w:after="0"/>
              <w:rPr>
                <w:sz w:val="20"/>
                <w:szCs w:val="20"/>
                <w:color w:val="auto"/>
              </w:rPr>
            </w:pPr>
            <w:r>
              <w:rPr>
                <w:rFonts w:ascii="Arial" w:cs="Arial" w:eastAsia="Arial" w:hAnsi="Arial"/>
                <w:sz w:val="16"/>
                <w:szCs w:val="16"/>
                <w:color w:val="auto"/>
              </w:rPr>
              <w:t>Average interest rate (pay)</w:t>
            </w:r>
          </w:p>
        </w:tc>
        <w:tc>
          <w:tcPr>
            <w:tcW w:w="2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1.14 %</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1.42 %</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Average interest rate (receive)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0.77 %</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1.33 %</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3400" w:type="dxa"/>
            <w:vAlign w:val="bottom"/>
          </w:tcPr>
          <w:p>
            <w:pPr>
              <w:ind w:left="840"/>
              <w:spacing w:after="0"/>
              <w:rPr>
                <w:sz w:val="20"/>
                <w:szCs w:val="20"/>
                <w:color w:val="auto"/>
              </w:rPr>
            </w:pPr>
            <w:r>
              <w:rPr>
                <w:rFonts w:ascii="Arial" w:cs="Arial" w:eastAsia="Arial" w:hAnsi="Arial"/>
                <w:sz w:val="16"/>
                <w:szCs w:val="16"/>
                <w:color w:val="auto"/>
              </w:rPr>
              <w:t>Net/spread</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(0.37)%</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(0.09)%</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0.29%</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0.55%</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0.67%</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a sensitivity analysis as of December 31, 2015, we estimate that, if market interest rates average one percentage point higher in 2016 than in the table above, our financial results in 2016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As a result, approximately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51% of total revenues for the year ended December 31, 2015, compared with 58% and 59% for the years ended December 31, 2014 and 2013.</w:t>
      </w:r>
    </w:p>
    <w:p>
      <w:pPr>
        <w:spacing w:after="0" w:line="19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third-party. At each period-end, non-functional currency monetary assets and liabilities are revalued, with the change recorded to other income (expense), net. We enter into monthly foreign exchange forward contracts (a total of 516 contracts were entered into during the year ended December 31, 2015) not designated for hedge accounting, with the intent to reduce earnings volatility associated with certain of these balances. The notional amounts of the contracts ranged from $118,000 to $23.4 million, offsetting our exposures from the euro, British pound, Canadian dollar, Australian dollar, Mexican peso and various other currencies.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Itron, Inc.</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 is responsible for the preparation of our consolidated financial statements and related information appearing in this Annual Report on Form 10-K. Management believes that the consolidated financial statements fairly reflect the form and substance of transactions and that the financial statements reasonably present our results of operations, financial position, and cash flows in conformity with U.S. generally accepted accounting principles. Management has included in our financial statements amounts based on estimates and judgments that it believes are reasonable under the circumstances.</w:t>
      </w:r>
    </w:p>
    <w:p>
      <w:pPr>
        <w:spacing w:after="0" w:line="1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Management’s explanation and interpretation of our overall operating results and financial position, with the basic financial statements presented, should be read in conjunction with the entire report. The notes to the consolidated financial statements, an integral part of the basic financial statements, provide additional detailed financial information. Our Board of Directors has an Audit/Finance Committee composed of independent directors. The Committee meets regularly with financial management and Ernst &amp; Young LLP to review internal control, auditing, and financial reporting matters.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Philip C. Mezey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jc w:val="center"/>
        <w:ind w:right="4400"/>
        <w:spacing w:after="0"/>
        <w:rPr>
          <w:sz w:val="20"/>
          <w:szCs w:val="20"/>
          <w:color w:val="auto"/>
        </w:rPr>
      </w:pPr>
      <w:r>
        <w:rPr>
          <w:rFonts w:ascii="Arial" w:cs="Arial" w:eastAsia="Arial" w:hAnsi="Arial"/>
          <w:sz w:val="16"/>
          <w:szCs w:val="16"/>
          <w:color w:val="auto"/>
        </w:rPr>
        <w:t>W. Mark Schmitz</w:t>
      </w:r>
    </w:p>
    <w:p>
      <w:pPr>
        <w:spacing w:after="0" w:line="86"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Itron, Inc.</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accompanying consolidated balance sheets of Itron, Inc. as of December 31, 2015 and 2014, and the related consolidated statements of operations, comprehensive income (loss), equity and cash flows for each of the three years in the period ended December 31, 2015.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Itron, Inc. at December 31, 2015 and 2014, and the consolidated results of its operations and its cash flows for each of the three years in the period ended December 31,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Itron, Inc.’s internal control over financial reporting as of December 31, 2015, based on criteria established in Internal Control-Integrated Framework issued by the Committee of Sponsoring Organizations of the Treadway Commission (2013 framework), and our report dated June 29, 2016 expressed an adverse opinion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540" w:type="dxa"/>
            <w:vAlign w:val="bottom"/>
            <w:gridSpan w:val="6"/>
          </w:tcPr>
          <w:p>
            <w:pPr>
              <w:jc w:val="center"/>
              <w:ind w:right="410"/>
              <w:spacing w:after="0"/>
              <w:rPr>
                <w:sz w:val="20"/>
                <w:szCs w:val="20"/>
                <w:color w:val="auto"/>
              </w:rPr>
            </w:pPr>
            <w:r>
              <w:rPr>
                <w:rFonts w:ascii="Arial" w:cs="Arial" w:eastAsia="Arial" w:hAnsi="Arial"/>
                <w:sz w:val="18"/>
                <w:szCs w:val="18"/>
                <w:b w:val="1"/>
                <w:bCs w:val="1"/>
                <w:color w:val="auto"/>
                <w:w w:val="90"/>
              </w:rPr>
              <w:t>Year Ended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7"/>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20" w:type="dxa"/>
            <w:vAlign w:val="bottom"/>
            <w:gridSpan w:val="7"/>
          </w:tcPr>
          <w:p>
            <w:pPr>
              <w:jc w:val="center"/>
              <w:ind w:left="67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1,883,533</w:t>
            </w:r>
          </w:p>
        </w:tc>
        <w:tc>
          <w:tcPr>
            <w:tcW w:w="5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1,947,616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1,938,025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1,326,848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1,333,566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1,323,257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556,685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614,050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614,768</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161,380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182,503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182,687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162,334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175,500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175,420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155,715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162,466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143,932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31,673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42,019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49,482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36,347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174,226</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503,839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613,570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754,631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52,846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(139,863)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(10,686)</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(7,637)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(13,537)</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(150,934)</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Itron, Inc.</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12,678</w:t>
            </w: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 - 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5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(loss) per common share - 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0.33</w:t>
            </w: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38,224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39,184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39,281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39,184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39,281</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15,003</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(150,934)</w:t>
            </w:r>
          </w:p>
        </w:tc>
      </w:tr>
      <w:tr>
        <w:trPr>
          <w:trHeight w:val="297"/>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(72,929)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(89,297)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7,904</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Net unrealized gain (loss) on derivative instruments, designated as cash flow</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hedges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Pension plan benefits liability adjustment</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(24,947)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5,117</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10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(65,547)</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13,454</w:t>
            </w:r>
          </w:p>
        </w:tc>
      </w:tr>
      <w:tr>
        <w:trPr>
          <w:trHeight w:val="291"/>
        </w:trPr>
        <w:tc>
          <w:tcPr>
            <w:tcW w:w="60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(50,544)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(136,056)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(137,480)</w:t>
            </w:r>
          </w:p>
        </w:tc>
      </w:tr>
      <w:tr>
        <w:trPr>
          <w:trHeight w:val="291"/>
        </w:trPr>
        <w:tc>
          <w:tcPr>
            <w:tcW w:w="60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Comprehensive income (loss) attributable to noncontrolling interest, net of tax:</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2,219</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6060" w:type="dxa"/>
            <w:vAlign w:val="bottom"/>
          </w:tcPr>
          <w:p>
            <w:pPr>
              <w:ind w:left="200"/>
              <w:spacing w:after="0"/>
              <w:rPr>
                <w:sz w:val="20"/>
                <w:szCs w:val="20"/>
                <w:color w:val="auto"/>
              </w:rPr>
            </w:pPr>
            <w:r>
              <w:rPr>
                <w:rFonts w:ascii="Arial" w:cs="Arial" w:eastAsia="Arial" w:hAnsi="Arial"/>
                <w:sz w:val="18"/>
                <w:szCs w:val="18"/>
                <w:color w:val="auto"/>
              </w:rPr>
              <w:t>Amounts attributable to noncontrolling interests</w:t>
            </w:r>
          </w:p>
        </w:tc>
        <w:tc>
          <w:tcPr>
            <w:tcW w:w="10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2,184</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60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Itron, Inc.</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(52,869)</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(137,426)</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(139,664)</w:t>
            </w:r>
          </w:p>
        </w:tc>
      </w:tr>
      <w:tr>
        <w:trPr>
          <w:trHeight w:val="20"/>
        </w:trPr>
        <w:tc>
          <w:tcPr>
            <w:tcW w:w="6060" w:type="dxa"/>
            <w:vAlign w:val="bottom"/>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65"/>
        </w:trPr>
        <w:tc>
          <w:tcPr>
            <w:tcW w:w="9720" w:type="dxa"/>
            <w:vAlign w:val="bottom"/>
            <w:gridSpan w:val="8"/>
          </w:tcPr>
          <w:p>
            <w:pPr>
              <w:ind w:left="25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9"/>
        </w:trPr>
        <w:tc>
          <w:tcPr>
            <w:tcW w:w="6060" w:type="dxa"/>
            <w:vAlign w:val="bottom"/>
          </w:tcPr>
          <w:p>
            <w:pPr>
              <w:ind w:left="5620"/>
              <w:spacing w:after="0"/>
              <w:rPr>
                <w:sz w:val="20"/>
                <w:szCs w:val="20"/>
                <w:color w:val="auto"/>
              </w:rPr>
            </w:pPr>
            <w:r>
              <w:rPr>
                <w:rFonts w:ascii="Arial" w:cs="Arial" w:eastAsia="Arial" w:hAnsi="Arial"/>
                <w:sz w:val="18"/>
                <w:szCs w:val="18"/>
                <w:color w:val="auto"/>
              </w:rPr>
              <w:t>46</w:t>
            </w: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ITRON, INC.</w:t>
            </w: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860" w:type="dxa"/>
            <w:vAlign w:val="bottom"/>
            <w:gridSpan w:val="4"/>
          </w:tcPr>
          <w:p>
            <w:pPr>
              <w:jc w:val="center"/>
              <w:ind w:left="93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2015</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2014</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1280" w:type="dxa"/>
            <w:vAlign w:val="bottom"/>
          </w:tcPr>
          <w:p>
            <w:pPr>
              <w:spacing w:after="0"/>
              <w:rPr>
                <w:sz w:val="23"/>
                <w:szCs w:val="23"/>
                <w:color w:val="auto"/>
              </w:rPr>
            </w:pPr>
          </w:p>
        </w:tc>
        <w:tc>
          <w:tcPr>
            <w:tcW w:w="54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ASSETS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112,371</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330,895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346,547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190,465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154,221</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Deferred tax assets current, net</w:t>
            </w:r>
          </w:p>
        </w:tc>
        <w:tc>
          <w:tcPr>
            <w:tcW w:w="280" w:type="dxa"/>
            <w:vAlign w:val="bottom"/>
          </w:tcPr>
          <w:p>
            <w:pPr>
              <w:spacing w:after="0"/>
              <w:rPr>
                <w:sz w:val="21"/>
                <w:szCs w:val="21"/>
                <w:color w:val="auto"/>
              </w:rPr>
            </w:pP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45,504</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123,819</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758,940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782,462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190,256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207,152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 noncurrent,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74,439</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52,726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46,965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139,909</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468,122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500,820</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1,681,363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1,751,747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128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50"/>
        </w:trPr>
        <w:tc>
          <w:tcPr>
            <w:tcW w:w="128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119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185,827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183,831</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78,630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101,315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94,818</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Taxes payable</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14,859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21,951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Current portion of warranty</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36,927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21,145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67,009</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477,774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520,069</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359,962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293,969</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15,403</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Pension plan benefit liability</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85,971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101,862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3,808</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115,645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118,094</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1,058,660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1,053,205</w:t>
            </w: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13)</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29"/>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Preferred stock, no par value, 10 million shares authorized, no shares issued or</w:t>
            </w: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Common stock, no par value, 75 million shares authorized, 37,906 and 38,591 shares</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issued and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1,246,671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1,270,045</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(200,607)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(135,060)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(453,984)</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Itron, Inc. shareholders' equity</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604,758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681,001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17,541</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622,703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698,542</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1,681,363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1,751,747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08" w:right="239" w:bottom="98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08" w:right="239" w:bottom="987"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Balances at January 1, 2013</w:t>
      </w:r>
    </w:p>
    <w:p>
      <w:pPr>
        <w:spacing w:after="0" w:line="109" w:lineRule="exact"/>
        <w:rPr>
          <w:sz w:val="20"/>
          <w:szCs w:val="20"/>
          <w:color w:val="auto"/>
        </w:rPr>
      </w:pPr>
    </w:p>
    <w:p>
      <w:pPr>
        <w:ind w:left="40" w:right="100"/>
        <w:spacing w:after="0" w:line="253" w:lineRule="auto"/>
        <w:rPr>
          <w:sz w:val="20"/>
          <w:szCs w:val="20"/>
          <w:color w:val="auto"/>
        </w:rPr>
      </w:pPr>
      <w:r>
        <w:rPr>
          <w:rFonts w:ascii="Arial" w:cs="Arial" w:eastAsia="Arial" w:hAnsi="Arial"/>
          <w:sz w:val="14"/>
          <w:szCs w:val="14"/>
          <w:color w:val="auto"/>
        </w:rPr>
        <w:t>Revision to prior period financial statements (see Note 2)</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January 1, 2013 as revised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 (loss), net of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Distributions to noncontrolling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issues: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Options exercised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Restricted stock awards released</w:t>
      </w:r>
    </w:p>
    <w:p>
      <w:pPr>
        <w:spacing w:after="0" w:line="109" w:lineRule="exact"/>
        <w:rPr>
          <w:sz w:val="20"/>
          <w:szCs w:val="20"/>
          <w:color w:val="auto"/>
        </w:rPr>
      </w:pPr>
    </w:p>
    <w:p>
      <w:pPr>
        <w:ind w:left="380" w:right="120"/>
        <w:spacing w:after="0" w:line="253" w:lineRule="auto"/>
        <w:rPr>
          <w:sz w:val="20"/>
          <w:szCs w:val="20"/>
          <w:color w:val="auto"/>
        </w:rPr>
      </w:pPr>
      <w:r>
        <w:rPr>
          <w:rFonts w:ascii="Arial" w:cs="Arial" w:eastAsia="Arial" w:hAnsi="Arial"/>
          <w:sz w:val="14"/>
          <w:szCs w:val="14"/>
          <w:color w:val="auto"/>
        </w:rPr>
        <w:t>Issuance of stock-based compensation awards</w:t>
      </w:r>
    </w:p>
    <w:p>
      <w:pPr>
        <w:spacing w:after="0" w:line="12" w:lineRule="exact"/>
        <w:rPr>
          <w:sz w:val="20"/>
          <w:szCs w:val="20"/>
          <w:color w:val="auto"/>
        </w:rPr>
      </w:pPr>
    </w:p>
    <w:p>
      <w:pPr>
        <w:ind w:left="380" w:right="280"/>
        <w:spacing w:after="0" w:line="469" w:lineRule="auto"/>
        <w:rPr>
          <w:sz w:val="20"/>
          <w:szCs w:val="20"/>
          <w:color w:val="auto"/>
        </w:rPr>
      </w:pPr>
      <w:r>
        <w:rPr>
          <w:rFonts w:ascii="Arial" w:cs="Arial" w:eastAsia="Arial" w:hAnsi="Arial"/>
          <w:sz w:val="12"/>
          <w:szCs w:val="12"/>
          <w:color w:val="auto"/>
        </w:rPr>
        <w:t>Employee stock purchase plan Stock-based compensation expense</w:t>
      </w:r>
    </w:p>
    <w:p>
      <w:pPr>
        <w:spacing w:after="0" w:line="1" w:lineRule="exact"/>
        <w:rPr>
          <w:sz w:val="20"/>
          <w:szCs w:val="20"/>
          <w:color w:val="auto"/>
        </w:rPr>
      </w:pPr>
    </w:p>
    <w:p>
      <w:pPr>
        <w:ind w:left="380" w:right="380"/>
        <w:spacing w:after="0" w:line="253" w:lineRule="auto"/>
        <w:rPr>
          <w:sz w:val="20"/>
          <w:szCs w:val="20"/>
          <w:color w:val="auto"/>
        </w:rPr>
      </w:pPr>
      <w:r>
        <w:rPr>
          <w:rFonts w:ascii="Arial" w:cs="Arial" w:eastAsia="Arial" w:hAnsi="Arial"/>
          <w:sz w:val="14"/>
          <w:szCs w:val="14"/>
          <w:color w:val="auto"/>
        </w:rPr>
        <w:t>Employee stock plans income tax deficiencies</w:t>
      </w:r>
    </w:p>
    <w:p>
      <w:pPr>
        <w:spacing w:after="0" w:line="12" w:lineRule="exact"/>
        <w:rPr>
          <w:sz w:val="20"/>
          <w:szCs w:val="20"/>
          <w:color w:val="auto"/>
        </w:rPr>
      </w:pPr>
    </w:p>
    <w:p>
      <w:pPr>
        <w:ind w:left="40" w:right="600" w:firstLine="351"/>
        <w:spacing w:after="0" w:line="546" w:lineRule="auto"/>
        <w:rPr>
          <w:sz w:val="20"/>
          <w:szCs w:val="20"/>
          <w:color w:val="auto"/>
        </w:rPr>
      </w:pPr>
      <w:r>
        <w:rPr>
          <w:rFonts w:ascii="Arial" w:cs="Arial" w:eastAsia="Arial" w:hAnsi="Arial"/>
          <w:sz w:val="12"/>
          <w:szCs w:val="12"/>
          <w:color w:val="auto"/>
        </w:rPr>
        <w:t>Repurchase of common stock Balances at December 31, 2013</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Retained Earnings</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20" w:type="dxa"/>
            <w:vAlign w:val="bottom"/>
            <w:tcBorders>
              <w:top w:val="single" w:sz="8" w:color="auto"/>
            </w:tcBorders>
          </w:tcPr>
          <w:p>
            <w:pPr>
              <w:jc w:val="right"/>
              <w:ind w:right="46"/>
              <w:spacing w:after="0"/>
              <w:rPr>
                <w:sz w:val="20"/>
                <w:szCs w:val="20"/>
                <w:color w:val="auto"/>
              </w:rPr>
            </w:pPr>
            <w:r>
              <w:rPr>
                <w:rFonts w:ascii="Arial" w:cs="Arial" w:eastAsia="Arial" w:hAnsi="Arial"/>
                <w:sz w:val="14"/>
                <w:szCs w:val="14"/>
                <w:color w:val="auto"/>
              </w:rPr>
              <w:t>39,277</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1,294,213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(34,384)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(266,862)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992,967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16,546</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1,009,513</w:t>
            </w:r>
          </w:p>
        </w:tc>
        <w:tc>
          <w:tcPr>
            <w:tcW w:w="0" w:type="dxa"/>
            <w:vAlign w:val="bottom"/>
          </w:tcPr>
          <w:p>
            <w:pPr>
              <w:spacing w:after="0"/>
              <w:rPr>
                <w:sz w:val="1"/>
                <w:szCs w:val="1"/>
                <w:color w:val="auto"/>
              </w:rPr>
            </w:pPr>
          </w:p>
        </w:tc>
      </w:tr>
      <w:tr>
        <w:trPr>
          <w:trHeight w:val="357"/>
        </w:trPr>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(10,708)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(10,708)</w:t>
            </w:r>
          </w:p>
        </w:tc>
        <w:tc>
          <w:tcPr>
            <w:tcW w:w="0" w:type="dxa"/>
            <w:vAlign w:val="bottom"/>
          </w:tcPr>
          <w:p>
            <w:pPr>
              <w:spacing w:after="0"/>
              <w:rPr>
                <w:sz w:val="1"/>
                <w:szCs w:val="1"/>
                <w:color w:val="auto"/>
              </w:rPr>
            </w:pPr>
          </w:p>
        </w:tc>
      </w:tr>
      <w:tr>
        <w:trPr>
          <w:trHeight w:val="244"/>
        </w:trPr>
        <w:tc>
          <w:tcPr>
            <w:tcW w:w="820" w:type="dxa"/>
            <w:vAlign w:val="bottom"/>
            <w:tcBorders>
              <w:top w:val="single" w:sz="8" w:color="auto"/>
            </w:tcBorders>
          </w:tcPr>
          <w:p>
            <w:pPr>
              <w:jc w:val="right"/>
              <w:ind w:right="46"/>
              <w:spacing w:after="0"/>
              <w:rPr>
                <w:sz w:val="20"/>
                <w:szCs w:val="20"/>
                <w:color w:val="auto"/>
              </w:rPr>
            </w:pPr>
            <w:r>
              <w:rPr>
                <w:rFonts w:ascii="Arial" w:cs="Arial" w:eastAsia="Arial" w:hAnsi="Arial"/>
                <w:sz w:val="14"/>
                <w:szCs w:val="14"/>
                <w:color w:val="auto"/>
              </w:rPr>
              <w:t>39,277</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1,294,213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(34,793)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(277,161)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982,259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16,546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998,805</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(153,153)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(153,153)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(150,934)</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13,489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13,489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13,454</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540"/>
        </w:trPr>
        <w:tc>
          <w:tcPr>
            <w:tcW w:w="820" w:type="dxa"/>
            <w:vAlign w:val="bottom"/>
          </w:tcPr>
          <w:p>
            <w:pPr>
              <w:jc w:val="right"/>
              <w:ind w:right="46"/>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1,771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1,771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270"/>
        </w:trPr>
        <w:tc>
          <w:tcPr>
            <w:tcW w:w="820" w:type="dxa"/>
            <w:vAlign w:val="bottom"/>
          </w:tcPr>
          <w:p>
            <w:pPr>
              <w:jc w:val="right"/>
              <w:ind w:right="46"/>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820" w:type="dxa"/>
            <w:vAlign w:val="bottom"/>
          </w:tcPr>
          <w:p>
            <w:pPr>
              <w:jc w:val="right"/>
              <w:ind w:right="46"/>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270"/>
        </w:trPr>
        <w:tc>
          <w:tcPr>
            <w:tcW w:w="820" w:type="dxa"/>
            <w:vAlign w:val="bottom"/>
          </w:tcPr>
          <w:p>
            <w:pPr>
              <w:jc w:val="right"/>
              <w:ind w:right="46"/>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3,528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3,528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3,528</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18,039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18,039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18,039</w:t>
            </w:r>
          </w:p>
        </w:tc>
        <w:tc>
          <w:tcPr>
            <w:tcW w:w="0" w:type="dxa"/>
            <w:vAlign w:val="bottom"/>
          </w:tcPr>
          <w:p>
            <w:pPr>
              <w:spacing w:after="0"/>
              <w:rPr>
                <w:sz w:val="1"/>
                <w:szCs w:val="1"/>
                <w:color w:val="auto"/>
              </w:rPr>
            </w:pPr>
          </w:p>
        </w:tc>
      </w:tr>
      <w:tr>
        <w:trPr>
          <w:trHeight w:val="351"/>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276"/>
        </w:trPr>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(645)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(26,977)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(26,977)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(26,977)</w:t>
            </w: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39,149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1,290,629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(21,304)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(430,314)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839,011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17,735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856,746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-2734945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-2340610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-1997710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-1654810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-1311275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-916940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-574040</wp:posOffset>
            </wp:positionV>
            <wp:extent cx="72466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-179705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2700" w:space="40"/>
            <w:col w:w="86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(23,670)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(22,300)</w:t>
            </w: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w w:val="93"/>
              </w:rPr>
              <w:t>Other comprehensive income (loss), net of tax</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(113,756)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(113,756)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(113,756)</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(1,564)</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Stock issues and repurchases: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Options exercised</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1,621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1,621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Restricted stock awards released</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6"/>
              </w:rPr>
              <w:t>Issuance of stock-based compensation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awards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936</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Employee stock purchase plan</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2,247</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16,924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16,924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16,924</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40" w:type="dxa"/>
            <w:vAlign w:val="bottom"/>
          </w:tcPr>
          <w:p>
            <w:pPr>
              <w:ind w:left="380"/>
              <w:spacing w:after="0" w:line="157" w:lineRule="exact"/>
              <w:rPr>
                <w:sz w:val="20"/>
                <w:szCs w:val="20"/>
                <w:color w:val="auto"/>
              </w:rPr>
            </w:pPr>
            <w:r>
              <w:rPr>
                <w:rFonts w:ascii="Arial" w:cs="Arial" w:eastAsia="Arial" w:hAnsi="Arial"/>
                <w:sz w:val="14"/>
                <w:szCs w:val="14"/>
                <w:color w:val="auto"/>
              </w:rPr>
              <w:t>Employee stock plans income tax</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380"/>
              <w:spacing w:after="0"/>
              <w:rPr>
                <w:sz w:val="20"/>
                <w:szCs w:val="20"/>
                <w:color w:val="auto"/>
              </w:rPr>
            </w:pPr>
            <w:r>
              <w:rPr>
                <w:rFonts w:ascii="Arial" w:cs="Arial" w:eastAsia="Arial" w:hAnsi="Arial"/>
                <w:sz w:val="14"/>
                <w:szCs w:val="14"/>
                <w:color w:val="auto"/>
              </w:rPr>
              <w:t>deficiencies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(2,647)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(2,647)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(2,647)</w:t>
            </w: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of common stock</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(986)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(39,665)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(39,665)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(39,665)</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rPr>
                <w:sz w:val="20"/>
                <w:szCs w:val="20"/>
                <w:color w:val="auto"/>
              </w:rPr>
            </w:pPr>
            <w:r>
              <w:rPr>
                <w:rFonts w:ascii="Arial" w:cs="Arial" w:eastAsia="Arial" w:hAnsi="Arial"/>
                <w:sz w:val="14"/>
                <w:szCs w:val="14"/>
                <w:color w:val="auto"/>
              </w:rPr>
              <w:t>Balances at December 31, 2014</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38,591</w:t>
            </w:r>
          </w:p>
        </w:tc>
        <w:tc>
          <w:tcPr>
            <w:tcW w:w="120" w:type="dxa"/>
            <w:vAlign w:val="bottom"/>
          </w:tcPr>
          <w:p>
            <w:pPr>
              <w:spacing w:after="0"/>
              <w:rPr>
                <w:sz w:val="14"/>
                <w:szCs w:val="14"/>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1,270,045</w:t>
            </w:r>
          </w:p>
        </w:tc>
        <w:tc>
          <w:tcPr>
            <w:tcW w:w="120" w:type="dxa"/>
            <w:vAlign w:val="bottom"/>
          </w:tcPr>
          <w:p>
            <w:pPr>
              <w:spacing w:after="0"/>
              <w:rPr>
                <w:sz w:val="14"/>
                <w:szCs w:val="14"/>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(135,060)</w:t>
            </w:r>
          </w:p>
        </w:tc>
        <w:tc>
          <w:tcPr>
            <w:tcW w:w="120" w:type="dxa"/>
            <w:vAlign w:val="bottom"/>
          </w:tcPr>
          <w:p>
            <w:pPr>
              <w:spacing w:after="0"/>
              <w:rPr>
                <w:sz w:val="14"/>
                <w:szCs w:val="14"/>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(453,984)</w:t>
            </w:r>
          </w:p>
        </w:tc>
        <w:tc>
          <w:tcPr>
            <w:tcW w:w="100" w:type="dxa"/>
            <w:vAlign w:val="bottom"/>
          </w:tcPr>
          <w:p>
            <w:pPr>
              <w:spacing w:after="0"/>
              <w:rPr>
                <w:sz w:val="14"/>
                <w:szCs w:val="14"/>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681,001</w:t>
            </w:r>
          </w:p>
        </w:tc>
        <w:tc>
          <w:tcPr>
            <w:tcW w:w="120" w:type="dxa"/>
            <w:vAlign w:val="bottom"/>
          </w:tcPr>
          <w:p>
            <w:pPr>
              <w:spacing w:after="0"/>
              <w:rPr>
                <w:sz w:val="14"/>
                <w:szCs w:val="14"/>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17,541</w:t>
            </w:r>
          </w:p>
        </w:tc>
        <w:tc>
          <w:tcPr>
            <w:tcW w:w="10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698,542</w:t>
            </w:r>
          </w:p>
        </w:tc>
        <w:tc>
          <w:tcPr>
            <w:tcW w:w="0" w:type="dxa"/>
            <w:vAlign w:val="bottom"/>
          </w:tcPr>
          <w:p>
            <w:pPr>
              <w:spacing w:after="0"/>
              <w:rPr>
                <w:sz w:val="1"/>
                <w:szCs w:val="1"/>
                <w:color w:val="auto"/>
              </w:rPr>
            </w:pPr>
          </w:p>
        </w:tc>
      </w:tr>
      <w:tr>
        <w:trPr>
          <w:trHeight w:val="74"/>
        </w:trPr>
        <w:tc>
          <w:tcPr>
            <w:tcW w:w="274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vMerge w:val="continue"/>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12,678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12,678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2,325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15,003</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Other comprehensive income (loss), net of tax</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(65,547)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(65,547)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(65,547)</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(1,921)</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issues and repurchases: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Options exercised</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Restricted stock awards released</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40" w:type="dxa"/>
            <w:vAlign w:val="bottom"/>
          </w:tcPr>
          <w:p>
            <w:pPr>
              <w:ind w:left="380"/>
              <w:spacing w:after="0" w:line="157" w:lineRule="exact"/>
              <w:rPr>
                <w:sz w:val="20"/>
                <w:szCs w:val="20"/>
                <w:color w:val="auto"/>
              </w:rPr>
            </w:pPr>
            <w:r>
              <w:rPr>
                <w:rFonts w:ascii="Arial" w:cs="Arial" w:eastAsia="Arial" w:hAnsi="Arial"/>
                <w:sz w:val="14"/>
                <w:szCs w:val="14"/>
                <w:color w:val="auto"/>
                <w:w w:val="96"/>
              </w:rPr>
              <w:t>Issuance of stock-based compensation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380"/>
              <w:spacing w:after="0"/>
              <w:rPr>
                <w:sz w:val="20"/>
                <w:szCs w:val="20"/>
                <w:color w:val="auto"/>
              </w:rPr>
            </w:pPr>
            <w:r>
              <w:rPr>
                <w:rFonts w:ascii="Arial" w:cs="Arial" w:eastAsia="Arial" w:hAnsi="Arial"/>
                <w:sz w:val="14"/>
                <w:szCs w:val="14"/>
                <w:color w:val="auto"/>
              </w:rPr>
              <w:t>awards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Employee stock purchase plan</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1,819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1,819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1,819</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13,384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13,384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13,384</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Employee stock plans income tax</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deficiencies</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(1,853)</w:t>
            </w: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Repurchase of common stock</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(1,079)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(38,283)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(38,283)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(38,283)</w:t>
            </w:r>
          </w:p>
        </w:tc>
        <w:tc>
          <w:tcPr>
            <w:tcW w:w="0" w:type="dxa"/>
            <w:vAlign w:val="bottom"/>
          </w:tcPr>
          <w:p>
            <w:pPr>
              <w:spacing w:after="0"/>
              <w:rPr>
                <w:sz w:val="1"/>
                <w:szCs w:val="1"/>
                <w:color w:val="auto"/>
              </w:rPr>
            </w:pPr>
          </w:p>
        </w:tc>
      </w:tr>
      <w:tr>
        <w:trPr>
          <w:trHeight w:val="74"/>
        </w:trPr>
        <w:tc>
          <w:tcPr>
            <w:tcW w:w="274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December 31, 2015</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37,906</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1,246,671</w:t>
            </w: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(200,607)</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(441,306)</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604,758</w:t>
            </w: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17,945</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622,703</w:t>
            </w:r>
          </w:p>
        </w:tc>
        <w:tc>
          <w:tcPr>
            <w:tcW w:w="0" w:type="dxa"/>
            <w:vAlign w:val="bottom"/>
          </w:tcPr>
          <w:p>
            <w:pPr>
              <w:spacing w:after="0"/>
              <w:rPr>
                <w:sz w:val="1"/>
                <w:szCs w:val="1"/>
                <w:color w:val="auto"/>
              </w:rPr>
            </w:pPr>
          </w:p>
        </w:tc>
      </w:tr>
      <w:tr>
        <w:trPr>
          <w:trHeight w:val="60"/>
        </w:trPr>
        <w:tc>
          <w:tcPr>
            <w:tcW w:w="274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15,003</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(150,934)</w:t>
            </w:r>
          </w:p>
        </w:tc>
      </w:tr>
      <w:tr>
        <w:trPr>
          <w:trHeight w:val="229"/>
        </w:trPr>
        <w:tc>
          <w:tcPr>
            <w:tcW w:w="6060" w:type="dxa"/>
            <w:vAlign w:val="bottom"/>
          </w:tcPr>
          <w:p>
            <w:pPr>
              <w:ind w:left="380"/>
              <w:spacing w:after="0"/>
              <w:rPr>
                <w:sz w:val="20"/>
                <w:szCs w:val="20"/>
                <w:color w:val="auto"/>
              </w:rPr>
            </w:pPr>
            <w:r>
              <w:rPr>
                <w:rFonts w:ascii="Arial" w:cs="Arial" w:eastAsia="Arial" w:hAnsi="Arial"/>
                <w:sz w:val="18"/>
                <w:szCs w:val="18"/>
                <w:color w:val="auto"/>
                <w:w w:val="92"/>
              </w:rPr>
              <w:t>Adjustments to reconcile net income (loss) to net cash provided by operating</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060" w:type="dxa"/>
            <w:vAlign w:val="bottom"/>
          </w:tcPr>
          <w:p>
            <w:pPr>
              <w:ind w:left="380"/>
              <w:spacing w:after="0"/>
              <w:rPr>
                <w:sz w:val="20"/>
                <w:szCs w:val="20"/>
                <w:color w:val="auto"/>
              </w:rPr>
            </w:pPr>
            <w:r>
              <w:rPr>
                <w:rFonts w:ascii="Arial" w:cs="Arial" w:eastAsia="Arial" w:hAnsi="Arial"/>
                <w:sz w:val="18"/>
                <w:szCs w:val="18"/>
                <w:color w:val="auto"/>
              </w:rPr>
              <w:t>activities:</w:t>
            </w: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75,993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98,139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99,246</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14,089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17,860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18,850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Deferred taxes,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(34,757)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(25,308)</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Goodwill impairment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174,226</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Restructuring, non-cash</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5,172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1,259</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adjustments, net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(52,737)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7,208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(12,391)</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(9,950)</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(3,721)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(2,298)</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payables, other current liabilities, and taxes payable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(4,466)</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Wages and benefits payable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7,502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8,744</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Warranty</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(6,546)</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net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2,871</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73,350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132,973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105,421</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(43,918)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(60,020)</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Business acquisitions, net of cash equivalents acquired</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4,109</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(48,951)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(41,496)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(56,771)</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borrowings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113,467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Payments on debt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(62,998)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(102,438)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(73,750)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5,299</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(38,283)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(39,665)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(26,977)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financing, net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2,990</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(91,877)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(57,438)</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(13,492)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(12,034)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(2,818)</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112,371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124,805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136,411</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131,018</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112,371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124,805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Cash paid during the period for:</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29,189</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18,659</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Interest, net of amounts capitalized</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10,198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9,912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9,026</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78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784"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provide a portfolio of solutions to utilities for the electricity, gas, and water markets throughout the world.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financial statements presented in this Annual Report include the Consolidated Statements of Operations, Comprehensive Income (Loss), Equity, and Cash Flows for the years ended December 31, 2015, 2014, and 2013 and the Consolidated Balance Sheets as of December 31, 2015 and 2014 of Itron, Inc. and its subsidiaries.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50% or less investment and exercise significant influence. Entities in which we have less than a 20% investment and where we do not exercise significant influence are accounted for under the cost method. Intercompany transactions and balances are eliminated upon consolidation.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Noncontrolling Interests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several of our consolidated international subsidiaries, we have joint venture partners, who are minority shareholders. Although these entities are not wholly-owned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as well as contributions from and distributions to the owners. The noncontrolling interest balance in our Consolidated Balance Sheets represents the proportional share of the equity of the joint venture entities, which is attributable to the minority shareholders.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Acquisitions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August 26, 2015, we completed our acquisition of 100% of Temetra Limited (Temetra) in a stock purchase. Temetra is a technology company located in Ireland and focused on meter data management and meter data collection in the water industry with a software-as-a-service business model. The acquisition strengthens our data analytics capabilities and provides us with additional cloud-based technology options for our water utility customers. The purchase price of Temetra was $9.8 million (net of $1.4 million of cash and cash equivalents acquired). Refer to Note 6 for additional information about this acquisition.</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We record an allowance for doubtful accounts representing our estimate of the probable 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(Level 2), as defined by GAAP. 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recorded as a component of other comprehensive income (loss) (OCI) and are recognized in earnings when the hedged item affects earnings. Ineffective portions of cash flow hedges are recognized in other income (expense) in the Consolidated Statements of Operations. For a hedge of a net investment, the effective portion of any unrealized gain or loss from the foreign currency revaluation of the hedging instrument is reported in OCI as a net unrealized gain or loss on derivative instruments. Upon termination of a net investment hedge, the net derivative gain/loss will remain in accumulated other comprehensive income (loss) (AOCI) until such time when earnings are impacted by a sale or liquidation of the associated operations.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are not used for trading or speculative purposes. Our derivatives are with credit worthy multinational commercial banks, with whom we have master netting agreements; however, our derivative positions are not recorded on a net basis in the Consolidated Balance Sheets. There are no credit-risk-related contingent features within our derivative instruments. Refer to Note 8 and Note 15 for further disclosures of our derivative instruments and their impact on OCI.</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Property, plant, and equipment are stated at cost less accumulated depreciation. Depreciation is computed using the straight-line method over the estimated useful lives of the assets, generally 30 years for buildings and improvements and three to ten years for machinery and equipment, computers and software, and furniture. Leasehold improvements are capitalized and depreciated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 of Operations according to the use of the asset, except those gains and losses recognized in conjunction with our restructuring activities, which are classified within restructuring expense.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terms of the respective borrowings, including contingent maturity or call features, using the effective interest method, or straight-line method when associated with a revolving credit facility. When debt is repaid early, the related portion of unamortized prepaid debt fees is written-off and included in interest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the date of acquisition, the assets acquired, liabilities assumed, and any noncontrolling interests in the acquiree are recorded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recorded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recorded value of the associated IPR&amp;D is immediately expensed.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The residual balance of the purchase price, after fair value allocations to all identified assets and liabilities, represents goodwill.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Acquisition-related costs are expensed as incurred. Restructuring costs associated with an acquisition are generally expensed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 us to recognize the fair value of the estimated liability at the time of the acquisition. Subsequent changes in the estimate of the amount to be paid under the contingent consideration arrangement are recognized in the Consolidated Statements of Operations. Cash payments for contingent or deferred consideration are classified within cash flows from investing activities within the Consolidated Statements of Cash Flows.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and intangible assets may result from our business acquisitions. Intangible assets may also result from the purchase of assets and intellectual property in a transaction that does not qualify as a business combination.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Each reporting unit corresponds with its respective operating segment, effective in the fourth quarter of 2013.</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is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 the actual results at the end of the year may result in awards that are significantly greater or less than the estimates made in earlier quarters.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offer standard warranties on our hardware products and large application software products. We accrue the estimated cost of new product warranties based on historical and projected product performance trends and costs during the warranty period. Testing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termination of a contract in accordance with the contract terms or the cessation of the use of the rights conveyed by the contract, whichever occurs later.</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recorded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recorded within restructuring expense in the Consolidated Statements of Operations.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sponsor both funded and unfunded defined benefit pension plans for certain international employees.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 If actuarial gains and losses exceed ten percent of the greater of plan assets or plan liabilities, we amortize them over the employees' average future service period.</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may repurchase shares of Itron common stock under programs authorized by our Board of Directors. Share repurchases are made in the open market or in privately negotiated transactions and in accordance with applicable securities laws. Under applicable Washington State law, shares repurchased are retired and not displayed separately as treasury stock on the financial statements; the value of the repurchased shares is deducted from common stock.</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of our revenue arrangements involve multiple deliverables, which combine two or more of the following: hardware, meter reading system software, installation, and/or project management services. Revenue arrangements with multiple deliverables are divided into separate units of accounting if the delivered item(s) has value to the customer on a standalone basis and delivery/performance of the undelivered item(s) is probable. The total arrangement consideration is allocated among the separate units of accounting based on their relative fair values and the applicable revenue recognition criteria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loss. The majority of our revenue is recognized when products are shipped to or received by a customer or when services are provided.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Hardware revenues are recognized at the time of shipment, receipt by the customer, or, if applicable, upon completion of customer acceptance provisions.</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our OpenWay network software and services is recognized using the units-of-delivery method of contract accounting, as network design services and network software are essential to the functionality of the related hardware (network). This methodology results in the deferral of costs and revenues as professional services and software implementation commence prior to deployment of hardware.</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unusual instances when we are unable to reliably estimate the cost to complete a contract at its inception, we use the completed contract method of contract accounting. Revenues and costs are recognized upon substantial completion when remaining costs are insignificant and potential risks are minimal.</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contract accounting, if we estimate that the completion of a contract component (unit of accounting) will result in a loss, the loss is recognized in the period in which the loss becomes evident.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customer arrangements contain clauses for liquidated damages, related to the timing of delivery or milestone accomplishments, which could become material in an event of failure to meet the contractual deadlines. At the inception of the arrangement and on an ongoing basis, we evaluate if the liquidating damages represent contingent revenue and, if so, we reduce the amount of consideration allocated to the delivered products and services and record it as a reduction in revenue in the period of default. If the arrangement is subject to contract accounting, liquidated damages resulting from anticipated events of default are estimated and are accounted for as job costs in the period in which the liquidated damages are deemed probable of occurrence and are reasonably estimable.</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software customers often purchase a combination of software, service, and post contract customer support. For these types of arrangement, revenue recognition is dependent upon the availability of vendor specific objective evidence (VSOE) of fair value for any undelivered element. We determine VSOE by reference to the range of comparable standalone sales or stated renewals. We review these standalone sales or renewals on at least an annual basis. If VSOE is established for all undelivered elements in the contract, revenue is recognized for delivered elements when all other revenue recognition criteria are met. Where VSOE of all undelivered elements is not established, revenue for software and software related elements is deferred until all software products have been delivered, all software related services have commenced, and undelivered services do not include significant production, customization or modification. Revenue would be recognized over the longest period that services would be provided.</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allocate consideration to each deliverable in an arrangement based on its relative selling price. We determine selling price using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the cost to produce the deliverable, the anticipated margin on that deliverable, our ongoing pricing strategy and policies, and the characteristics of the varying markets in which the deliverable is sold.</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Unearned revenue is recorded when a customer pays for products or services, but the criteria for revenue recognition have not been met as of the balance sheet date. Unearned revenues of $139.5 million and $134.1 million at December 31, 2015 and 2014 related primarily to professional services and software associated with our smart metering contracts, extended or noncustomary warranty, and prepaid post-contract support. Deferred costs are recorded for products or services for which ownership (typically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defined as title and risk of loss) has transferred to the customer, but the criteria for revenue recognition have not been met as of the balance sheet date.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Deferred costs were $56.6 million and $63.4 million at December 31, 2015 and 2014 and are recorded within other assets in the Consolidated Balance Sheets.</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We do not capitalize product development costs, and we do not generally capitalize software development expenses as the costs incurred are immaterial for the relatively short period of time between technological feasibility and the completion of software development.</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For ESPP awards, the fair value is the difference between the market close price of our common stock on the date of purchase and the discounted purchase price. For performance-based restricted stock units and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performance and service conditions, if vesting is probable, we expense the stock-based compensation, adjusted for estimated forfeitures, on a straight-line basis over the requisite service period for each separately vesting portion of the award. For awards with a market condition, we expense the fair value over the requisite service period.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October 1, 2013, we changed the terms of the ESPP to reduce the discount to 5% from the fair market value of the stock at the end of each fiscal quarter. As a result of this change, the ESPP is no longer considered compensatory, and no compensation expense is recognized for sales of our common stock to employees.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account for income taxes using the asset and liability method of accounting. Deferred tax assets and liabilities are recognized based upon anticipated future tax consequences, in each of the jurisdictions that we operate, attributable to: (1) the differences between the financial statement carrying amounts of existing assets and liabilities and their respective income tax bases; and (2) net operating loss and tax credit carryforwards.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legislation and/or rates is recognized in the period that includes the enactment date. A valuation allowance is recorded to reduce the carrying amounts of deferred tax assets if it is not more likely than not that such assets will be realized. We do not record tax liabilities on undistributed earnings of international subsidiaries that are permanently reinvested.</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 weighted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 Foreign currency losses, net of hedging, were $3.0 million in 2015, compared with net foreign currency losses of $5.1 million in 2014 and $3.3 million in 2013.</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to supersede nearly all existing revenue recognition guidance under U.S. GAAP. The core principle of ASU 2014-09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recognize revenues when promised goods or services are transferred to customers in an amount that reflects the consideration that is expected to be received for those goods or services. In August 2015, the FASB issued ASU 2015-14, </w:t>
      </w:r>
      <w:r>
        <w:rPr>
          <w:rFonts w:ascii="Arial" w:cs="Arial" w:eastAsia="Arial" w:hAnsi="Arial"/>
          <w:sz w:val="16"/>
          <w:szCs w:val="16"/>
          <w:i w:val="1"/>
          <w:iCs w:val="1"/>
          <w:color w:val="auto"/>
        </w:rPr>
        <w:t>Revenue from Contracts with Customers: Deferral of the Effective Date</w:t>
      </w:r>
      <w:r>
        <w:rPr>
          <w:rFonts w:ascii="Arial" w:cs="Arial" w:eastAsia="Arial" w:hAnsi="Arial"/>
          <w:sz w:val="16"/>
          <w:szCs w:val="16"/>
          <w:color w:val="auto"/>
        </w:rPr>
        <w:t xml:space="preserve"> (ASU 2015-14), which deferred the effective date for implementation of ASU 2014-09 by one year and is now effective for annual reporting periods beginning after December 15, 2017, with early adoption permitted but not earlier than the original effective date. In March 2016, the FASB issued ASU 2016-08, </w:t>
      </w:r>
      <w:r>
        <w:rPr>
          <w:rFonts w:ascii="Arial" w:cs="Arial" w:eastAsia="Arial" w:hAnsi="Arial"/>
          <w:sz w:val="16"/>
          <w:szCs w:val="16"/>
          <w:i w:val="1"/>
          <w:iCs w:val="1"/>
          <w:color w:val="auto"/>
        </w:rPr>
        <w:t>Principal versus Agent Considerations (Reporting Revenue Gross versus Net)</w:t>
      </w:r>
      <w:r>
        <w:rPr>
          <w:rFonts w:ascii="Arial" w:cs="Arial" w:eastAsia="Arial" w:hAnsi="Arial"/>
          <w:sz w:val="16"/>
          <w:szCs w:val="16"/>
          <w:color w:val="auto"/>
        </w:rPr>
        <w:t xml:space="preserve"> (ASU 2016-08), which clarifies the implementation guidance of principal versus agent considerations. In April 2016, the FASB issued ASU 2016-10,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xml:space="preserve"> (ASU 2016-10), which clarifies the identification of performance obligations and licensing implementation guidance. In May 2016, the FASB issued ASU 2016-12, </w:t>
      </w:r>
      <w:r>
        <w:rPr>
          <w:rFonts w:ascii="Arial" w:cs="Arial" w:eastAsia="Arial" w:hAnsi="Arial"/>
          <w:sz w:val="16"/>
          <w:szCs w:val="16"/>
          <w:i w:val="1"/>
          <w:iCs w:val="1"/>
          <w:color w:val="auto"/>
        </w:rPr>
        <w:t>Narrow-Scope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and Practical Expedients </w:t>
      </w:r>
      <w:r>
        <w:rPr>
          <w:rFonts w:ascii="Arial" w:cs="Arial" w:eastAsia="Arial" w:hAnsi="Arial"/>
          <w:sz w:val="16"/>
          <w:szCs w:val="16"/>
          <w:color w:val="auto"/>
        </w:rPr>
        <w:t>(ASU 2016-12), to improve guidance on assessing collectability, presentation of sales taxes, noncash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completed contracts and contract modifications at transition. The effective date and transition requirements in ASU 2016-08, ASU 2016-10, and ASU 2016-12 are the same as the effective date and transition requirements of ASU 2015-14. We have not yet selected a transition method and we are currently evaluating the effect that the updated standard will have on our consolidated financial statements and related disclosures.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Interest - Imputation of Interes</w:t>
      </w:r>
      <w:r>
        <w:rPr>
          <w:rFonts w:ascii="Arial" w:cs="Arial" w:eastAsia="Arial" w:hAnsi="Arial"/>
          <w:sz w:val="17"/>
          <w:szCs w:val="17"/>
          <w:color w:val="auto"/>
        </w:rPr>
        <w:t xml:space="preserve">t (ASU 2015-03). ASU 2015-03 requires that debt issuance costs related to a recognized debt liability be presented in the balance sheet as a direct deduction from the carrying amount of the corresponding debt liability. In August 2015, the FASB issued Accounting Standards Update 2015-15, </w:t>
      </w:r>
      <w:r>
        <w:rPr>
          <w:rFonts w:ascii="Arial" w:cs="Arial" w:eastAsia="Arial" w:hAnsi="Arial"/>
          <w:sz w:val="17"/>
          <w:szCs w:val="17"/>
          <w:i w:val="1"/>
          <w:iCs w:val="1"/>
          <w:color w:val="auto"/>
        </w:rPr>
        <w:t>Interest - Imputation of Interest: Presentation and Subsequent Measurement of Debt Issuance Costs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Associated with Line-of-Credit Arrangements </w:t>
      </w:r>
      <w:r>
        <w:rPr>
          <w:rFonts w:ascii="Arial" w:cs="Arial" w:eastAsia="Arial" w:hAnsi="Arial"/>
          <w:sz w:val="17"/>
          <w:szCs w:val="17"/>
          <w:color w:val="auto"/>
        </w:rPr>
        <w:t>(ASU 2015-15). ASU 2015-15 provides additional guidance on the presentation and subsequent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debt issuance costs associated with line-of-credit arrangements. ASU 2015-03 and ASU 2015-15 are effective for interim and annual periods beginning after December 15, 2015, with early adoption permitted, and is to be applied on a retrospective basis. Effective January 1, 2016, we adopted the provisions of ASU 2015-03 and ASU 2015-15. The adoption of the provisions of ASU 2015-03 and ASU 2015-15 will not materially impact our consolidated financial statements and related disclosures.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April 2015, the FASB issued ASU 2015-05, </w:t>
      </w:r>
      <w:r>
        <w:rPr>
          <w:rFonts w:ascii="Arial" w:cs="Arial" w:eastAsia="Arial" w:hAnsi="Arial"/>
          <w:sz w:val="18"/>
          <w:szCs w:val="18"/>
          <w:i w:val="1"/>
          <w:iCs w:val="1"/>
          <w:color w:val="auto"/>
        </w:rPr>
        <w:t>Intangibles - Goodwill and Other - Internal-Use Software (Subtopic 350-40),</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Customer's Accounting for Fees Paid in a Cloud Computing Arrangement </w:t>
      </w:r>
      <w:r>
        <w:rPr>
          <w:rFonts w:ascii="Arial" w:cs="Arial" w:eastAsia="Arial" w:hAnsi="Arial"/>
          <w:sz w:val="18"/>
          <w:szCs w:val="18"/>
          <w:color w:val="auto"/>
        </w:rPr>
        <w:t>(ASU 2015-05), which provides guidance about whether a cloud computing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ASU 2015-05 is effective for us on January 1, 2016. We adopted this standard on January 1, 2016, and we do not anticipate a material impact from adoption.</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Inventory (Topic 330) - Simplifying the Measurement of Inventory</w:t>
      </w:r>
      <w:r>
        <w:rPr>
          <w:rFonts w:ascii="Arial" w:cs="Arial" w:eastAsia="Arial" w:hAnsi="Arial"/>
          <w:sz w:val="17"/>
          <w:szCs w:val="17"/>
          <w:color w:val="auto"/>
        </w:rPr>
        <w:t xml:space="preserve"> (ASU 2015-11). The amendments in ASU 2015-11 apply to inventory measured using first-in, first-out (FIFO) or average cost and will require entities to measure inventory at the lower of cost and net realizable value. Net realizable value is the estimated selling price in the normal course of business, minus the cost of completion, disposal and transportation. Replacement cost and net realizable value less a normal profit margin will no longer be considered. ASU 2015-11 is effective for us on January 1, 2017. The adoption of this guidance is not expected to have a material impact on our consolidated financial statements.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September 2015, the FASB issued ASU 2015-16, </w:t>
      </w:r>
      <w:r>
        <w:rPr>
          <w:rFonts w:ascii="Arial" w:cs="Arial" w:eastAsia="Arial" w:hAnsi="Arial"/>
          <w:sz w:val="18"/>
          <w:szCs w:val="18"/>
          <w:i w:val="1"/>
          <w:iCs w:val="1"/>
          <w:color w:val="auto"/>
        </w:rPr>
        <w:t>Business Combinations (Topic 805) - Simplifying the Accounting for Measurement-Period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Adjustments. </w:t>
      </w:r>
      <w:r>
        <w:rPr>
          <w:rFonts w:ascii="Arial" w:cs="Arial" w:eastAsia="Arial" w:hAnsi="Arial"/>
          <w:sz w:val="18"/>
          <w:szCs w:val="18"/>
          <w:color w:val="auto"/>
        </w:rPr>
        <w:t>The amendments in this update require that an acquirer recognize adjustments to provisional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amounts that are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will be recorded in the same period’s financial statements, calculated as if the accounting had been completed at the acquisition date. This ASU is effective for fiscal years beginning after December 15, 2015, and early adoption is permitted. The amendments in this update should be applied prospectively to adjustments to provisional amounts that occur after the effective date of this update with earlier application permitted for financial statements that have not been issued. We adopted this ASU on October 1, 2015, and the adoption of this guidance did not have a material impact on our consolidated financial statements.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 (Topic 740)</w:t>
      </w:r>
      <w:r>
        <w:rPr>
          <w:rFonts w:ascii="Arial" w:cs="Arial" w:eastAsia="Arial" w:hAnsi="Arial"/>
          <w:sz w:val="18"/>
          <w:szCs w:val="18"/>
          <w:color w:val="auto"/>
        </w:rPr>
        <w:t xml:space="preserve"> (ASU 2015-17). ASU 2015-17 requires deferred tax liabilities and assets to be classified as noncurrent in the Consolidated Balance Sheet. The standard will be effective for financial statements issued for annual periods beginning after December 15, 2016, and interim periods within those annual periods. Early adoption is permitted for financial statements that have not been previously issued. The ASU may be applied either prospectively to all deferred tax liabilities and assets or retrospectively to all periods presented. We adopted this ASU on a prospective basis in the fourth quarter of 2015.</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requires substantially all leases be recognized by lessees on their balance sheet as a right-of-use asset and corresponding lease liability, including leases currently accounted for as operating leases. The new standard also will result in enhanced quantitative and qualitative disclosures, including significant judgments made by management, to provide greater insight into the extent of revenue and expense recognized and expected to be recognized from existing leases. The standard requires modified retrospective adoption and will be effective for annual reporting periods beginning after December 15, 2018, with early adoption permitted. We are currently assessing the basis of adoption and evaluating the impact of the adoption of the update on our consolidated financial statements.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2016, the FASB issued ASU 2016-07, </w:t>
      </w:r>
      <w:r>
        <w:rPr>
          <w:rFonts w:ascii="Arial" w:cs="Arial" w:eastAsia="Arial" w:hAnsi="Arial"/>
          <w:sz w:val="17"/>
          <w:szCs w:val="17"/>
          <w:i w:val="1"/>
          <w:iCs w:val="1"/>
          <w:color w:val="auto"/>
        </w:rPr>
        <w:t>Investments - Equity Method and Joint Ventures (Topic 323)</w:t>
      </w:r>
      <w:r>
        <w:rPr>
          <w:rFonts w:ascii="Arial" w:cs="Arial" w:eastAsia="Arial" w:hAnsi="Arial"/>
          <w:sz w:val="17"/>
          <w:szCs w:val="17"/>
          <w:color w:val="auto"/>
        </w:rPr>
        <w:t xml:space="preserve"> (ASU 2016-07), which simplified the accounting for equity method investments by eliminating the requirement that an entity retroactively adopt the equity method of accounting if an investment qualifies for use of the equity method as a result of an increase in the level of ownership or degree of influence.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ASU 2016-07 is effective for us on January 1, 2017. The adoption of this guidance is not expected to have a material impact on our consolidated financial statements.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which simplifies several areas within Topic 718. These include the income tax consequences, classification of awards as either equity or liabilities, and classification on the statement of cash flows. The standard will be effective for annual reporting periods beginning after December 15, 2016, with early adoption permitted. We are currently assessing the basis of adoption and evaluating the impact of the adoption of the update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Revision of Prior Period Financial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revised the previously reported consolidated financial statements for the years ended December 31, 2014 and 2013. Additionally, we revised the unaudited quarterly financial information for each quarter in the fiscal year ended December 31, 2014, and the first three quarters of fiscal 2015 as shown in Note 18. Adjustments related to periods prior to January 1, 2013 are reflected as an adjustment to beginning retained earnings for the year ended December 31, 2013. All impacted financial statement line items and related footnotes reflect these revisions.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revision reflects adjustments primarily related to the following areas:</w:t>
      </w:r>
    </w:p>
    <w:p>
      <w:pPr>
        <w:spacing w:after="0" w:line="23" w:lineRule="exact"/>
        <w:rPr>
          <w:sz w:val="20"/>
          <w:szCs w:val="20"/>
          <w:color w:val="auto"/>
        </w:rPr>
      </w:pPr>
    </w:p>
    <w:p>
      <w:pPr>
        <w:jc w:val="both"/>
        <w:ind w:left="660" w:hanging="328"/>
        <w:spacing w:after="0" w:line="28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Adjustments to arrangements including software where VSOE of fair value did not exist for undelivered elements and the determination of whether software was essential to the functionality of certain hardware. To correct these items, revenues and costs associated with certain software license agreements and related services were deferred and recognized ratably from the point at which customization or modification had been completed and all services have commenced, through the date services are completed or the Postcontract Customer Support term, whichever was longer.</w:t>
      </w:r>
    </w:p>
    <w:p>
      <w:pPr>
        <w:spacing w:after="0" w:line="2"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Adjustments previously identified that were considered immaterial and had not been corrected. These adjustments have now been reflected in the periods in which the item arose.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20" w:type="dxa"/>
            <w:vAlign w:val="bottom"/>
          </w:tcPr>
          <w:p>
            <w:pPr>
              <w:ind w:left="20"/>
              <w:spacing w:after="0"/>
              <w:rPr>
                <w:sz w:val="20"/>
                <w:szCs w:val="20"/>
                <w:color w:val="auto"/>
              </w:rPr>
            </w:pPr>
            <w:r>
              <w:rPr>
                <w:rFonts w:ascii="Arial" w:cs="Arial" w:eastAsia="Arial" w:hAnsi="Arial"/>
                <w:sz w:val="16"/>
                <w:szCs w:val="16"/>
                <w:i w:val="1"/>
                <w:iCs w:val="1"/>
                <w:color w:val="auto"/>
              </w:rPr>
              <w:t>Statement of operations data:</w:t>
            </w:r>
          </w:p>
        </w:tc>
        <w:tc>
          <w:tcPr>
            <w:tcW w:w="540" w:type="dxa"/>
            <w:vAlign w:val="bottom"/>
          </w:tcPr>
          <w:p>
            <w:pPr>
              <w:spacing w:after="0"/>
              <w:rPr>
                <w:sz w:val="18"/>
                <w:szCs w:val="18"/>
                <w:color w:val="auto"/>
              </w:rPr>
            </w:pPr>
          </w:p>
        </w:tc>
        <w:tc>
          <w:tcPr>
            <w:tcW w:w="3500" w:type="dxa"/>
            <w:vAlign w:val="bottom"/>
            <w:gridSpan w:val="6"/>
          </w:tcPr>
          <w:p>
            <w:pPr>
              <w:jc w:val="center"/>
              <w:ind w:left="699"/>
              <w:spacing w:after="0"/>
              <w:rPr>
                <w:sz w:val="20"/>
                <w:szCs w:val="20"/>
                <w:color w:val="auto"/>
              </w:rPr>
            </w:pPr>
            <w:r>
              <w:rPr>
                <w:rFonts w:ascii="Arial" w:cs="Arial" w:eastAsia="Arial" w:hAnsi="Arial"/>
                <w:sz w:val="16"/>
                <w:szCs w:val="16"/>
                <w:b w:val="1"/>
                <w:bCs w:val="1"/>
                <w:color w:val="auto"/>
                <w:w w:val="91"/>
              </w:rPr>
              <w:t>Year Ended December 31, 2014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2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As Previously Reported</w:t>
            </w:r>
          </w:p>
        </w:tc>
        <w:tc>
          <w:tcPr>
            <w:tcW w:w="26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Adjustments</w:t>
            </w:r>
          </w:p>
        </w:tc>
        <w:tc>
          <w:tcPr>
            <w:tcW w:w="400" w:type="dxa"/>
            <w:vAlign w:val="bottom"/>
          </w:tcPr>
          <w:p>
            <w:pPr>
              <w:spacing w:after="0"/>
              <w:rPr>
                <w:sz w:val="20"/>
                <w:szCs w:val="20"/>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w w:val="92"/>
              </w:rPr>
              <w:t>As Revised</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6"/>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00" w:type="dxa"/>
            <w:vAlign w:val="bottom"/>
            <w:gridSpan w:val="6"/>
          </w:tcPr>
          <w:p>
            <w:pPr>
              <w:jc w:val="center"/>
              <w:ind w:left="699"/>
              <w:spacing w:after="0"/>
              <w:rPr>
                <w:sz w:val="20"/>
                <w:szCs w:val="20"/>
                <w:color w:val="auto"/>
              </w:rPr>
            </w:pPr>
            <w:r>
              <w:rPr>
                <w:rFonts w:ascii="Arial" w:cs="Arial" w:eastAsia="Arial" w:hAnsi="Arial"/>
                <w:sz w:val="16"/>
                <w:szCs w:val="16"/>
                <w:b w:val="1"/>
                <w:bCs w:val="1"/>
                <w:color w:val="auto"/>
                <w:w w:val="90"/>
              </w:rPr>
              <w:t>(in thousands, except per share data)</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1,970,697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1,947,616</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5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1,347,572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(14,006)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1,333,566</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623,125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614,050</w:t>
            </w: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5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185,239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182,503</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Product development</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175,500</w:t>
            </w:r>
          </w:p>
        </w:tc>
        <w:tc>
          <w:tcPr>
            <w:tcW w:w="0" w:type="dxa"/>
            <w:vAlign w:val="bottom"/>
          </w:tcPr>
          <w:p>
            <w:pPr>
              <w:spacing w:after="0"/>
              <w:rPr>
                <w:sz w:val="1"/>
                <w:szCs w:val="1"/>
                <w:color w:val="auto"/>
              </w:rPr>
            </w:pPr>
          </w:p>
        </w:tc>
      </w:tr>
      <w:tr>
        <w:trPr>
          <w:trHeight w:val="237"/>
        </w:trPr>
        <w:tc>
          <w:tcPr>
            <w:tcW w:w="602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5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163,101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162,466</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43,619</w:t>
            </w:r>
          </w:p>
        </w:tc>
        <w:tc>
          <w:tcPr>
            <w:tcW w:w="0" w:type="dxa"/>
            <w:vAlign w:val="bottom"/>
          </w:tcPr>
          <w:p>
            <w:pPr>
              <w:spacing w:after="0"/>
              <w:rPr>
                <w:sz w:val="1"/>
                <w:szCs w:val="1"/>
                <w:color w:val="auto"/>
              </w:rPr>
            </w:pPr>
          </w:p>
        </w:tc>
      </w:tr>
      <w:tr>
        <w:trPr>
          <w:trHeight w:val="237"/>
        </w:trPr>
        <w:tc>
          <w:tcPr>
            <w:tcW w:w="6020" w:type="dxa"/>
            <w:vAlign w:val="bottom"/>
          </w:tcPr>
          <w:p>
            <w:pPr>
              <w:ind w:left="380"/>
              <w:spacing w:after="0"/>
              <w:rPr>
                <w:sz w:val="20"/>
                <w:szCs w:val="20"/>
                <w:color w:val="auto"/>
              </w:rPr>
            </w:pPr>
            <w:r>
              <w:rPr>
                <w:rFonts w:ascii="Arial" w:cs="Arial" w:eastAsia="Arial" w:hAnsi="Arial"/>
                <w:sz w:val="16"/>
                <w:szCs w:val="16"/>
                <w:color w:val="auto"/>
              </w:rPr>
              <w:t>Restructuring</w:t>
            </w:r>
          </w:p>
        </w:tc>
        <w:tc>
          <w:tcPr>
            <w:tcW w:w="5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50,857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49,482</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impairment</w:t>
            </w: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020" w:type="dxa"/>
            <w:vAlign w:val="bottom"/>
          </w:tcPr>
          <w:p>
            <w:pPr>
              <w:ind w:left="700"/>
              <w:spacing w:after="0"/>
              <w:rPr>
                <w:sz w:val="20"/>
                <w:szCs w:val="20"/>
                <w:color w:val="auto"/>
              </w:rPr>
            </w:pPr>
            <w:r>
              <w:rPr>
                <w:rFonts w:ascii="Arial" w:cs="Arial" w:eastAsia="Arial" w:hAnsi="Arial"/>
                <w:sz w:val="16"/>
                <w:szCs w:val="16"/>
                <w:color w:val="auto"/>
              </w:rPr>
              <w:t>Total operating expenses</w:t>
            </w:r>
          </w:p>
        </w:tc>
        <w:tc>
          <w:tcPr>
            <w:tcW w:w="5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619,293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(5,723)</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613,570</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5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(3,352)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5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(11,602)</w:t>
            </w:r>
          </w:p>
        </w:tc>
        <w:tc>
          <w:tcPr>
            <w:tcW w:w="0" w:type="dxa"/>
            <w:vAlign w:val="bottom"/>
          </w:tcPr>
          <w:p>
            <w:pPr>
              <w:spacing w:after="0"/>
              <w:rPr>
                <w:sz w:val="1"/>
                <w:szCs w:val="1"/>
                <w:color w:val="auto"/>
              </w:rPr>
            </w:pPr>
          </w:p>
        </w:tc>
      </w:tr>
      <w:tr>
        <w:trPr>
          <w:trHeight w:val="237"/>
        </w:trPr>
        <w:tc>
          <w:tcPr>
            <w:tcW w:w="6020" w:type="dxa"/>
            <w:vAlign w:val="bottom"/>
          </w:tcPr>
          <w:p>
            <w:pPr>
              <w:ind w:left="380"/>
              <w:spacing w:after="0"/>
              <w:rPr>
                <w:sz w:val="20"/>
                <w:szCs w:val="20"/>
                <w:color w:val="auto"/>
              </w:rPr>
            </w:pPr>
            <w:r>
              <w:rPr>
                <w:rFonts w:ascii="Arial" w:cs="Arial" w:eastAsia="Arial" w:hAnsi="Arial"/>
                <w:sz w:val="16"/>
                <w:szCs w:val="16"/>
                <w:color w:val="auto"/>
              </w:rPr>
              <w:t>Other income (expense), net</w:t>
            </w: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(7,637)</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other income (expense)</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(18,745)</w:t>
            </w: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(18,265)</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2,606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(4,035)</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(22,300)</w:t>
            </w:r>
          </w:p>
        </w:tc>
        <w:tc>
          <w:tcPr>
            <w:tcW w:w="0" w:type="dxa"/>
            <w:vAlign w:val="bottom"/>
          </w:tcPr>
          <w:p>
            <w:pPr>
              <w:spacing w:after="0"/>
              <w:rPr>
                <w:sz w:val="1"/>
                <w:szCs w:val="1"/>
                <w:color w:val="auto"/>
              </w:rPr>
            </w:pPr>
          </w:p>
        </w:tc>
      </w:tr>
      <w:tr>
        <w:trPr>
          <w:trHeight w:val="237"/>
        </w:trPr>
        <w:tc>
          <w:tcPr>
            <w:tcW w:w="6020" w:type="dxa"/>
            <w:vAlign w:val="bottom"/>
          </w:tcPr>
          <w:p>
            <w:pPr>
              <w:ind w:left="340"/>
              <w:spacing w:after="0"/>
              <w:rPr>
                <w:sz w:val="20"/>
                <w:szCs w:val="20"/>
                <w:color w:val="auto"/>
              </w:rPr>
            </w:pPr>
            <w:r>
              <w:rPr>
                <w:rFonts w:ascii="Arial" w:cs="Arial" w:eastAsia="Arial" w:hAnsi="Arial"/>
                <w:sz w:val="16"/>
                <w:szCs w:val="16"/>
                <w:color w:val="auto"/>
              </w:rPr>
              <w:t>Net income attributable to noncontrolling interests</w:t>
            </w:r>
          </w:p>
        </w:tc>
        <w:tc>
          <w:tcPr>
            <w:tcW w:w="5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 attributable to Itron, Inc.</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(23,670)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(loss) per common share - Basic</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(loss) per common share - Diluted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20" w:type="dxa"/>
            <w:vAlign w:val="bottom"/>
            <w:vMerge w:val="continue"/>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(0.58)</w:t>
            </w:r>
          </w:p>
        </w:tc>
        <w:tc>
          <w:tcPr>
            <w:tcW w:w="12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73"/>
        </w:trPr>
        <w:tc>
          <w:tcPr>
            <w:tcW w:w="60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0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5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39,184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39,184</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39,184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39,184</w:t>
            </w:r>
          </w:p>
        </w:tc>
        <w:tc>
          <w:tcPr>
            <w:tcW w:w="0" w:type="dxa"/>
            <w:vAlign w:val="bottom"/>
          </w:tcPr>
          <w:p>
            <w:pPr>
              <w:spacing w:after="0"/>
              <w:rPr>
                <w:sz w:val="1"/>
                <w:szCs w:val="1"/>
                <w:color w:val="auto"/>
              </w:rPr>
            </w:pPr>
          </w:p>
        </w:tc>
      </w:tr>
      <w:tr>
        <w:trPr>
          <w:trHeight w:val="33"/>
        </w:trPr>
        <w:tc>
          <w:tcPr>
            <w:tcW w:w="6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20" w:type="dxa"/>
            <w:vAlign w:val="bottom"/>
          </w:tcPr>
          <w:p>
            <w:pPr>
              <w:ind w:left="20"/>
              <w:spacing w:after="0"/>
              <w:rPr>
                <w:sz w:val="20"/>
                <w:szCs w:val="20"/>
                <w:color w:val="auto"/>
              </w:rPr>
            </w:pPr>
            <w:r>
              <w:rPr>
                <w:rFonts w:ascii="Arial" w:cs="Arial" w:eastAsia="Arial" w:hAnsi="Arial"/>
                <w:sz w:val="16"/>
                <w:szCs w:val="16"/>
                <w:i w:val="1"/>
                <w:iCs w:val="1"/>
                <w:color w:val="auto"/>
              </w:rPr>
              <w:t>Statement of operations data:</w:t>
            </w:r>
          </w:p>
        </w:tc>
        <w:tc>
          <w:tcPr>
            <w:tcW w:w="540" w:type="dxa"/>
            <w:vAlign w:val="bottom"/>
          </w:tcPr>
          <w:p>
            <w:pPr>
              <w:spacing w:after="0"/>
              <w:rPr>
                <w:sz w:val="18"/>
                <w:szCs w:val="18"/>
                <w:color w:val="auto"/>
              </w:rPr>
            </w:pPr>
          </w:p>
        </w:tc>
        <w:tc>
          <w:tcPr>
            <w:tcW w:w="3500" w:type="dxa"/>
            <w:vAlign w:val="bottom"/>
            <w:gridSpan w:val="6"/>
          </w:tcPr>
          <w:p>
            <w:pPr>
              <w:jc w:val="center"/>
              <w:ind w:left="699"/>
              <w:spacing w:after="0"/>
              <w:rPr>
                <w:sz w:val="20"/>
                <w:szCs w:val="20"/>
                <w:color w:val="auto"/>
              </w:rPr>
            </w:pPr>
            <w:r>
              <w:rPr>
                <w:rFonts w:ascii="Arial" w:cs="Arial" w:eastAsia="Arial" w:hAnsi="Arial"/>
                <w:sz w:val="16"/>
                <w:szCs w:val="16"/>
                <w:b w:val="1"/>
                <w:bCs w:val="1"/>
                <w:color w:val="auto"/>
                <w:w w:val="91"/>
              </w:rPr>
              <w:t>Year Ended December 31, 2013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2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As Previously Reported</w:t>
            </w:r>
          </w:p>
        </w:tc>
        <w:tc>
          <w:tcPr>
            <w:tcW w:w="26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Adjustments</w:t>
            </w:r>
          </w:p>
        </w:tc>
        <w:tc>
          <w:tcPr>
            <w:tcW w:w="400" w:type="dxa"/>
            <w:vAlign w:val="bottom"/>
          </w:tcPr>
          <w:p>
            <w:pPr>
              <w:spacing w:after="0"/>
              <w:rPr>
                <w:sz w:val="20"/>
                <w:szCs w:val="20"/>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w w:val="92"/>
              </w:rPr>
              <w:t>As Revised</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6"/>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00" w:type="dxa"/>
            <w:vAlign w:val="bottom"/>
            <w:gridSpan w:val="6"/>
          </w:tcPr>
          <w:p>
            <w:pPr>
              <w:jc w:val="center"/>
              <w:ind w:left="699"/>
              <w:spacing w:after="0"/>
              <w:rPr>
                <w:sz w:val="20"/>
                <w:szCs w:val="20"/>
                <w:color w:val="auto"/>
              </w:rPr>
            </w:pPr>
            <w:r>
              <w:rPr>
                <w:rFonts w:ascii="Arial" w:cs="Arial" w:eastAsia="Arial" w:hAnsi="Arial"/>
                <w:sz w:val="16"/>
                <w:szCs w:val="16"/>
                <w:b w:val="1"/>
                <w:bCs w:val="1"/>
                <w:color w:val="auto"/>
                <w:w w:val="90"/>
              </w:rPr>
              <w:t>(in thousands, except per share data)</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1,948,728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1,938,025</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5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1,334,195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(10,938)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1,323,257</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614,533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614,768</w:t>
            </w: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5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180,371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182,687</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Product development</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176,019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175,420</w:t>
            </w:r>
          </w:p>
        </w:tc>
        <w:tc>
          <w:tcPr>
            <w:tcW w:w="0" w:type="dxa"/>
            <w:vAlign w:val="bottom"/>
          </w:tcPr>
          <w:p>
            <w:pPr>
              <w:spacing w:after="0"/>
              <w:rPr>
                <w:sz w:val="1"/>
                <w:szCs w:val="1"/>
                <w:color w:val="auto"/>
              </w:rPr>
            </w:pPr>
          </w:p>
        </w:tc>
      </w:tr>
      <w:tr>
        <w:trPr>
          <w:trHeight w:val="237"/>
        </w:trPr>
        <w:tc>
          <w:tcPr>
            <w:tcW w:w="602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5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142,559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1,373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143,932</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42,019</w:t>
            </w:r>
          </w:p>
        </w:tc>
        <w:tc>
          <w:tcPr>
            <w:tcW w:w="0" w:type="dxa"/>
            <w:vAlign w:val="bottom"/>
          </w:tcPr>
          <w:p>
            <w:pPr>
              <w:spacing w:after="0"/>
              <w:rPr>
                <w:sz w:val="1"/>
                <w:szCs w:val="1"/>
                <w:color w:val="auto"/>
              </w:rPr>
            </w:pPr>
          </w:p>
        </w:tc>
      </w:tr>
      <w:tr>
        <w:trPr>
          <w:trHeight w:val="237"/>
        </w:trPr>
        <w:tc>
          <w:tcPr>
            <w:tcW w:w="6020" w:type="dxa"/>
            <w:vAlign w:val="bottom"/>
          </w:tcPr>
          <w:p>
            <w:pPr>
              <w:ind w:left="380"/>
              <w:spacing w:after="0"/>
              <w:rPr>
                <w:sz w:val="20"/>
                <w:szCs w:val="20"/>
                <w:color w:val="auto"/>
              </w:rPr>
            </w:pPr>
            <w:r>
              <w:rPr>
                <w:rFonts w:ascii="Arial" w:cs="Arial" w:eastAsia="Arial" w:hAnsi="Arial"/>
                <w:sz w:val="16"/>
                <w:szCs w:val="16"/>
                <w:color w:val="auto"/>
              </w:rPr>
              <w:t>Restructuring</w:t>
            </w:r>
          </w:p>
        </w:tc>
        <w:tc>
          <w:tcPr>
            <w:tcW w:w="5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35,497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36,347</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impairment</w:t>
            </w: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173,249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174,226</w:t>
            </w:r>
          </w:p>
        </w:tc>
        <w:tc>
          <w:tcPr>
            <w:tcW w:w="0" w:type="dxa"/>
            <w:vAlign w:val="bottom"/>
          </w:tcPr>
          <w:p>
            <w:pPr>
              <w:spacing w:after="0"/>
              <w:rPr>
                <w:sz w:val="1"/>
                <w:szCs w:val="1"/>
                <w:color w:val="auto"/>
              </w:rPr>
            </w:pPr>
          </w:p>
        </w:tc>
      </w:tr>
      <w:tr>
        <w:trPr>
          <w:trHeight w:val="217"/>
        </w:trPr>
        <w:tc>
          <w:tcPr>
            <w:tcW w:w="6020" w:type="dxa"/>
            <w:vAlign w:val="bottom"/>
          </w:tcPr>
          <w:p>
            <w:pPr>
              <w:ind w:left="700"/>
              <w:spacing w:after="0"/>
              <w:rPr>
                <w:sz w:val="20"/>
                <w:szCs w:val="20"/>
                <w:color w:val="auto"/>
              </w:rPr>
            </w:pPr>
            <w:r>
              <w:rPr>
                <w:rFonts w:ascii="Arial" w:cs="Arial" w:eastAsia="Arial" w:hAnsi="Arial"/>
                <w:sz w:val="16"/>
                <w:szCs w:val="16"/>
                <w:color w:val="auto"/>
              </w:rPr>
              <w:t>Total operating expenses</w:t>
            </w:r>
          </w:p>
        </w:tc>
        <w:tc>
          <w:tcPr>
            <w:tcW w:w="5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749,714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4,917</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754,631</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(135,181)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(4,682)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(139,863)</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5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(10,686)</w:t>
            </w:r>
          </w:p>
        </w:tc>
        <w:tc>
          <w:tcPr>
            <w:tcW w:w="0" w:type="dxa"/>
            <w:vAlign w:val="bottom"/>
          </w:tcPr>
          <w:p>
            <w:pPr>
              <w:spacing w:after="0"/>
              <w:rPr>
                <w:sz w:val="1"/>
                <w:szCs w:val="1"/>
                <w:color w:val="auto"/>
              </w:rPr>
            </w:pPr>
          </w:p>
        </w:tc>
      </w:tr>
      <w:tr>
        <w:trPr>
          <w:trHeight w:val="237"/>
        </w:trPr>
        <w:tc>
          <w:tcPr>
            <w:tcW w:w="6020" w:type="dxa"/>
            <w:vAlign w:val="bottom"/>
          </w:tcPr>
          <w:p>
            <w:pPr>
              <w:ind w:left="380"/>
              <w:spacing w:after="0"/>
              <w:rPr>
                <w:sz w:val="20"/>
                <w:szCs w:val="20"/>
                <w:color w:val="auto"/>
              </w:rPr>
            </w:pPr>
            <w:r>
              <w:rPr>
                <w:rFonts w:ascii="Arial" w:cs="Arial" w:eastAsia="Arial" w:hAnsi="Arial"/>
                <w:sz w:val="16"/>
                <w:szCs w:val="16"/>
                <w:color w:val="auto"/>
              </w:rPr>
              <w:t>Other income (expense), net</w:t>
            </w: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(4,003)</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other income (expense)</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(13,537)</w:t>
            </w: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(148,254)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(153,400)</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5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2,466</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(150,934)</w:t>
            </w:r>
          </w:p>
        </w:tc>
        <w:tc>
          <w:tcPr>
            <w:tcW w:w="0" w:type="dxa"/>
            <w:vAlign w:val="bottom"/>
          </w:tcPr>
          <w:p>
            <w:pPr>
              <w:spacing w:after="0"/>
              <w:rPr>
                <w:sz w:val="1"/>
                <w:szCs w:val="1"/>
                <w:color w:val="auto"/>
              </w:rPr>
            </w:pPr>
          </w:p>
        </w:tc>
      </w:tr>
      <w:tr>
        <w:trPr>
          <w:trHeight w:val="237"/>
        </w:trPr>
        <w:tc>
          <w:tcPr>
            <w:tcW w:w="6020" w:type="dxa"/>
            <w:vAlign w:val="bottom"/>
          </w:tcPr>
          <w:p>
            <w:pPr>
              <w:ind w:left="340"/>
              <w:spacing w:after="0"/>
              <w:rPr>
                <w:sz w:val="20"/>
                <w:szCs w:val="20"/>
                <w:color w:val="auto"/>
              </w:rPr>
            </w:pPr>
            <w:r>
              <w:rPr>
                <w:rFonts w:ascii="Arial" w:cs="Arial" w:eastAsia="Arial" w:hAnsi="Arial"/>
                <w:sz w:val="16"/>
                <w:szCs w:val="16"/>
                <w:color w:val="auto"/>
              </w:rPr>
              <w:t>Net income attributable to noncontrolling interests</w:t>
            </w:r>
          </w:p>
        </w:tc>
        <w:tc>
          <w:tcPr>
            <w:tcW w:w="5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2,219</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 attributable to Itron, Inc.</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(146,809)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(153,153)</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(loss) per common share - Basic</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(loss) per common share - Diluted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20" w:type="dxa"/>
            <w:vAlign w:val="bottom"/>
            <w:vMerge w:val="continue"/>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73"/>
        </w:trPr>
        <w:tc>
          <w:tcPr>
            <w:tcW w:w="60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0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5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39,281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39,281</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39,281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39,281</w:t>
            </w:r>
          </w:p>
        </w:tc>
        <w:tc>
          <w:tcPr>
            <w:tcW w:w="0" w:type="dxa"/>
            <w:vAlign w:val="bottom"/>
          </w:tcPr>
          <w:p>
            <w:pPr>
              <w:spacing w:after="0"/>
              <w:rPr>
                <w:sz w:val="1"/>
                <w:szCs w:val="1"/>
                <w:color w:val="auto"/>
              </w:rPr>
            </w:pPr>
          </w:p>
        </w:tc>
      </w:tr>
      <w:tr>
        <w:trPr>
          <w:trHeight w:val="33"/>
        </w:trPr>
        <w:tc>
          <w:tcPr>
            <w:tcW w:w="6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jc w:val="right"/>
              <w:ind w:right="4780"/>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gridSpan w:val="6"/>
            <w:vMerge w:val="restart"/>
          </w:tcPr>
          <w:p>
            <w:pPr>
              <w:jc w:val="center"/>
              <w:ind w:left="1070"/>
              <w:spacing w:after="0"/>
              <w:rPr>
                <w:sz w:val="20"/>
                <w:szCs w:val="20"/>
                <w:color w:val="auto"/>
              </w:rPr>
            </w:pPr>
            <w:r>
              <w:rPr>
                <w:rFonts w:ascii="Arial" w:cs="Arial" w:eastAsia="Arial" w:hAnsi="Arial"/>
                <w:sz w:val="18"/>
                <w:szCs w:val="18"/>
                <w:b w:val="1"/>
                <w:bCs w:val="1"/>
                <w:color w:val="auto"/>
                <w:w w:val="90"/>
              </w:rPr>
              <w:t>Year Ended December 31, 2014</w:t>
            </w: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 w:type="dxa"/>
            <w:vAlign w:val="bottom"/>
          </w:tcPr>
          <w:p>
            <w:pPr>
              <w:spacing w:after="0"/>
              <w:rPr>
                <w:sz w:val="24"/>
                <w:szCs w:val="24"/>
                <w:color w:val="auto"/>
              </w:rPr>
            </w:pPr>
          </w:p>
        </w:tc>
        <w:tc>
          <w:tcPr>
            <w:tcW w:w="6020" w:type="dxa"/>
            <w:vAlign w:val="bottom"/>
            <w:gridSpan w:val="2"/>
          </w:tcPr>
          <w:p>
            <w:pPr>
              <w:ind w:left="20"/>
              <w:spacing w:after="0"/>
              <w:rPr>
                <w:sz w:val="20"/>
                <w:szCs w:val="20"/>
                <w:color w:val="auto"/>
              </w:rPr>
            </w:pPr>
            <w:r>
              <w:rPr>
                <w:rFonts w:ascii="Arial" w:cs="Arial" w:eastAsia="Arial" w:hAnsi="Arial"/>
                <w:sz w:val="18"/>
                <w:szCs w:val="18"/>
                <w:i w:val="1"/>
                <w:iCs w:val="1"/>
                <w:color w:val="auto"/>
              </w:rPr>
              <w:t>Statement of Comprehensive Income (loss) data:</w:t>
            </w:r>
          </w:p>
        </w:tc>
        <w:tc>
          <w:tcPr>
            <w:tcW w:w="220" w:type="dxa"/>
            <w:vAlign w:val="bottom"/>
          </w:tcPr>
          <w:p>
            <w:pPr>
              <w:spacing w:after="0"/>
              <w:rPr>
                <w:sz w:val="24"/>
                <w:szCs w:val="24"/>
                <w:color w:val="auto"/>
              </w:rPr>
            </w:pPr>
          </w:p>
        </w:tc>
        <w:tc>
          <w:tcPr>
            <w:tcW w:w="3760" w:type="dxa"/>
            <w:vAlign w:val="bottom"/>
            <w:gridSpan w:val="6"/>
            <w:vMerge w:val="continue"/>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As Previously</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Reported</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Adjustments</w:t>
            </w:r>
          </w:p>
        </w:tc>
        <w:tc>
          <w:tcPr>
            <w:tcW w:w="340" w:type="dxa"/>
            <w:vAlign w:val="bottom"/>
          </w:tcPr>
          <w:p>
            <w:pPr>
              <w:spacing w:after="0"/>
              <w:rPr>
                <w:sz w:val="20"/>
                <w:szCs w:val="20"/>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w w:val="92"/>
              </w:rPr>
              <w:t>As Revised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 thousands)</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(90,333)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(89,297)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Net unrealized gain (loss) on derivative instruments, designated as cash flow</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hedges</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80"/>
              <w:spacing w:after="0"/>
              <w:rPr>
                <w:sz w:val="20"/>
                <w:szCs w:val="20"/>
                <w:color w:val="auto"/>
              </w:rPr>
            </w:pPr>
            <w:r>
              <w:rPr>
                <w:rFonts w:ascii="Arial" w:cs="Arial" w:eastAsia="Arial" w:hAnsi="Arial"/>
                <w:sz w:val="18"/>
                <w:szCs w:val="18"/>
                <w:color w:val="auto"/>
              </w:rPr>
              <w:t>Pension plan benefits liability adjustment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(24,947)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(113,756)</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(136,056)</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3"/>
              </w:rPr>
              <w:t>Comprehensive income (loss) attributable to noncontrolling interest,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180"/>
              <w:spacing w:after="0"/>
              <w:rPr>
                <w:sz w:val="20"/>
                <w:szCs w:val="20"/>
                <w:color w:val="auto"/>
              </w:rPr>
            </w:pPr>
            <w:r>
              <w:rPr>
                <w:rFonts w:ascii="Arial" w:cs="Arial" w:eastAsia="Arial" w:hAnsi="Arial"/>
                <w:sz w:val="18"/>
                <w:szCs w:val="18"/>
                <w:color w:val="auto"/>
              </w:rPr>
              <w:t>Amounts attributable to noncontrolling interests</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020" w:type="dxa"/>
            <w:vAlign w:val="bottom"/>
            <w:gridSpan w:val="2"/>
          </w:tcPr>
          <w:p>
            <w:pPr>
              <w:ind w:left="20"/>
              <w:spacing w:after="0"/>
              <w:rPr>
                <w:sz w:val="20"/>
                <w:szCs w:val="20"/>
                <w:color w:val="auto"/>
              </w:rPr>
            </w:pPr>
            <w:r>
              <w:rPr>
                <w:rFonts w:ascii="Arial" w:cs="Arial" w:eastAsia="Arial" w:hAnsi="Arial"/>
                <w:sz w:val="18"/>
                <w:szCs w:val="18"/>
                <w:color w:val="auto"/>
              </w:rPr>
              <w:t>Comprehensive income (loss) attributable to Itron, Inc.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(137,712)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0" w:type="dxa"/>
            <w:vAlign w:val="bottom"/>
          </w:tcPr>
          <w:p>
            <w:pPr>
              <w:spacing w:after="0"/>
              <w:rPr>
                <w:sz w:val="24"/>
                <w:szCs w:val="24"/>
                <w:color w:val="auto"/>
              </w:rPr>
            </w:pPr>
          </w:p>
        </w:tc>
        <w:tc>
          <w:tcPr>
            <w:tcW w:w="6020" w:type="dxa"/>
            <w:vAlign w:val="bottom"/>
            <w:gridSpan w:val="2"/>
          </w:tcPr>
          <w:p>
            <w:pPr>
              <w:ind w:left="20"/>
              <w:spacing w:after="0"/>
              <w:rPr>
                <w:sz w:val="20"/>
                <w:szCs w:val="20"/>
                <w:color w:val="auto"/>
              </w:rPr>
            </w:pPr>
            <w:r>
              <w:rPr>
                <w:rFonts w:ascii="Arial" w:cs="Arial" w:eastAsia="Arial" w:hAnsi="Arial"/>
                <w:sz w:val="18"/>
                <w:szCs w:val="18"/>
                <w:i w:val="1"/>
                <w:iCs w:val="1"/>
                <w:color w:val="auto"/>
              </w:rPr>
              <w:t>Statement of Comprehensive Income (loss) data:</w:t>
            </w:r>
          </w:p>
        </w:tc>
        <w:tc>
          <w:tcPr>
            <w:tcW w:w="220" w:type="dxa"/>
            <w:vAlign w:val="bottom"/>
          </w:tcPr>
          <w:p>
            <w:pPr>
              <w:spacing w:after="0"/>
              <w:rPr>
                <w:sz w:val="24"/>
                <w:szCs w:val="24"/>
                <w:color w:val="auto"/>
              </w:rPr>
            </w:pPr>
          </w:p>
        </w:tc>
        <w:tc>
          <w:tcPr>
            <w:tcW w:w="3760" w:type="dxa"/>
            <w:vAlign w:val="bottom"/>
            <w:gridSpan w:val="6"/>
          </w:tcPr>
          <w:p>
            <w:pPr>
              <w:jc w:val="center"/>
              <w:ind w:left="1070"/>
              <w:spacing w:after="0"/>
              <w:rPr>
                <w:sz w:val="20"/>
                <w:szCs w:val="20"/>
                <w:color w:val="auto"/>
              </w:rPr>
            </w:pPr>
            <w:r>
              <w:rPr>
                <w:rFonts w:ascii="Arial" w:cs="Arial" w:eastAsia="Arial" w:hAnsi="Arial"/>
                <w:sz w:val="18"/>
                <w:szCs w:val="18"/>
                <w:b w:val="1"/>
                <w:bCs w:val="1"/>
                <w:color w:val="auto"/>
                <w:w w:val="90"/>
              </w:rPr>
              <w:t>Year Ended December 31, 2013</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As Previously</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Reported</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Adjustments</w:t>
            </w:r>
          </w:p>
        </w:tc>
        <w:tc>
          <w:tcPr>
            <w:tcW w:w="340" w:type="dxa"/>
            <w:vAlign w:val="bottom"/>
          </w:tcPr>
          <w:p>
            <w:pPr>
              <w:spacing w:after="0"/>
              <w:rPr>
                <w:sz w:val="20"/>
                <w:szCs w:val="20"/>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w w:val="92"/>
              </w:rPr>
              <w:t>As Revised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 thousands)</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(150,934)</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7,077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Net unrealized gain (loss) on derivative instruments, designated as cash flow</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hedges</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80"/>
              <w:spacing w:after="0"/>
              <w:rPr>
                <w:sz w:val="20"/>
                <w:szCs w:val="20"/>
                <w:color w:val="auto"/>
              </w:rPr>
            </w:pPr>
            <w:r>
              <w:rPr>
                <w:rFonts w:ascii="Arial" w:cs="Arial" w:eastAsia="Arial" w:hAnsi="Arial"/>
                <w:sz w:val="18"/>
                <w:szCs w:val="18"/>
                <w:color w:val="auto"/>
              </w:rPr>
              <w:t>Pension plan benefits liability adjustment</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13,454</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(137,480)</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3"/>
              </w:rPr>
              <w:t>Comprehensive income (loss) attributable to noncontrolling interest,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180"/>
              <w:spacing w:after="0"/>
              <w:rPr>
                <w:sz w:val="20"/>
                <w:szCs w:val="20"/>
                <w:color w:val="auto"/>
              </w:rPr>
            </w:pPr>
            <w:r>
              <w:rPr>
                <w:rFonts w:ascii="Arial" w:cs="Arial" w:eastAsia="Arial" w:hAnsi="Arial"/>
                <w:sz w:val="18"/>
                <w:szCs w:val="18"/>
                <w:color w:val="auto"/>
              </w:rPr>
              <w:t>Amounts attributable to noncontrolling interests</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020" w:type="dxa"/>
            <w:vAlign w:val="bottom"/>
            <w:gridSpan w:val="2"/>
          </w:tcPr>
          <w:p>
            <w:pPr>
              <w:ind w:left="20"/>
              <w:spacing w:after="0"/>
              <w:rPr>
                <w:sz w:val="20"/>
                <w:szCs w:val="20"/>
                <w:color w:val="auto"/>
              </w:rPr>
            </w:pPr>
            <w:r>
              <w:rPr>
                <w:rFonts w:ascii="Arial" w:cs="Arial" w:eastAsia="Arial" w:hAnsi="Arial"/>
                <w:sz w:val="18"/>
                <w:szCs w:val="18"/>
                <w:color w:val="auto"/>
              </w:rPr>
              <w:t>Comprehensive income (loss) attributable to Itron, Inc.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(134,147)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(139,664)</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0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360" w:type="dxa"/>
            <w:vAlign w:val="bottom"/>
          </w:tcPr>
          <w:p>
            <w:pPr>
              <w:ind w:left="20"/>
              <w:spacing w:after="0"/>
              <w:rPr>
                <w:sz w:val="20"/>
                <w:szCs w:val="20"/>
                <w:color w:val="auto"/>
              </w:rPr>
            </w:pPr>
            <w:r>
              <w:rPr>
                <w:rFonts w:ascii="Arial" w:cs="Arial" w:eastAsia="Arial" w:hAnsi="Arial"/>
                <w:sz w:val="16"/>
                <w:szCs w:val="16"/>
                <w:i w:val="1"/>
                <w:iCs w:val="1"/>
                <w:color w:val="auto"/>
              </w:rPr>
              <w:t>Balance Sheet Data:</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As of December 31, 2014</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8"/>
              </w:rPr>
              <w:t>As Previously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99"/>
              <w:spacing w:after="0"/>
              <w:rPr>
                <w:sz w:val="20"/>
                <w:szCs w:val="20"/>
                <w:color w:val="auto"/>
              </w:rPr>
            </w:pPr>
            <w:r>
              <w:rPr>
                <w:rFonts w:ascii="Arial" w:cs="Arial" w:eastAsia="Arial" w:hAnsi="Arial"/>
                <w:sz w:val="16"/>
                <w:szCs w:val="16"/>
                <w:b w:val="1"/>
                <w:bCs w:val="1"/>
                <w:color w:val="auto"/>
              </w:rPr>
              <w:t>Reported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Adjustments</w:t>
            </w:r>
          </w:p>
        </w:tc>
        <w:tc>
          <w:tcPr>
            <w:tcW w:w="280" w:type="dxa"/>
            <w:vAlign w:val="bottom"/>
          </w:tcPr>
          <w:p>
            <w:pPr>
              <w:spacing w:after="0"/>
              <w:rPr>
                <w:sz w:val="18"/>
                <w:szCs w:val="18"/>
                <w:color w:val="auto"/>
              </w:rPr>
            </w:pPr>
          </w:p>
        </w:tc>
        <w:tc>
          <w:tcPr>
            <w:tcW w:w="1320" w:type="dxa"/>
            <w:vAlign w:val="bottom"/>
          </w:tcPr>
          <w:p>
            <w:pPr>
              <w:jc w:val="right"/>
              <w:ind w:right="339"/>
              <w:spacing w:after="0"/>
              <w:rPr>
                <w:sz w:val="20"/>
                <w:szCs w:val="20"/>
                <w:color w:val="auto"/>
              </w:rPr>
            </w:pPr>
            <w:r>
              <w:rPr>
                <w:rFonts w:ascii="Arial" w:cs="Arial" w:eastAsia="Arial" w:hAnsi="Arial"/>
                <w:sz w:val="16"/>
                <w:szCs w:val="16"/>
                <w:b w:val="1"/>
                <w:bCs w:val="1"/>
                <w:color w:val="auto"/>
              </w:rPr>
              <w:t>As Revised</w:t>
            </w:r>
          </w:p>
        </w:tc>
      </w:tr>
      <w:tr>
        <w:trPr>
          <w:trHeight w:val="33"/>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(in thousands)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7"/>
        </w:trPr>
        <w:tc>
          <w:tcPr>
            <w:tcW w:w="6360" w:type="dxa"/>
            <w:vAlign w:val="bottom"/>
          </w:tcPr>
          <w:p>
            <w:pPr>
              <w:ind w:left="288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47"/>
        </w:trPr>
        <w:tc>
          <w:tcPr>
            <w:tcW w:w="6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112,371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112,371</w:t>
            </w:r>
          </w:p>
        </w:tc>
      </w:tr>
      <w:tr>
        <w:trPr>
          <w:trHeight w:val="237"/>
        </w:trPr>
        <w:tc>
          <w:tcPr>
            <w:tcW w:w="636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348,389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(1,842)</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346,547</w:t>
            </w:r>
          </w:p>
        </w:tc>
      </w:tr>
      <w:tr>
        <w:trPr>
          <w:trHeight w:val="33"/>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154,504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(283)</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154,221</w:t>
            </w:r>
          </w:p>
        </w:tc>
      </w:tr>
      <w:tr>
        <w:trPr>
          <w:trHeight w:val="237"/>
        </w:trPr>
        <w:tc>
          <w:tcPr>
            <w:tcW w:w="6360" w:type="dxa"/>
            <w:vAlign w:val="bottom"/>
          </w:tcPr>
          <w:p>
            <w:pPr>
              <w:ind w:left="380"/>
              <w:spacing w:after="0"/>
              <w:rPr>
                <w:sz w:val="20"/>
                <w:szCs w:val="20"/>
                <w:color w:val="auto"/>
              </w:rPr>
            </w:pPr>
            <w:r>
              <w:rPr>
                <w:rFonts w:ascii="Arial" w:cs="Arial" w:eastAsia="Arial" w:hAnsi="Arial"/>
                <w:sz w:val="16"/>
                <w:szCs w:val="16"/>
                <w:color w:val="auto"/>
              </w:rPr>
              <w:t>Deferred tax assets current, net</w:t>
            </w: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39,115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6,389</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45,504</w:t>
            </w:r>
          </w:p>
        </w:tc>
      </w:tr>
      <w:tr>
        <w:trPr>
          <w:trHeight w:val="33"/>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104,307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19,512</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123,819</w:t>
            </w:r>
          </w:p>
        </w:tc>
      </w:tr>
      <w:tr>
        <w:trPr>
          <w:trHeight w:val="231"/>
        </w:trPr>
        <w:tc>
          <w:tcPr>
            <w:tcW w:w="6360" w:type="dxa"/>
            <w:vAlign w:val="bottom"/>
          </w:tcPr>
          <w:p>
            <w:pPr>
              <w:ind w:left="70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758,686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23,776</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782,462</w:t>
            </w:r>
          </w:p>
        </w:tc>
      </w:tr>
      <w:tr>
        <w:trPr>
          <w:trHeight w:val="33"/>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207,789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(637)</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207,152</w:t>
            </w:r>
          </w:p>
        </w:tc>
      </w:tr>
      <w:tr>
        <w:trPr>
          <w:trHeight w:val="33"/>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noncurrent,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(159)</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74,439</w:t>
            </w:r>
          </w:p>
        </w:tc>
      </w:tr>
      <w:tr>
        <w:trPr>
          <w:trHeight w:val="237"/>
        </w:trPr>
        <w:tc>
          <w:tcPr>
            <w:tcW w:w="636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28,503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18,462</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46,965</w:t>
            </w:r>
          </w:p>
        </w:tc>
      </w:tr>
      <w:tr>
        <w:trPr>
          <w:trHeight w:val="33"/>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139,909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139,909</w:t>
            </w:r>
          </w:p>
        </w:tc>
      </w:tr>
      <w:tr>
        <w:trPr>
          <w:trHeight w:val="237"/>
        </w:trPr>
        <w:tc>
          <w:tcPr>
            <w:tcW w:w="63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500,820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500,820</w:t>
            </w:r>
          </w:p>
        </w:tc>
      </w:tr>
      <w:tr>
        <w:trPr>
          <w:trHeight w:val="33"/>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1,710,305</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41,442</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1,751,747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6360" w:type="dxa"/>
            <w:vAlign w:val="bottom"/>
            <w:tcBorders>
              <w:bottom w:val="single" w:sz="8" w:color="CCEEFF"/>
            </w:tcBorders>
            <w:shd w:val="clear" w:color="auto" w:fill="CCEEFF"/>
          </w:tcPr>
          <w:p>
            <w:pPr>
              <w:ind w:left="214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63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6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184,132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(301)</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183,831</w:t>
            </w:r>
          </w:p>
        </w:tc>
      </w:tr>
      <w:tr>
        <w:trPr>
          <w:trHeight w:val="237"/>
        </w:trPr>
        <w:tc>
          <w:tcPr>
            <w:tcW w:w="6360" w:type="dxa"/>
            <w:vAlign w:val="bottom"/>
          </w:tcPr>
          <w:p>
            <w:pPr>
              <w:ind w:left="38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100,945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370</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101,315</w:t>
            </w:r>
          </w:p>
        </w:tc>
      </w:tr>
      <w:tr>
        <w:trPr>
          <w:trHeight w:val="33"/>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Wages and benefits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95,248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(430)</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94,818</w:t>
            </w:r>
          </w:p>
        </w:tc>
      </w:tr>
      <w:tr>
        <w:trPr>
          <w:trHeight w:val="237"/>
        </w:trPr>
        <w:tc>
          <w:tcPr>
            <w:tcW w:w="6360" w:type="dxa"/>
            <w:vAlign w:val="bottom"/>
          </w:tcPr>
          <w:p>
            <w:pPr>
              <w:ind w:left="380"/>
              <w:spacing w:after="0"/>
              <w:rPr>
                <w:sz w:val="20"/>
                <w:szCs w:val="20"/>
                <w:color w:val="auto"/>
              </w:rPr>
            </w:pPr>
            <w:r>
              <w:rPr>
                <w:rFonts w:ascii="Arial" w:cs="Arial" w:eastAsia="Arial" w:hAnsi="Arial"/>
                <w:sz w:val="16"/>
                <w:szCs w:val="16"/>
                <w:color w:val="auto"/>
              </w:rPr>
              <w:t>Taxes payable</w:t>
            </w: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21,951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21,951</w:t>
            </w:r>
          </w:p>
        </w:tc>
      </w:tr>
      <w:tr>
        <w:trPr>
          <w:trHeight w:val="33"/>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debt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w:t>
            </w:r>
          </w:p>
        </w:tc>
      </w:tr>
      <w:tr>
        <w:trPr>
          <w:trHeight w:val="237"/>
        </w:trPr>
        <w:tc>
          <w:tcPr>
            <w:tcW w:w="6360" w:type="dxa"/>
            <w:vAlign w:val="bottom"/>
          </w:tcPr>
          <w:p>
            <w:pPr>
              <w:ind w:left="380"/>
              <w:spacing w:after="0"/>
              <w:rPr>
                <w:sz w:val="20"/>
                <w:szCs w:val="20"/>
                <w:color w:val="auto"/>
              </w:rPr>
            </w:pPr>
            <w:r>
              <w:rPr>
                <w:rFonts w:ascii="Arial" w:cs="Arial" w:eastAsia="Arial" w:hAnsi="Arial"/>
                <w:sz w:val="16"/>
                <w:szCs w:val="16"/>
                <w:color w:val="auto"/>
              </w:rPr>
              <w:t>Current portion of warranty</w:t>
            </w: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21,063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82</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21,145</w:t>
            </w:r>
          </w:p>
        </w:tc>
      </w:tr>
      <w:tr>
        <w:trPr>
          <w:trHeight w:val="33"/>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23,573</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67,009</w:t>
            </w:r>
          </w:p>
        </w:tc>
      </w:tr>
      <w:tr>
        <w:trPr>
          <w:trHeight w:val="231"/>
        </w:trPr>
        <w:tc>
          <w:tcPr>
            <w:tcW w:w="6360" w:type="dxa"/>
            <w:vAlign w:val="bottom"/>
          </w:tcPr>
          <w:p>
            <w:pPr>
              <w:ind w:left="70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496,775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23,294</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520,069</w:t>
            </w:r>
          </w:p>
        </w:tc>
      </w:tr>
      <w:tr>
        <w:trPr>
          <w:trHeight w:val="33"/>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293,969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293,969</w:t>
            </w:r>
          </w:p>
        </w:tc>
      </w:tr>
      <w:tr>
        <w:trPr>
          <w:trHeight w:val="33"/>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warranty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15,403</w:t>
            </w:r>
          </w:p>
        </w:tc>
      </w:tr>
      <w:tr>
        <w:trPr>
          <w:trHeight w:val="237"/>
        </w:trPr>
        <w:tc>
          <w:tcPr>
            <w:tcW w:w="6360" w:type="dxa"/>
            <w:vAlign w:val="bottom"/>
          </w:tcPr>
          <w:p>
            <w:pPr>
              <w:ind w:left="20"/>
              <w:spacing w:after="0"/>
              <w:rPr>
                <w:sz w:val="20"/>
                <w:szCs w:val="20"/>
                <w:color w:val="auto"/>
              </w:rPr>
            </w:pPr>
            <w:r>
              <w:rPr>
                <w:rFonts w:ascii="Arial" w:cs="Arial" w:eastAsia="Arial" w:hAnsi="Arial"/>
                <w:sz w:val="16"/>
                <w:szCs w:val="16"/>
                <w:color w:val="auto"/>
              </w:rPr>
              <w:t>Pension plan benefit liability</w:t>
            </w: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101,432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430</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101,862</w:t>
            </w:r>
          </w:p>
        </w:tc>
      </w:tr>
      <w:tr>
        <w:trPr>
          <w:trHeight w:val="33"/>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liabilities noncurrent,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3,808</w:t>
            </w:r>
          </w:p>
        </w:tc>
      </w:tr>
      <w:tr>
        <w:trPr>
          <w:trHeight w:val="237"/>
        </w:trPr>
        <w:tc>
          <w:tcPr>
            <w:tcW w:w="6360" w:type="dxa"/>
            <w:vAlign w:val="bottom"/>
          </w:tcPr>
          <w:p>
            <w:pPr>
              <w:ind w:left="20"/>
              <w:spacing w:after="0"/>
              <w:rPr>
                <w:sz w:val="20"/>
                <w:szCs w:val="20"/>
                <w:color w:val="auto"/>
              </w:rPr>
            </w:pPr>
            <w:r>
              <w:rPr>
                <w:rFonts w:ascii="Arial" w:cs="Arial" w:eastAsia="Arial" w:hAnsi="Arial"/>
                <w:sz w:val="16"/>
                <w:szCs w:val="16"/>
                <w:color w:val="auto"/>
              </w:rPr>
              <w:t>Other long-term obligations</w:t>
            </w: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84,437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33,657</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118,094</w:t>
            </w:r>
          </w:p>
        </w:tc>
      </w:tr>
      <w:tr>
        <w:trPr>
          <w:trHeight w:val="33"/>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995,824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57,381</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1,053,205</w:t>
            </w:r>
          </w:p>
        </w:tc>
      </w:tr>
      <w:tr>
        <w:trPr>
          <w:trHeight w:val="270"/>
        </w:trPr>
        <w:tc>
          <w:tcPr>
            <w:tcW w:w="6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13)</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70"/>
        </w:trPr>
        <w:tc>
          <w:tcPr>
            <w:tcW w:w="6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6360" w:type="dxa"/>
            <w:vAlign w:val="bottom"/>
          </w:tcPr>
          <w:p>
            <w:pPr>
              <w:ind w:left="380"/>
              <w:spacing w:after="0"/>
              <w:rPr>
                <w:sz w:val="20"/>
                <w:szCs w:val="20"/>
                <w:color w:val="auto"/>
              </w:rPr>
            </w:pPr>
            <w:r>
              <w:rPr>
                <w:rFonts w:ascii="Arial" w:cs="Arial" w:eastAsia="Arial" w:hAnsi="Arial"/>
                <w:sz w:val="16"/>
                <w:szCs w:val="16"/>
                <w:color w:val="auto"/>
              </w:rPr>
              <w:t>Preferred stock</w:t>
            </w:r>
          </w:p>
        </w:tc>
        <w:tc>
          <w:tcPr>
            <w:tcW w:w="2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1,270,045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1,270,045</w:t>
            </w:r>
          </w:p>
        </w:tc>
      </w:tr>
      <w:tr>
        <w:trPr>
          <w:trHeight w:val="237"/>
        </w:trPr>
        <w:tc>
          <w:tcPr>
            <w:tcW w:w="6360" w:type="dxa"/>
            <w:vAlign w:val="bottom"/>
          </w:tcPr>
          <w:p>
            <w:pPr>
              <w:ind w:left="380"/>
              <w:spacing w:after="0"/>
              <w:rPr>
                <w:sz w:val="20"/>
                <w:szCs w:val="20"/>
                <w:color w:val="auto"/>
              </w:rPr>
            </w:pPr>
            <w:r>
              <w:rPr>
                <w:rFonts w:ascii="Arial" w:cs="Arial" w:eastAsia="Arial" w:hAnsi="Arial"/>
                <w:sz w:val="16"/>
                <w:szCs w:val="16"/>
                <w:color w:val="auto"/>
              </w:rPr>
              <w:t>Accumulated other comprehensive loss, net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(136,514)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1,454</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(135,060)</w:t>
            </w:r>
          </w:p>
        </w:tc>
      </w:tr>
      <w:tr>
        <w:trPr>
          <w:trHeight w:val="33"/>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(436,591)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(17,393)</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(453,984)</w:t>
            </w:r>
          </w:p>
        </w:tc>
      </w:tr>
      <w:tr>
        <w:trPr>
          <w:trHeight w:val="231"/>
        </w:trPr>
        <w:tc>
          <w:tcPr>
            <w:tcW w:w="6360" w:type="dxa"/>
            <w:vAlign w:val="bottom"/>
          </w:tcPr>
          <w:p>
            <w:pPr>
              <w:ind w:left="700"/>
              <w:spacing w:after="0"/>
              <w:rPr>
                <w:sz w:val="20"/>
                <w:szCs w:val="20"/>
                <w:color w:val="auto"/>
              </w:rPr>
            </w:pPr>
            <w:r>
              <w:rPr>
                <w:rFonts w:ascii="Arial" w:cs="Arial" w:eastAsia="Arial" w:hAnsi="Arial"/>
                <w:sz w:val="16"/>
                <w:szCs w:val="16"/>
                <w:color w:val="auto"/>
              </w:rPr>
              <w:t>Total Itron, Inc. shareholders' equity</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696,940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(15,939)</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681,001</w:t>
            </w:r>
          </w:p>
        </w:tc>
      </w:tr>
      <w:tr>
        <w:trPr>
          <w:trHeight w:val="33"/>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17,541</w:t>
            </w:r>
          </w:p>
        </w:tc>
      </w:tr>
      <w:tr>
        <w:trPr>
          <w:trHeight w:val="231"/>
        </w:trPr>
        <w:tc>
          <w:tcPr>
            <w:tcW w:w="6360" w:type="dxa"/>
            <w:vAlign w:val="bottom"/>
          </w:tcPr>
          <w:p>
            <w:pPr>
              <w:ind w:left="700"/>
              <w:spacing w:after="0"/>
              <w:rPr>
                <w:sz w:val="20"/>
                <w:szCs w:val="20"/>
                <w:color w:val="auto"/>
              </w:rPr>
            </w:pPr>
            <w:r>
              <w:rPr>
                <w:rFonts w:ascii="Arial" w:cs="Arial" w:eastAsia="Arial" w:hAnsi="Arial"/>
                <w:sz w:val="16"/>
                <w:szCs w:val="16"/>
                <w:color w:val="auto"/>
              </w:rPr>
              <w:t>Total equity</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714,481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(15,939)</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698,542</w:t>
            </w:r>
          </w:p>
        </w:tc>
      </w:tr>
      <w:tr>
        <w:trPr>
          <w:trHeight w:val="33"/>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liabilities and equity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1,710,305</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41,442</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1,751,747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125" w:right="25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6000" w:type="dxa"/>
            <w:vAlign w:val="bottom"/>
          </w:tcPr>
          <w:p>
            <w:pPr>
              <w:spacing w:after="0"/>
              <w:rPr>
                <w:sz w:val="20"/>
                <w:szCs w:val="20"/>
                <w:color w:val="auto"/>
              </w:rPr>
            </w:pPr>
            <w:r>
              <w:rPr>
                <w:rFonts w:ascii="Arial" w:cs="Arial" w:eastAsia="Arial" w:hAnsi="Arial"/>
                <w:sz w:val="16"/>
                <w:szCs w:val="16"/>
                <w:i w:val="1"/>
                <w:iCs w:val="1"/>
                <w:color w:val="auto"/>
              </w:rPr>
              <w:t>Statement of cash flows data:</w:t>
            </w:r>
          </w:p>
        </w:tc>
        <w:tc>
          <w:tcPr>
            <w:tcW w:w="3940" w:type="dxa"/>
            <w:vAlign w:val="bottom"/>
            <w:gridSpan w:val="2"/>
          </w:tcPr>
          <w:p>
            <w:pPr>
              <w:jc w:val="center"/>
              <w:ind w:left="1339"/>
              <w:spacing w:after="0"/>
              <w:rPr>
                <w:sz w:val="20"/>
                <w:szCs w:val="20"/>
                <w:color w:val="auto"/>
              </w:rPr>
            </w:pPr>
            <w:r>
              <w:rPr>
                <w:rFonts w:ascii="Arial" w:cs="Arial" w:eastAsia="Arial" w:hAnsi="Arial"/>
                <w:sz w:val="16"/>
                <w:szCs w:val="16"/>
                <w:b w:val="1"/>
                <w:bCs w:val="1"/>
                <w:color w:val="auto"/>
                <w:w w:val="91"/>
              </w:rPr>
              <w:t>Year Ended December 31, 2014</w:t>
            </w:r>
          </w:p>
        </w:tc>
        <w:tc>
          <w:tcPr>
            <w:tcW w:w="1400" w:type="dxa"/>
            <w:vAlign w:val="bottom"/>
          </w:tcPr>
          <w:p>
            <w:pPr>
              <w:spacing w:after="0"/>
              <w:rPr>
                <w:sz w:val="18"/>
                <w:szCs w:val="18"/>
                <w:color w:val="auto"/>
              </w:rPr>
            </w:pPr>
          </w:p>
        </w:tc>
      </w:tr>
      <w:tr>
        <w:trPr>
          <w:trHeight w:val="33"/>
        </w:trPr>
        <w:tc>
          <w:tcPr>
            <w:tcW w:w="60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6000" w:type="dxa"/>
            <w:vAlign w:val="bottom"/>
          </w:tcPr>
          <w:p>
            <w:pPr>
              <w:spacing w:after="0"/>
              <w:rPr>
                <w:sz w:val="20"/>
                <w:szCs w:val="20"/>
                <w:color w:val="auto"/>
              </w:rPr>
            </w:pPr>
          </w:p>
        </w:tc>
        <w:tc>
          <w:tcPr>
            <w:tcW w:w="1940" w:type="dxa"/>
            <w:vAlign w:val="bottom"/>
          </w:tcPr>
          <w:p>
            <w:pPr>
              <w:ind w:left="40"/>
              <w:spacing w:after="0"/>
              <w:rPr>
                <w:sz w:val="20"/>
                <w:szCs w:val="20"/>
                <w:color w:val="auto"/>
              </w:rPr>
            </w:pPr>
            <w:r>
              <w:rPr>
                <w:rFonts w:ascii="Arial" w:cs="Arial" w:eastAsia="Arial" w:hAnsi="Arial"/>
                <w:sz w:val="16"/>
                <w:szCs w:val="16"/>
                <w:b w:val="1"/>
                <w:bCs w:val="1"/>
                <w:color w:val="auto"/>
              </w:rPr>
              <w:t>As Previously Reported</w:t>
            </w:r>
          </w:p>
        </w:tc>
        <w:tc>
          <w:tcPr>
            <w:tcW w:w="2000" w:type="dxa"/>
            <w:vAlign w:val="bottom"/>
          </w:tcPr>
          <w:p>
            <w:pPr>
              <w:jc w:val="center"/>
              <w:ind w:right="399"/>
              <w:spacing w:after="0"/>
              <w:rPr>
                <w:sz w:val="20"/>
                <w:szCs w:val="20"/>
                <w:color w:val="auto"/>
              </w:rPr>
            </w:pPr>
            <w:r>
              <w:rPr>
                <w:rFonts w:ascii="Arial" w:cs="Arial" w:eastAsia="Arial" w:hAnsi="Arial"/>
                <w:sz w:val="16"/>
                <w:szCs w:val="16"/>
                <w:b w:val="1"/>
                <w:bCs w:val="1"/>
                <w:color w:val="auto"/>
                <w:w w:val="90"/>
              </w:rPr>
              <w:t>Adjustments</w:t>
            </w:r>
          </w:p>
        </w:tc>
        <w:tc>
          <w:tcPr>
            <w:tcW w:w="1400" w:type="dxa"/>
            <w:vAlign w:val="bottom"/>
          </w:tcPr>
          <w:p>
            <w:pPr>
              <w:ind w:left="160"/>
              <w:spacing w:after="0"/>
              <w:rPr>
                <w:sz w:val="20"/>
                <w:szCs w:val="20"/>
                <w:color w:val="auto"/>
              </w:rPr>
            </w:pPr>
            <w:r>
              <w:rPr>
                <w:rFonts w:ascii="Arial" w:cs="Arial" w:eastAsia="Arial" w:hAnsi="Arial"/>
                <w:sz w:val="16"/>
                <w:szCs w:val="16"/>
                <w:b w:val="1"/>
                <w:bCs w:val="1"/>
                <w:color w:val="auto"/>
              </w:rPr>
              <w:t>As Revised</w:t>
            </w:r>
          </w:p>
        </w:tc>
      </w:tr>
      <w:tr>
        <w:trPr>
          <w:trHeight w:val="33"/>
        </w:trPr>
        <w:tc>
          <w:tcPr>
            <w:tcW w:w="60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6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0" w:type="dxa"/>
            <w:vAlign w:val="bottom"/>
          </w:tcPr>
          <w:p>
            <w:pPr>
              <w:jc w:val="center"/>
              <w:ind w:right="439"/>
              <w:spacing w:after="0"/>
              <w:rPr>
                <w:sz w:val="20"/>
                <w:szCs w:val="20"/>
                <w:color w:val="auto"/>
              </w:rPr>
            </w:pPr>
            <w:r>
              <w:rPr>
                <w:rFonts w:ascii="Arial" w:cs="Arial" w:eastAsia="Arial" w:hAnsi="Arial"/>
                <w:sz w:val="16"/>
                <w:szCs w:val="16"/>
                <w:b w:val="1"/>
                <w:bCs w:val="1"/>
                <w:color w:val="auto"/>
                <w:w w:val="90"/>
              </w:rPr>
              <w:t>(in thousands)</w:t>
            </w:r>
          </w:p>
        </w:tc>
        <w:tc>
          <w:tcPr>
            <w:tcW w:w="1400" w:type="dxa"/>
            <w:vAlign w:val="bottom"/>
          </w:tcPr>
          <w:p>
            <w:pPr>
              <w:spacing w:after="0"/>
              <w:rPr>
                <w:sz w:val="18"/>
                <w:szCs w:val="18"/>
                <w:color w:val="auto"/>
              </w:rPr>
            </w:pPr>
          </w:p>
        </w:tc>
      </w:tr>
    </w:tbl>
    <w:p>
      <w:pPr>
        <w:spacing w:after="0" w:line="50" w:lineRule="exact"/>
        <w:rPr>
          <w:sz w:val="20"/>
          <w:szCs w:val="20"/>
          <w:color w:val="auto"/>
        </w:rPr>
      </w:pPr>
    </w:p>
    <w:p>
      <w:pPr>
        <w:sectPr>
          <w:pgSz w:w="11900" w:h="16838" w:orient="portrait"/>
          <w:cols w:equalWidth="0" w:num="1">
            <w:col w:w="11400"/>
          </w:cols>
          <w:pgMar w:left="240" w:top="125" w:right="259" w:bottom="1440" w:gutter="0" w:footer="0" w:header="0"/>
        </w:sectPr>
      </w:pPr>
    </w:p>
    <w:p>
      <w:pPr>
        <w:ind w:left="60"/>
        <w:spacing w:after="0"/>
        <w:rPr>
          <w:sz w:val="20"/>
          <w:szCs w:val="20"/>
          <w:color w:val="auto"/>
        </w:rPr>
      </w:pPr>
      <w:r>
        <w:rPr>
          <w:rFonts w:ascii="Arial" w:cs="Arial" w:eastAsia="Arial" w:hAnsi="Arial"/>
          <w:sz w:val="16"/>
          <w:szCs w:val="16"/>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300"/>
        <w:spacing w:after="0"/>
        <w:tabs>
          <w:tab w:leader="none" w:pos="6060" w:val="left"/>
        </w:tabs>
        <w:rPr>
          <w:sz w:val="20"/>
          <w:szCs w:val="20"/>
          <w:color w:val="auto"/>
        </w:rPr>
      </w:pPr>
      <w:r>
        <w:rPr>
          <w:rFonts w:ascii="Arial" w:cs="Arial" w:eastAsia="Arial" w:hAnsi="Arial"/>
          <w:sz w:val="16"/>
          <w:szCs w:val="16"/>
          <w:color w:val="auto"/>
        </w:rPr>
        <w:t>Net income (loss)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50800</wp:posOffset>
            </wp:positionV>
            <wp:extent cx="72123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Amortization of prepaid debt fees</w:t>
      </w:r>
    </w:p>
    <w:p>
      <w:pPr>
        <w:spacing w:after="0" w:line="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Deferred taxes,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Goodwill impairment</w:t>
      </w:r>
    </w:p>
    <w:p>
      <w:pPr>
        <w:spacing w:after="0" w:line="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Restructuring, non-cash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adjustments, net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operating assets and liabilities, net of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Other current assets</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Accounts payables, other current liabilities, and taxes payable</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Wages and benefits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Unearned revenue</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Other operating, net</w:t>
      </w:r>
    </w:p>
    <w:p>
      <w:pPr>
        <w:spacing w:after="0" w:line="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43815</wp:posOffset>
            </wp:positionV>
            <wp:extent cx="72123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ind w:right="99"/>
              <w:spacing w:after="0"/>
              <w:rPr>
                <w:sz w:val="20"/>
                <w:szCs w:val="20"/>
                <w:color w:val="auto"/>
              </w:rPr>
            </w:pPr>
            <w:r>
              <w:rPr>
                <w:rFonts w:ascii="Arial" w:cs="Arial" w:eastAsia="Arial" w:hAnsi="Arial"/>
                <w:sz w:val="16"/>
                <w:szCs w:val="16"/>
                <w:color w:val="auto"/>
                <w:w w:val="93"/>
              </w:rPr>
              <w:t>(21,550)</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7"/>
                <w:szCs w:val="17"/>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(22,300)</w:t>
            </w:r>
          </w:p>
        </w:tc>
      </w:tr>
      <w:tr>
        <w:trPr>
          <w:trHeight w:val="54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98,463</w:t>
            </w:r>
          </w:p>
        </w:tc>
        <w:tc>
          <w:tcPr>
            <w:tcW w:w="6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98,139</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17,860</w:t>
            </w:r>
          </w:p>
        </w:tc>
        <w:tc>
          <w:tcPr>
            <w:tcW w:w="6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17,860</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1,612</w:t>
            </w:r>
          </w:p>
        </w:tc>
        <w:tc>
          <w:tcPr>
            <w:tcW w:w="6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1,612</w:t>
            </w:r>
          </w:p>
        </w:tc>
      </w:tr>
      <w:tr>
        <w:trPr>
          <w:trHeight w:val="270"/>
        </w:trPr>
        <w:tc>
          <w:tcPr>
            <w:tcW w:w="760" w:type="dxa"/>
            <w:vAlign w:val="bottom"/>
          </w:tcPr>
          <w:p>
            <w:pPr>
              <w:jc w:val="right"/>
              <w:ind w:right="99"/>
              <w:spacing w:after="0"/>
              <w:rPr>
                <w:sz w:val="20"/>
                <w:szCs w:val="20"/>
                <w:color w:val="auto"/>
              </w:rPr>
            </w:pPr>
            <w:r>
              <w:rPr>
                <w:rFonts w:ascii="Arial" w:cs="Arial" w:eastAsia="Arial" w:hAnsi="Arial"/>
                <w:sz w:val="16"/>
                <w:szCs w:val="16"/>
                <w:color w:val="auto"/>
                <w:w w:val="93"/>
              </w:rPr>
              <w:t>(31,542)</w:t>
            </w:r>
          </w:p>
        </w:tc>
        <w:tc>
          <w:tcPr>
            <w:tcW w:w="6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(3,215)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(34,757)</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977</w:t>
            </w:r>
          </w:p>
        </w:tc>
        <w:tc>
          <w:tcPr>
            <w:tcW w:w="6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5,220</w:t>
            </w:r>
          </w:p>
        </w:tc>
        <w:tc>
          <w:tcPr>
            <w:tcW w:w="6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5,172</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914</w:t>
            </w:r>
          </w:p>
        </w:tc>
        <w:tc>
          <w:tcPr>
            <w:tcW w:w="6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914</w:t>
            </w:r>
          </w:p>
        </w:tc>
      </w:tr>
      <w:tr>
        <w:trPr>
          <w:trHeight w:val="540"/>
        </w:trPr>
        <w:tc>
          <w:tcPr>
            <w:tcW w:w="760" w:type="dxa"/>
            <w:vAlign w:val="bottom"/>
          </w:tcPr>
          <w:p>
            <w:pPr>
              <w:jc w:val="right"/>
              <w:ind w:right="99"/>
              <w:spacing w:after="0"/>
              <w:rPr>
                <w:sz w:val="20"/>
                <w:szCs w:val="20"/>
                <w:color w:val="auto"/>
              </w:rPr>
            </w:pPr>
            <w:r>
              <w:rPr>
                <w:rFonts w:ascii="Arial" w:cs="Arial" w:eastAsia="Arial" w:hAnsi="Arial"/>
                <w:sz w:val="16"/>
                <w:szCs w:val="16"/>
                <w:color w:val="auto"/>
                <w:w w:val="93"/>
              </w:rPr>
              <w:t>(16,789)</w:t>
            </w:r>
          </w:p>
        </w:tc>
        <w:tc>
          <w:tcPr>
            <w:tcW w:w="60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1,670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(15,119)</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6,021</w:t>
            </w:r>
          </w:p>
        </w:tc>
        <w:tc>
          <w:tcPr>
            <w:tcW w:w="60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1,187</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7,208</w:t>
            </w:r>
          </w:p>
        </w:tc>
      </w:tr>
      <w:tr>
        <w:trPr>
          <w:trHeight w:val="270"/>
        </w:trPr>
        <w:tc>
          <w:tcPr>
            <w:tcW w:w="760" w:type="dxa"/>
            <w:vAlign w:val="bottom"/>
          </w:tcPr>
          <w:p>
            <w:pPr>
              <w:jc w:val="right"/>
              <w:ind w:right="99"/>
              <w:spacing w:after="0"/>
              <w:rPr>
                <w:sz w:val="20"/>
                <w:szCs w:val="20"/>
                <w:color w:val="auto"/>
              </w:rPr>
            </w:pPr>
            <w:r>
              <w:rPr>
                <w:rFonts w:ascii="Arial" w:cs="Arial" w:eastAsia="Arial" w:hAnsi="Arial"/>
                <w:sz w:val="16"/>
                <w:szCs w:val="16"/>
                <w:color w:val="auto"/>
              </w:rPr>
              <w:t>(9,447)</w:t>
            </w:r>
          </w:p>
        </w:tc>
        <w:tc>
          <w:tcPr>
            <w:tcW w:w="6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(10,947)</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1,582</w:t>
            </w:r>
          </w:p>
        </w:tc>
        <w:tc>
          <w:tcPr>
            <w:tcW w:w="6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(14,122)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(12,540)</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55,924</w:t>
            </w:r>
          </w:p>
        </w:tc>
        <w:tc>
          <w:tcPr>
            <w:tcW w:w="60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56,158</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10,334</w:t>
            </w:r>
          </w:p>
        </w:tc>
        <w:tc>
          <w:tcPr>
            <w:tcW w:w="6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(2,832)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7,502</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9,240</w:t>
            </w:r>
          </w:p>
        </w:tc>
        <w:tc>
          <w:tcPr>
            <w:tcW w:w="60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21,344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30,584</w:t>
            </w:r>
          </w:p>
        </w:tc>
      </w:tr>
      <w:tr>
        <w:trPr>
          <w:trHeight w:val="270"/>
        </w:trPr>
        <w:tc>
          <w:tcPr>
            <w:tcW w:w="760" w:type="dxa"/>
            <w:vAlign w:val="bottom"/>
          </w:tcPr>
          <w:p>
            <w:pPr>
              <w:jc w:val="right"/>
              <w:ind w:right="99"/>
              <w:spacing w:after="0"/>
              <w:rPr>
                <w:sz w:val="20"/>
                <w:szCs w:val="20"/>
                <w:color w:val="auto"/>
              </w:rPr>
            </w:pPr>
            <w:r>
              <w:rPr>
                <w:rFonts w:ascii="Arial" w:cs="Arial" w:eastAsia="Arial" w:hAnsi="Arial"/>
                <w:sz w:val="16"/>
                <w:szCs w:val="16"/>
                <w:color w:val="auto"/>
              </w:rPr>
              <w:t>(6,364)</w:t>
            </w:r>
          </w:p>
        </w:tc>
        <w:tc>
          <w:tcPr>
            <w:tcW w:w="6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(7,297)</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10,518</w:t>
            </w:r>
          </w:p>
        </w:tc>
        <w:tc>
          <w:tcPr>
            <w:tcW w:w="60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10,784</w:t>
            </w:r>
          </w:p>
        </w:tc>
      </w:tr>
      <w:tr>
        <w:trPr>
          <w:trHeight w:val="33"/>
        </w:trPr>
        <w:tc>
          <w:tcPr>
            <w:tcW w:w="7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Arial" w:cs="Arial" w:eastAsia="Arial" w:hAnsi="Arial"/>
                <w:sz w:val="16"/>
                <w:szCs w:val="16"/>
                <w:color w:val="auto"/>
                <w:w w:val="86"/>
              </w:rPr>
              <w:t>132,973</w:t>
            </w:r>
          </w:p>
        </w:tc>
        <w:tc>
          <w:tcPr>
            <w:tcW w:w="6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132,973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-149860</wp:posOffset>
            </wp:positionV>
            <wp:extent cx="10979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20" w:space="720"/>
            <w:col w:w="4260"/>
          </w:cols>
          <w:pgMar w:left="240" w:top="125" w:right="259" w:bottom="1440" w:gutter="0" w:footer="0" w:header="0"/>
          <w:type w:val="continuous"/>
        </w:sectPr>
      </w:pP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0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7"/>
        </w:trPr>
        <w:tc>
          <w:tcPr>
            <w:tcW w:w="6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6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Acquisitions of property, plant, and equipment</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(44,495)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(44,495)</w:t>
            </w:r>
          </w:p>
        </w:tc>
      </w:tr>
      <w:tr>
        <w:trPr>
          <w:trHeight w:val="237"/>
        </w:trPr>
        <w:tc>
          <w:tcPr>
            <w:tcW w:w="6020" w:type="dxa"/>
            <w:vAlign w:val="bottom"/>
          </w:tcPr>
          <w:p>
            <w:pPr>
              <w:ind w:left="260"/>
              <w:spacing w:after="0"/>
              <w:rPr>
                <w:sz w:val="20"/>
                <w:szCs w:val="20"/>
                <w:color w:val="auto"/>
              </w:rPr>
            </w:pPr>
            <w:r>
              <w:rPr>
                <w:rFonts w:ascii="Arial" w:cs="Arial" w:eastAsia="Arial" w:hAnsi="Arial"/>
                <w:sz w:val="16"/>
                <w:szCs w:val="16"/>
                <w:color w:val="auto"/>
              </w:rPr>
              <w:t>Business acquisitions, net of cash equivalents acquired</w:t>
            </w:r>
          </w:p>
        </w:tc>
        <w:tc>
          <w:tcPr>
            <w:tcW w:w="56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investing, net</w:t>
            </w: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2,999</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2,999</w:t>
            </w:r>
          </w:p>
        </w:tc>
      </w:tr>
      <w:tr>
        <w:trPr>
          <w:trHeight w:val="217"/>
        </w:trPr>
        <w:tc>
          <w:tcPr>
            <w:tcW w:w="6020" w:type="dxa"/>
            <w:vAlign w:val="bottom"/>
          </w:tcPr>
          <w:p>
            <w:pPr>
              <w:ind w:left="580"/>
              <w:spacing w:after="0"/>
              <w:rPr>
                <w:sz w:val="20"/>
                <w:szCs w:val="20"/>
                <w:color w:val="auto"/>
              </w:rPr>
            </w:pPr>
            <w:r>
              <w:rPr>
                <w:rFonts w:ascii="Arial" w:cs="Arial" w:eastAsia="Arial" w:hAnsi="Arial"/>
                <w:sz w:val="16"/>
                <w:szCs w:val="16"/>
                <w:color w:val="auto"/>
              </w:rPr>
              <w:t>Net cash used in investing activities</w:t>
            </w:r>
          </w:p>
        </w:tc>
        <w:tc>
          <w:tcPr>
            <w:tcW w:w="5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(41,496)</w:t>
            </w: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(41,496)</w:t>
            </w:r>
          </w:p>
        </w:tc>
      </w:tr>
      <w:tr>
        <w:trPr>
          <w:trHeight w:val="33"/>
        </w:trPr>
        <w:tc>
          <w:tcPr>
            <w:tcW w:w="6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4"/>
        </w:trPr>
        <w:tc>
          <w:tcPr>
            <w:tcW w:w="60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
        </w:trPr>
        <w:tc>
          <w:tcPr>
            <w:tcW w:w="6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6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borrowings</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47,657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47,657</w:t>
            </w:r>
          </w:p>
        </w:tc>
      </w:tr>
      <w:tr>
        <w:trPr>
          <w:trHeight w:val="237"/>
        </w:trPr>
        <w:tc>
          <w:tcPr>
            <w:tcW w:w="6020" w:type="dxa"/>
            <w:vAlign w:val="bottom"/>
          </w:tcPr>
          <w:p>
            <w:pPr>
              <w:ind w:left="260"/>
              <w:spacing w:after="0"/>
              <w:rPr>
                <w:sz w:val="20"/>
                <w:szCs w:val="20"/>
                <w:color w:val="auto"/>
              </w:rPr>
            </w:pPr>
            <w:r>
              <w:rPr>
                <w:rFonts w:ascii="Arial" w:cs="Arial" w:eastAsia="Arial" w:hAnsi="Arial"/>
                <w:sz w:val="16"/>
                <w:szCs w:val="16"/>
                <w:color w:val="auto"/>
              </w:rPr>
              <w:t>Payments on debt</w:t>
            </w:r>
          </w:p>
        </w:tc>
        <w:tc>
          <w:tcPr>
            <w:tcW w:w="5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(102,438)</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(102,438)</w:t>
            </w:r>
          </w:p>
        </w:tc>
      </w:tr>
      <w:tr>
        <w:trPr>
          <w:trHeight w:val="33"/>
        </w:trPr>
        <w:tc>
          <w:tcPr>
            <w:tcW w:w="6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Issuance of common stock</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3,647</w:t>
            </w:r>
          </w:p>
        </w:tc>
      </w:tr>
      <w:tr>
        <w:trPr>
          <w:trHeight w:val="237"/>
        </w:trPr>
        <w:tc>
          <w:tcPr>
            <w:tcW w:w="6020" w:type="dxa"/>
            <w:vAlign w:val="bottom"/>
          </w:tcPr>
          <w:p>
            <w:pPr>
              <w:ind w:left="260"/>
              <w:spacing w:after="0"/>
              <w:rPr>
                <w:sz w:val="20"/>
                <w:szCs w:val="20"/>
                <w:color w:val="auto"/>
              </w:rPr>
            </w:pPr>
            <w:r>
              <w:rPr>
                <w:rFonts w:ascii="Arial" w:cs="Arial" w:eastAsia="Arial" w:hAnsi="Arial"/>
                <w:sz w:val="16"/>
                <w:szCs w:val="16"/>
                <w:color w:val="auto"/>
              </w:rPr>
              <w:t>Repurchase of common stock</w:t>
            </w:r>
          </w:p>
        </w:tc>
        <w:tc>
          <w:tcPr>
            <w:tcW w:w="5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(39,665)</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(39,665)</w:t>
            </w:r>
          </w:p>
        </w:tc>
      </w:tr>
      <w:tr>
        <w:trPr>
          <w:trHeight w:val="33"/>
        </w:trPr>
        <w:tc>
          <w:tcPr>
            <w:tcW w:w="6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financing, net</w:t>
            </w: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r>
      <w:tr>
        <w:trPr>
          <w:trHeight w:val="217"/>
        </w:trPr>
        <w:tc>
          <w:tcPr>
            <w:tcW w:w="6020" w:type="dxa"/>
            <w:vAlign w:val="bottom"/>
          </w:tcPr>
          <w:p>
            <w:pPr>
              <w:ind w:left="580"/>
              <w:spacing w:after="0"/>
              <w:rPr>
                <w:sz w:val="20"/>
                <w:szCs w:val="20"/>
                <w:color w:val="auto"/>
              </w:rPr>
            </w:pPr>
            <w:r>
              <w:rPr>
                <w:rFonts w:ascii="Arial" w:cs="Arial" w:eastAsia="Arial" w:hAnsi="Arial"/>
                <w:sz w:val="16"/>
                <w:szCs w:val="16"/>
                <w:color w:val="auto"/>
              </w:rPr>
              <w:t>Net cash provided by (used in) financing activities</w:t>
            </w:r>
          </w:p>
        </w:tc>
        <w:tc>
          <w:tcPr>
            <w:tcW w:w="5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(91,877)</w:t>
            </w: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(91,877)</w:t>
            </w:r>
          </w:p>
        </w:tc>
      </w:tr>
      <w:tr>
        <w:trPr>
          <w:trHeight w:val="33"/>
        </w:trPr>
        <w:tc>
          <w:tcPr>
            <w:tcW w:w="6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5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(12,034)</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(12,034)</w:t>
            </w:r>
          </w:p>
        </w:tc>
      </w:tr>
      <w:tr>
        <w:trPr>
          <w:trHeight w:val="33"/>
        </w:trPr>
        <w:tc>
          <w:tcPr>
            <w:tcW w:w="60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(decrease) in cash and cash equivalents</w:t>
            </w:r>
          </w:p>
        </w:tc>
        <w:tc>
          <w:tcPr>
            <w:tcW w:w="5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(12,434)</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(12,434)</w:t>
            </w: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5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124,805</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124,805</w:t>
            </w:r>
          </w:p>
        </w:tc>
      </w:tr>
      <w:tr>
        <w:trPr>
          <w:trHeight w:val="33"/>
        </w:trPr>
        <w:tc>
          <w:tcPr>
            <w:tcW w:w="60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112,371</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112,371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6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Supplemental disclosure of cash flow information:</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4"/>
        </w:trPr>
        <w:tc>
          <w:tcPr>
            <w:tcW w:w="6020" w:type="dxa"/>
            <w:vAlign w:val="bottom"/>
          </w:tcPr>
          <w:p>
            <w:pPr>
              <w:ind w:left="260"/>
              <w:spacing w:after="0"/>
              <w:rPr>
                <w:sz w:val="20"/>
                <w:szCs w:val="20"/>
                <w:color w:val="auto"/>
              </w:rPr>
            </w:pPr>
            <w:r>
              <w:rPr>
                <w:rFonts w:ascii="Arial" w:cs="Arial" w:eastAsia="Arial" w:hAnsi="Arial"/>
                <w:sz w:val="16"/>
                <w:szCs w:val="16"/>
                <w:color w:val="auto"/>
              </w:rPr>
              <w:t>Cash paid during the period for:</w:t>
            </w: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
        </w:trPr>
        <w:tc>
          <w:tcPr>
            <w:tcW w:w="6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60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Income taxes, net</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18,222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18,222</w:t>
            </w:r>
          </w:p>
        </w:tc>
      </w:tr>
      <w:tr>
        <w:trPr>
          <w:trHeight w:val="237"/>
        </w:trPr>
        <w:tc>
          <w:tcPr>
            <w:tcW w:w="6020" w:type="dxa"/>
            <w:vAlign w:val="bottom"/>
          </w:tcPr>
          <w:p>
            <w:pPr>
              <w:ind w:left="580"/>
              <w:spacing w:after="0"/>
              <w:rPr>
                <w:sz w:val="20"/>
                <w:szCs w:val="20"/>
                <w:color w:val="auto"/>
              </w:rPr>
            </w:pPr>
            <w:r>
              <w:rPr>
                <w:rFonts w:ascii="Arial" w:cs="Arial" w:eastAsia="Arial" w:hAnsi="Arial"/>
                <w:sz w:val="16"/>
                <w:szCs w:val="16"/>
                <w:color w:val="auto"/>
              </w:rPr>
              <w:t>Interest, net of amounts capitalized</w:t>
            </w:r>
          </w:p>
        </w:tc>
        <w:tc>
          <w:tcPr>
            <w:tcW w:w="5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9,912</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9,912</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type w:val="continuous"/>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00"/>
          </w:cols>
          <w:pgMar w:left="240" w:top="125" w:right="25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20" w:type="dxa"/>
            <w:vAlign w:val="bottom"/>
          </w:tcPr>
          <w:p>
            <w:pPr>
              <w:spacing w:after="0"/>
              <w:rPr>
                <w:sz w:val="20"/>
                <w:szCs w:val="20"/>
                <w:color w:val="auto"/>
              </w:rPr>
            </w:pPr>
            <w:r>
              <w:rPr>
                <w:rFonts w:ascii="Arial" w:cs="Arial" w:eastAsia="Arial" w:hAnsi="Arial"/>
                <w:sz w:val="16"/>
                <w:szCs w:val="16"/>
                <w:i w:val="1"/>
                <w:iCs w:val="1"/>
                <w:color w:val="auto"/>
              </w:rPr>
              <w:t>Statement of cash flows data:</w:t>
            </w:r>
          </w:p>
        </w:tc>
        <w:tc>
          <w:tcPr>
            <w:tcW w:w="3960" w:type="dxa"/>
            <w:vAlign w:val="bottom"/>
            <w:gridSpan w:val="2"/>
          </w:tcPr>
          <w:p>
            <w:pPr>
              <w:jc w:val="center"/>
              <w:ind w:left="1359"/>
              <w:spacing w:after="0"/>
              <w:rPr>
                <w:sz w:val="20"/>
                <w:szCs w:val="20"/>
                <w:color w:val="auto"/>
              </w:rPr>
            </w:pPr>
            <w:r>
              <w:rPr>
                <w:rFonts w:ascii="Arial" w:cs="Arial" w:eastAsia="Arial" w:hAnsi="Arial"/>
                <w:sz w:val="16"/>
                <w:szCs w:val="16"/>
                <w:b w:val="1"/>
                <w:bCs w:val="1"/>
                <w:color w:val="auto"/>
                <w:w w:val="91"/>
              </w:rPr>
              <w:t>Year Ended December 31, 2013</w:t>
            </w:r>
          </w:p>
        </w:tc>
        <w:tc>
          <w:tcPr>
            <w:tcW w:w="1400" w:type="dxa"/>
            <w:vAlign w:val="bottom"/>
          </w:tcPr>
          <w:p>
            <w:pPr>
              <w:spacing w:after="0"/>
              <w:rPr>
                <w:sz w:val="18"/>
                <w:szCs w:val="18"/>
                <w:color w:val="auto"/>
              </w:rPr>
            </w:pPr>
          </w:p>
        </w:tc>
      </w:tr>
      <w:tr>
        <w:trPr>
          <w:trHeight w:val="33"/>
        </w:trPr>
        <w:tc>
          <w:tcPr>
            <w:tcW w:w="60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6020" w:type="dxa"/>
            <w:vAlign w:val="bottom"/>
          </w:tcPr>
          <w:p>
            <w:pPr>
              <w:spacing w:after="0"/>
              <w:rPr>
                <w:sz w:val="20"/>
                <w:szCs w:val="20"/>
                <w:color w:val="auto"/>
              </w:rPr>
            </w:pPr>
          </w:p>
        </w:tc>
        <w:tc>
          <w:tcPr>
            <w:tcW w:w="1940" w:type="dxa"/>
            <w:vAlign w:val="bottom"/>
          </w:tcPr>
          <w:p>
            <w:pPr>
              <w:ind w:left="40"/>
              <w:spacing w:after="0"/>
              <w:rPr>
                <w:sz w:val="20"/>
                <w:szCs w:val="20"/>
                <w:color w:val="auto"/>
              </w:rPr>
            </w:pPr>
            <w:r>
              <w:rPr>
                <w:rFonts w:ascii="Arial" w:cs="Arial" w:eastAsia="Arial" w:hAnsi="Arial"/>
                <w:sz w:val="16"/>
                <w:szCs w:val="16"/>
                <w:b w:val="1"/>
                <w:bCs w:val="1"/>
                <w:color w:val="auto"/>
              </w:rPr>
              <w:t>As Previously Reported</w:t>
            </w:r>
          </w:p>
        </w:tc>
        <w:tc>
          <w:tcPr>
            <w:tcW w:w="2020" w:type="dxa"/>
            <w:vAlign w:val="bottom"/>
          </w:tcPr>
          <w:p>
            <w:pPr>
              <w:jc w:val="center"/>
              <w:ind w:right="419"/>
              <w:spacing w:after="0"/>
              <w:rPr>
                <w:sz w:val="20"/>
                <w:szCs w:val="20"/>
                <w:color w:val="auto"/>
              </w:rPr>
            </w:pPr>
            <w:r>
              <w:rPr>
                <w:rFonts w:ascii="Arial" w:cs="Arial" w:eastAsia="Arial" w:hAnsi="Arial"/>
                <w:sz w:val="16"/>
                <w:szCs w:val="16"/>
                <w:b w:val="1"/>
                <w:bCs w:val="1"/>
                <w:color w:val="auto"/>
                <w:w w:val="90"/>
              </w:rPr>
              <w:t>Adjustments</w:t>
            </w:r>
          </w:p>
        </w:tc>
        <w:tc>
          <w:tcPr>
            <w:tcW w:w="1400" w:type="dxa"/>
            <w:vAlign w:val="bottom"/>
          </w:tcPr>
          <w:p>
            <w:pPr>
              <w:ind w:left="180"/>
              <w:spacing w:after="0"/>
              <w:rPr>
                <w:sz w:val="20"/>
                <w:szCs w:val="20"/>
                <w:color w:val="auto"/>
              </w:rPr>
            </w:pPr>
            <w:r>
              <w:rPr>
                <w:rFonts w:ascii="Arial" w:cs="Arial" w:eastAsia="Arial" w:hAnsi="Arial"/>
                <w:sz w:val="16"/>
                <w:szCs w:val="16"/>
                <w:b w:val="1"/>
                <w:bCs w:val="1"/>
                <w:color w:val="auto"/>
              </w:rPr>
              <w:t>As Revised</w:t>
            </w:r>
          </w:p>
        </w:tc>
      </w:tr>
      <w:tr>
        <w:trPr>
          <w:trHeight w:val="33"/>
        </w:trPr>
        <w:tc>
          <w:tcPr>
            <w:tcW w:w="60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20" w:type="dxa"/>
            <w:vAlign w:val="bottom"/>
          </w:tcPr>
          <w:p>
            <w:pPr>
              <w:jc w:val="center"/>
              <w:ind w:right="439"/>
              <w:spacing w:after="0"/>
              <w:rPr>
                <w:sz w:val="20"/>
                <w:szCs w:val="20"/>
                <w:color w:val="auto"/>
              </w:rPr>
            </w:pPr>
            <w:r>
              <w:rPr>
                <w:rFonts w:ascii="Arial" w:cs="Arial" w:eastAsia="Arial" w:hAnsi="Arial"/>
                <w:sz w:val="16"/>
                <w:szCs w:val="16"/>
                <w:b w:val="1"/>
                <w:bCs w:val="1"/>
                <w:color w:val="auto"/>
                <w:w w:val="88"/>
              </w:rPr>
              <w:t>(in thousands)</w:t>
            </w:r>
          </w:p>
        </w:tc>
        <w:tc>
          <w:tcPr>
            <w:tcW w:w="1400" w:type="dxa"/>
            <w:vAlign w:val="bottom"/>
          </w:tcPr>
          <w:p>
            <w:pPr>
              <w:spacing w:after="0"/>
              <w:rPr>
                <w:sz w:val="18"/>
                <w:szCs w:val="18"/>
                <w:color w:val="auto"/>
              </w:rPr>
            </w:pPr>
          </w:p>
        </w:tc>
      </w:tr>
    </w:tbl>
    <w:p>
      <w:pPr>
        <w:spacing w:after="0" w:line="50"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tabs>
          <w:tab w:leader="none" w:pos="6060" w:val="left"/>
        </w:tabs>
        <w:rPr>
          <w:sz w:val="20"/>
          <w:szCs w:val="20"/>
          <w:color w:val="auto"/>
        </w:rPr>
      </w:pPr>
      <w:r>
        <w:rPr>
          <w:rFonts w:ascii="Arial" w:cs="Arial" w:eastAsia="Arial" w:hAnsi="Arial"/>
          <w:sz w:val="16"/>
          <w:szCs w:val="16"/>
          <w:color w:val="auto"/>
        </w:rPr>
        <w:t>Net income (loss)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Amortization of prepaid debt fees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Deferred taxes,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Goodwill impairment</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Restructuring, non-cash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adjustments,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Changes in operating assets and liabilities, net of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current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Accounts payables, other current liabilities, and taxes payable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Wages and benefits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Unearned revenue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operating, net</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90"/>
              </w:rPr>
              <w:t>(144,590)</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(6,344)</w:t>
            </w:r>
          </w:p>
        </w:tc>
        <w:tc>
          <w:tcPr>
            <w:tcW w:w="12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(150,934)</w:t>
            </w:r>
          </w:p>
        </w:tc>
      </w:tr>
      <w:tr>
        <w:trPr>
          <w:trHeight w:val="54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98,845</w:t>
            </w:r>
          </w:p>
        </w:tc>
        <w:tc>
          <w:tcPr>
            <w:tcW w:w="64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99,246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18,850</w:t>
            </w:r>
          </w:p>
        </w:tc>
        <w:tc>
          <w:tcPr>
            <w:tcW w:w="6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18,850</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1,657</w:t>
            </w:r>
          </w:p>
        </w:tc>
        <w:tc>
          <w:tcPr>
            <w:tcW w:w="6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1,657</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(26,757)</w:t>
            </w:r>
          </w:p>
        </w:tc>
        <w:tc>
          <w:tcPr>
            <w:tcW w:w="6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1,449</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(25,308)</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173,249</w:t>
            </w:r>
          </w:p>
        </w:tc>
        <w:tc>
          <w:tcPr>
            <w:tcW w:w="6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977</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174,226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1,259</w:t>
            </w:r>
          </w:p>
        </w:tc>
        <w:tc>
          <w:tcPr>
            <w:tcW w:w="6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1,259</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551</w:t>
            </w:r>
          </w:p>
        </w:tc>
        <w:tc>
          <w:tcPr>
            <w:tcW w:w="6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551</w:t>
            </w:r>
          </w:p>
        </w:tc>
      </w:tr>
      <w:tr>
        <w:trPr>
          <w:trHeight w:val="54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13,652</w:t>
            </w:r>
          </w:p>
        </w:tc>
        <w:tc>
          <w:tcPr>
            <w:tcW w:w="6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(1,920)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11,732</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(10,861)</w:t>
            </w:r>
          </w:p>
        </w:tc>
        <w:tc>
          <w:tcPr>
            <w:tcW w:w="6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(12,391)</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(4,143)</w:t>
            </w:r>
          </w:p>
        </w:tc>
        <w:tc>
          <w:tcPr>
            <w:tcW w:w="6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(5,807)</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(9,950)</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1,093</w:t>
            </w:r>
          </w:p>
        </w:tc>
        <w:tc>
          <w:tcPr>
            <w:tcW w:w="6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(3,391)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(2,298)</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(7,702)</w:t>
            </w:r>
          </w:p>
        </w:tc>
        <w:tc>
          <w:tcPr>
            <w:tcW w:w="6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3,236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(4,466)</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(1,995)</w:t>
            </w:r>
          </w:p>
        </w:tc>
        <w:tc>
          <w:tcPr>
            <w:tcW w:w="6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(1,822)</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(3,274)</w:t>
            </w:r>
          </w:p>
        </w:tc>
        <w:tc>
          <w:tcPr>
            <w:tcW w:w="6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12,018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8,744</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(7,552)</w:t>
            </w:r>
          </w:p>
        </w:tc>
        <w:tc>
          <w:tcPr>
            <w:tcW w:w="6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(6,546)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3,139</w:t>
            </w:r>
          </w:p>
        </w:tc>
        <w:tc>
          <w:tcPr>
            <w:tcW w:w="6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2,871</w:t>
            </w:r>
          </w:p>
        </w:tc>
      </w:tr>
      <w:tr>
        <w:trPr>
          <w:trHeight w:val="33"/>
        </w:trPr>
        <w:tc>
          <w:tcPr>
            <w:tcW w:w="8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105,421</w:t>
            </w:r>
          </w:p>
        </w:tc>
        <w:tc>
          <w:tcPr>
            <w:tcW w:w="6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105,421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-149860</wp:posOffset>
            </wp:positionV>
            <wp:extent cx="10979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4340"/>
          </w:cols>
          <w:pgMar w:left="240" w:top="125" w:right="239" w:bottom="1440" w:gutter="0" w:footer="0" w:header="0"/>
          <w:type w:val="continuous"/>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6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7"/>
        </w:trPr>
        <w:tc>
          <w:tcPr>
            <w:tcW w:w="6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Acquisitions of property, plant, and equipment</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(60,020)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(60,020)</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Business acquisitions, net of cash equivalents acquired</w:t>
            </w: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(860)</w:t>
            </w:r>
          </w:p>
        </w:tc>
      </w:tr>
      <w:tr>
        <w:trPr>
          <w:trHeight w:val="33"/>
        </w:trPr>
        <w:tc>
          <w:tcPr>
            <w:tcW w:w="6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investing, net</w:t>
            </w: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4,109</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4,109</w:t>
            </w:r>
          </w:p>
        </w:tc>
      </w:tr>
      <w:tr>
        <w:trPr>
          <w:trHeight w:val="217"/>
        </w:trPr>
        <w:tc>
          <w:tcPr>
            <w:tcW w:w="6060" w:type="dxa"/>
            <w:vAlign w:val="bottom"/>
          </w:tcPr>
          <w:p>
            <w:pPr>
              <w:ind w:left="600"/>
              <w:spacing w:after="0"/>
              <w:rPr>
                <w:sz w:val="20"/>
                <w:szCs w:val="20"/>
                <w:color w:val="auto"/>
              </w:rPr>
            </w:pPr>
            <w:r>
              <w:rPr>
                <w:rFonts w:ascii="Arial" w:cs="Arial" w:eastAsia="Arial" w:hAnsi="Arial"/>
                <w:sz w:val="16"/>
                <w:szCs w:val="16"/>
                <w:color w:val="auto"/>
              </w:rPr>
              <w:t>Net cash used in investing activities</w:t>
            </w:r>
          </w:p>
        </w:tc>
        <w:tc>
          <w:tcPr>
            <w:tcW w:w="6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(56,771)</w:t>
            </w: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(56,771)</w:t>
            </w:r>
          </w:p>
        </w:tc>
      </w:tr>
      <w:tr>
        <w:trPr>
          <w:trHeight w:val="33"/>
        </w:trPr>
        <w:tc>
          <w:tcPr>
            <w:tcW w:w="6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borrowings</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35,000</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Payments on debt</w:t>
            </w: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(73,750)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(73,750)</w:t>
            </w:r>
          </w:p>
        </w:tc>
      </w:tr>
      <w:tr>
        <w:trPr>
          <w:trHeight w:val="33"/>
        </w:trPr>
        <w:tc>
          <w:tcPr>
            <w:tcW w:w="6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Issuance of common stock</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5,299</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(26,977)</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(26,977)</w:t>
            </w:r>
          </w:p>
        </w:tc>
      </w:tr>
      <w:tr>
        <w:trPr>
          <w:trHeight w:val="33"/>
        </w:trPr>
        <w:tc>
          <w:tcPr>
            <w:tcW w:w="6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financing, net</w:t>
            </w: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2,990</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2,990</w:t>
            </w:r>
          </w:p>
        </w:tc>
      </w:tr>
      <w:tr>
        <w:trPr>
          <w:trHeight w:val="217"/>
        </w:trPr>
        <w:tc>
          <w:tcPr>
            <w:tcW w:w="6060" w:type="dxa"/>
            <w:vAlign w:val="bottom"/>
          </w:tcPr>
          <w:p>
            <w:pPr>
              <w:ind w:left="600"/>
              <w:spacing w:after="0"/>
              <w:rPr>
                <w:sz w:val="20"/>
                <w:szCs w:val="20"/>
                <w:color w:val="auto"/>
              </w:rPr>
            </w:pPr>
            <w:r>
              <w:rPr>
                <w:rFonts w:ascii="Arial" w:cs="Arial" w:eastAsia="Arial" w:hAnsi="Arial"/>
                <w:sz w:val="16"/>
                <w:szCs w:val="16"/>
                <w:color w:val="auto"/>
              </w:rPr>
              <w:t>Net cash provided by (used in) financing activities</w:t>
            </w:r>
          </w:p>
        </w:tc>
        <w:tc>
          <w:tcPr>
            <w:tcW w:w="6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(57,438)</w:t>
            </w: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(57,438)</w:t>
            </w:r>
          </w:p>
        </w:tc>
      </w:tr>
      <w:tr>
        <w:trPr>
          <w:trHeight w:val="33"/>
        </w:trPr>
        <w:tc>
          <w:tcPr>
            <w:tcW w:w="6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(2,818)</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(2,818)</w:t>
            </w:r>
          </w:p>
        </w:tc>
      </w:tr>
      <w:tr>
        <w:trPr>
          <w:trHeight w:val="33"/>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Increase (decrease) in cash and cash equivalents</w:t>
            </w:r>
          </w:p>
        </w:tc>
        <w:tc>
          <w:tcPr>
            <w:tcW w:w="6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(11,606)</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(11,606)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136,411</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136,411</w:t>
            </w:r>
          </w:p>
        </w:tc>
      </w:tr>
      <w:tr>
        <w:trPr>
          <w:trHeight w:val="33"/>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124,805</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124,805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Supplemental disclosure of cash flow information:</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4"/>
        </w:trPr>
        <w:tc>
          <w:tcPr>
            <w:tcW w:w="6060" w:type="dxa"/>
            <w:vAlign w:val="bottom"/>
          </w:tcPr>
          <w:p>
            <w:pPr>
              <w:ind w:left="280"/>
              <w:spacing w:after="0"/>
              <w:rPr>
                <w:sz w:val="20"/>
                <w:szCs w:val="20"/>
                <w:color w:val="auto"/>
              </w:rPr>
            </w:pPr>
            <w:r>
              <w:rPr>
                <w:rFonts w:ascii="Arial" w:cs="Arial" w:eastAsia="Arial" w:hAnsi="Arial"/>
                <w:sz w:val="16"/>
                <w:szCs w:val="16"/>
                <w:color w:val="auto"/>
              </w:rPr>
              <w:t>Cash paid during the period for:</w:t>
            </w: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Income taxes, net</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18,659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18,659</w:t>
            </w:r>
          </w:p>
        </w:tc>
      </w:tr>
      <w:tr>
        <w:trPr>
          <w:trHeight w:val="237"/>
        </w:trPr>
        <w:tc>
          <w:tcPr>
            <w:tcW w:w="6060" w:type="dxa"/>
            <w:vAlign w:val="bottom"/>
          </w:tcPr>
          <w:p>
            <w:pPr>
              <w:ind w:left="600"/>
              <w:spacing w:after="0"/>
              <w:rPr>
                <w:sz w:val="20"/>
                <w:szCs w:val="20"/>
                <w:color w:val="auto"/>
              </w:rPr>
            </w:pPr>
            <w:r>
              <w:rPr>
                <w:rFonts w:ascii="Arial" w:cs="Arial" w:eastAsia="Arial" w:hAnsi="Arial"/>
                <w:sz w:val="16"/>
                <w:szCs w:val="16"/>
                <w:color w:val="auto"/>
              </w:rPr>
              <w:t>Interest, net of amounts capitalized</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9,026</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9,026</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Earnings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(EPS):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center"/>
              <w:ind w:right="33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60" w:type="dxa"/>
            <w:vAlign w:val="bottom"/>
            <w:gridSpan w:val="6"/>
          </w:tcPr>
          <w:p>
            <w:pPr>
              <w:jc w:val="center"/>
              <w:ind w:left="39"/>
              <w:spacing w:after="0"/>
              <w:rPr>
                <w:sz w:val="20"/>
                <w:szCs w:val="20"/>
                <w:color w:val="auto"/>
              </w:rPr>
            </w:pPr>
            <w:r>
              <w:rPr>
                <w:rFonts w:ascii="Arial" w:cs="Arial" w:eastAsia="Arial" w:hAnsi="Arial"/>
                <w:sz w:val="16"/>
                <w:szCs w:val="16"/>
                <w:b w:val="1"/>
                <w:bCs w:val="1"/>
                <w:color w:val="auto"/>
                <w:w w:val="89"/>
              </w:rPr>
              <w:t>(in thousands, except per share data)</w:t>
            </w:r>
          </w:p>
        </w:tc>
        <w:tc>
          <w:tcPr>
            <w:tcW w:w="12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common shareholders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12,678</w:t>
            </w:r>
          </w:p>
        </w:tc>
        <w:tc>
          <w:tcPr>
            <w:tcW w:w="54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(23,670)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(153,153)</w:t>
            </w:r>
          </w:p>
        </w:tc>
      </w:tr>
      <w:tr>
        <w:trPr>
          <w:trHeight w:val="270"/>
        </w:trPr>
        <w:tc>
          <w:tcPr>
            <w:tcW w:w="6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38,224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39,281</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38,506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39,281</w:t>
            </w: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(loss) per common share - Basic</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(3.90)</w:t>
            </w: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(loss) per common share - Diluted</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0.33</w:t>
            </w:r>
          </w:p>
        </w:tc>
        <w:tc>
          <w:tcPr>
            <w:tcW w:w="5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As a result of our net losses for 2014 and 2013, there was no dilutive effect to the weighted average common shares outstanding for these years. Approximately 1.2 million, 1.4 million, and 1.4 million stock-based awards were excluded from the calculation of diluted EPS for the years ended December 31, 2015, 2014, and 2013, respectively, because they were anti-dilutive. These stock-based awards could be dilutive in future periods.</w:t>
      </w:r>
    </w:p>
    <w:p>
      <w:pPr>
        <w:spacing w:after="0" w:line="18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300" w:type="dxa"/>
            <w:vAlign w:val="bottom"/>
          </w:tcPr>
          <w:p>
            <w:pPr>
              <w:spacing w:after="0"/>
              <w:rPr>
                <w:sz w:val="20"/>
                <w:szCs w:val="20"/>
                <w:color w:val="auto"/>
              </w:rPr>
            </w:pPr>
          </w:p>
        </w:tc>
        <w:tc>
          <w:tcPr>
            <w:tcW w:w="21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2015</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Trade receivables (net of allowance of $5,949 and $6,195)</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298,550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321,309</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32,345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25,238</w:t>
            </w: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330,895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346,547</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2015 and 2014, $688,000 and $4.7 million were recorded within trade receivables as billed but not yet paid by customers in accordance with contract retainage provisions. At December 31, 2015 and 2014, contract retainage amounts that were unbilled and classified as unbilled receivables were $3.5 million and $4.0 million. These contract retainage amounts within trade receivables and unbilled receivables are expected to be collected within the following 12 months.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2015 and 2014, long-term unbilled receivables totaled $3.6 million and $4.3 million. These long-term unbilled receivables are classified within other long-term assets, as collection is not anticipated within the following 12 months. We had $360,000 of long-term billed contract retainage receivables at December 31, 2015 and none at December 31, 2014.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 activity</w:t>
            </w:r>
          </w:p>
        </w:tc>
        <w:tc>
          <w:tcPr>
            <w:tcW w:w="13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Year Ended December 31,</w:t>
            </w:r>
          </w:p>
        </w:tc>
        <w:tc>
          <w:tcPr>
            <w:tcW w:w="13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jc w:val="right"/>
              <w:ind w:right="899"/>
              <w:spacing w:after="0"/>
              <w:rPr>
                <w:sz w:val="20"/>
                <w:szCs w:val="20"/>
                <w:color w:val="auto"/>
              </w:rPr>
            </w:pPr>
            <w:r>
              <w:rPr>
                <w:rFonts w:ascii="Arial" w:cs="Arial" w:eastAsia="Arial" w:hAnsi="Arial"/>
                <w:sz w:val="16"/>
                <w:szCs w:val="16"/>
                <w:b w:val="1"/>
                <w:bCs w:val="1"/>
                <w:color w:val="auto"/>
              </w:rPr>
              <w:t>2014</w:t>
            </w:r>
          </w:p>
        </w:tc>
      </w:tr>
      <w:tr>
        <w:trPr>
          <w:trHeight w:val="33"/>
        </w:trPr>
        <w:tc>
          <w:tcPr>
            <w:tcW w:w="67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4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(in thousands)</w:t>
            </w:r>
          </w:p>
        </w:tc>
        <w:tc>
          <w:tcPr>
            <w:tcW w:w="13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380" w:type="dxa"/>
            <w:vAlign w:val="bottom"/>
            <w:tcBorders>
              <w:bottom w:val="single" w:sz="8" w:color="CCEEFF"/>
            </w:tcBorders>
            <w:shd w:val="clear" w:color="auto" w:fill="CCEEFF"/>
          </w:tcPr>
          <w:p>
            <w:pPr>
              <w:jc w:val="right"/>
              <w:ind w:right="1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8,643</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Provision for doubtful accounts, net</w:t>
            </w:r>
          </w:p>
        </w:tc>
        <w:tc>
          <w:tcPr>
            <w:tcW w:w="13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written-off</w:t>
            </w:r>
          </w:p>
        </w:tc>
        <w:tc>
          <w:tcPr>
            <w:tcW w:w="1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(1,883)</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Effects of change in exchange rates</w:t>
            </w:r>
          </w:p>
        </w:tc>
        <w:tc>
          <w:tcPr>
            <w:tcW w:w="1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33"/>
        </w:trPr>
        <w:tc>
          <w:tcPr>
            <w:tcW w:w="67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380" w:type="dxa"/>
            <w:vAlign w:val="bottom"/>
            <w:tcBorders>
              <w:bottom w:val="single" w:sz="8" w:color="auto"/>
            </w:tcBorders>
            <w:shd w:val="clear" w:color="auto" w:fill="CCEEFF"/>
          </w:tcPr>
          <w:p>
            <w:pPr>
              <w:jc w:val="right"/>
              <w:ind w:right="1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5,949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6,195</w:t>
            </w:r>
          </w:p>
        </w:tc>
      </w:tr>
      <w:tr>
        <w:trPr>
          <w:trHeight w:val="20"/>
        </w:trPr>
        <w:tc>
          <w:tcPr>
            <w:tcW w:w="6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Inventories</w:t>
            </w:r>
          </w:p>
        </w:tc>
        <w:tc>
          <w:tcPr>
            <w:tcW w:w="300" w:type="dxa"/>
            <w:vAlign w:val="bottom"/>
          </w:tcPr>
          <w:p>
            <w:pPr>
              <w:spacing w:after="0"/>
              <w:rPr>
                <w:sz w:val="20"/>
                <w:szCs w:val="20"/>
                <w:color w:val="auto"/>
              </w:rPr>
            </w:pPr>
          </w:p>
        </w:tc>
        <w:tc>
          <w:tcPr>
            <w:tcW w:w="21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2015</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111,191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90,557</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8,991</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69,874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54,673</w:t>
            </w:r>
          </w:p>
        </w:tc>
      </w:tr>
      <w:tr>
        <w:trPr>
          <w:trHeight w:val="244"/>
        </w:trPr>
        <w:tc>
          <w:tcPr>
            <w:tcW w:w="674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190,465</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154,221</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inventory levels may vary period to period as a result of our factory scheduling and the timing of contract fulfillments, which may include the buildup of finished goods for shipment.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Consigned inventory is held at third-party locations; however, we retain title to the inventory until purchased by the third-party. Consigned inventory, consisting of raw materials and finished goods, was $2.6 million and $2.5 million at December 31, 2015 and 2014, respectively.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Property, plant, and equipment, net</w:t>
            </w:r>
          </w:p>
        </w:tc>
        <w:tc>
          <w:tcPr>
            <w:tcW w:w="300" w:type="dxa"/>
            <w:vAlign w:val="bottom"/>
          </w:tcPr>
          <w:p>
            <w:pPr>
              <w:spacing w:after="0"/>
              <w:rPr>
                <w:sz w:val="20"/>
                <w:szCs w:val="20"/>
                <w:color w:val="auto"/>
              </w:rPr>
            </w:pPr>
          </w:p>
        </w:tc>
        <w:tc>
          <w:tcPr>
            <w:tcW w:w="21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2015</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2014</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289,015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287,448</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Computers and software</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104,310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100,212</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127,531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134,461</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19,882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21,759</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32,639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20,583</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w:t>
            </w:r>
          </w:p>
        </w:tc>
        <w:tc>
          <w:tcPr>
            <w:tcW w:w="30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573,377</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564,463</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(383,121)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(357,311)</w:t>
            </w:r>
          </w:p>
        </w:tc>
      </w:tr>
      <w:tr>
        <w:trPr>
          <w:trHeight w:val="244"/>
        </w:trPr>
        <w:tc>
          <w:tcPr>
            <w:tcW w:w="6740" w:type="dxa"/>
            <w:vAlign w:val="bottom"/>
          </w:tcPr>
          <w:p>
            <w:pPr>
              <w:ind w:left="11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190,256</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207,152</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2014</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44,320</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54,435</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57,227</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gridSpan w:val="4"/>
          </w:tcPr>
          <w:p>
            <w:pPr>
              <w:ind w:left="120"/>
              <w:spacing w:after="0"/>
              <w:rPr>
                <w:sz w:val="20"/>
                <w:szCs w:val="20"/>
                <w:color w:val="auto"/>
              </w:rPr>
            </w:pPr>
            <w:r>
              <w:rPr>
                <w:rFonts w:ascii="Arial" w:cs="Arial" w:eastAsia="Arial" w:hAnsi="Arial"/>
                <w:sz w:val="16"/>
                <w:szCs w:val="16"/>
                <w:b w:val="1"/>
                <w:bCs w:val="1"/>
                <w:color w:val="auto"/>
              </w:rPr>
              <w:t>December 31, 2015</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2014</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Gross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w:t>
            </w:r>
          </w:p>
        </w:tc>
        <w:tc>
          <w:tcPr>
            <w:tcW w:w="180" w:type="dxa"/>
            <w:vAlign w:val="bottom"/>
          </w:tcPr>
          <w:p>
            <w:pPr>
              <w:spacing w:after="0"/>
              <w:rPr>
                <w:sz w:val="18"/>
                <w:szCs w:val="18"/>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b w:val="1"/>
                <w:bCs w:val="1"/>
                <w:color w:val="auto"/>
                <w:w w:val="87"/>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w:t>
            </w: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388,981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(358,092)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405,434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45,934</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238,379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(168,885)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69,494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262,930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(172,755)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90,175</w:t>
            </w: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64,069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3,300</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11,078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11,579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33"/>
        </w:trPr>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702,507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(600,575)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101,932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748,148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(608,239)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139,909</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intangible asset account activity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(in thousands)</w:t>
            </w:r>
          </w:p>
        </w:tc>
        <w:tc>
          <w:tcPr>
            <w:tcW w:w="6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748,148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804,281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4,827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1,453</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Intangible assets impaired</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(49,971)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(57,586)</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702,507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748,148</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impaired includes purchased software licenses to be sold to others. This amount was expensed as part of cost of revenues in the Consolidated Statement of Operations.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Intangible assets acquired in 2015 are based on the purchase price allocation relating to our acquisition of Temetra. Refer to Note 6 for additional information regarding this acquisition. The following table reflects our allocation of purchase price for intangible assets acquired on August 26, 2015:</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b w:val="1"/>
                <w:bCs w:val="1"/>
                <w:color w:val="auto"/>
              </w:rPr>
              <w:t>Fair Value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Weighted Average Useful Life</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right"/>
              <w:ind w:right="739"/>
              <w:spacing w:after="0"/>
              <w:rPr>
                <w:sz w:val="20"/>
                <w:szCs w:val="20"/>
                <w:color w:val="auto"/>
              </w:rPr>
            </w:pPr>
            <w:r>
              <w:rPr>
                <w:rFonts w:ascii="Arial" w:cs="Arial" w:eastAsia="Arial" w:hAnsi="Arial"/>
                <w:sz w:val="16"/>
                <w:szCs w:val="16"/>
                <w:b w:val="1"/>
                <w:bCs w:val="1"/>
                <w:color w:val="auto"/>
              </w:rPr>
              <w:t>(in years)</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Identified intangible assets</w:t>
            </w:r>
          </w:p>
        </w:tc>
        <w:tc>
          <w:tcPr>
            <w:tcW w:w="1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Core-developed technology</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4,378</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Customer contracts and relationships</w:t>
            </w:r>
          </w:p>
        </w:tc>
        <w:tc>
          <w:tcPr>
            <w:tcW w:w="17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Trademarks and trade names</w:t>
            </w:r>
          </w:p>
        </w:tc>
        <w:tc>
          <w:tcPr>
            <w:tcW w:w="1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Other</w:t>
            </w:r>
          </w:p>
        </w:tc>
        <w:tc>
          <w:tcPr>
            <w:tcW w:w="17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identified intangible assets subject to amortization</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4,827</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 summary of intangible asset amortization expense is as follows:</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40"/>
              <w:spacing w:after="0"/>
              <w:rPr>
                <w:sz w:val="20"/>
                <w:szCs w:val="20"/>
                <w:color w:val="auto"/>
              </w:rPr>
            </w:pPr>
            <w:r>
              <w:rPr>
                <w:rFonts w:ascii="Arial" w:cs="Arial" w:eastAsia="Arial" w:hAnsi="Arial"/>
                <w:sz w:val="18"/>
                <w:szCs w:val="18"/>
                <w:i w:val="1"/>
                <w:iCs w:val="1"/>
                <w:color w:val="auto"/>
              </w:rPr>
              <w:t>Amortization expense</w:t>
            </w: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60" w:type="dxa"/>
            <w:vAlign w:val="bottom"/>
          </w:tcPr>
          <w:p>
            <w:pPr>
              <w:spacing w:after="0"/>
              <w:rPr>
                <w:sz w:val="20"/>
                <w:szCs w:val="20"/>
                <w:color w:val="auto"/>
              </w:rPr>
            </w:pPr>
          </w:p>
        </w:tc>
        <w:tc>
          <w:tcPr>
            <w:tcW w:w="22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center"/>
              <w:ind w:left="279"/>
              <w:spacing w:after="0"/>
              <w:rPr>
                <w:sz w:val="20"/>
                <w:szCs w:val="20"/>
                <w:color w:val="auto"/>
              </w:rPr>
            </w:pPr>
            <w:r>
              <w:rPr>
                <w:rFonts w:ascii="Arial" w:cs="Arial" w:eastAsia="Arial" w:hAnsi="Arial"/>
                <w:sz w:val="16"/>
                <w:szCs w:val="16"/>
                <w:b w:val="1"/>
                <w:bCs w:val="1"/>
                <w:color w:val="auto"/>
                <w:w w:val="89"/>
              </w:rPr>
              <w:t>2014</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3"/>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Amortization expense</w:t>
            </w:r>
          </w:p>
        </w:tc>
        <w:tc>
          <w:tcPr>
            <w:tcW w:w="2200" w:type="dxa"/>
            <w:vAlign w:val="bottom"/>
            <w:tcBorders>
              <w:bottom w:val="single" w:sz="8" w:color="CCEEFF"/>
            </w:tcBorders>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31,673</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43,619</w:t>
            </w:r>
          </w:p>
        </w:tc>
        <w:tc>
          <w:tcPr>
            <w:tcW w:w="108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42,019</w:t>
            </w:r>
          </w:p>
        </w:tc>
        <w:tc>
          <w:tcPr>
            <w:tcW w:w="0" w:type="dxa"/>
            <w:vAlign w:val="bottom"/>
          </w:tcPr>
          <w:p>
            <w:pPr>
              <w:spacing w:after="0"/>
              <w:rPr>
                <w:sz w:val="1"/>
                <w:szCs w:val="1"/>
                <w:color w:val="auto"/>
              </w:rPr>
            </w:pPr>
          </w:p>
        </w:tc>
      </w:tr>
      <w:tr>
        <w:trPr>
          <w:trHeight w:val="432"/>
        </w:trPr>
        <w:tc>
          <w:tcPr>
            <w:tcW w:w="4960" w:type="dxa"/>
            <w:vAlign w:val="bottom"/>
          </w:tcPr>
          <w:p>
            <w:pPr>
              <w:spacing w:after="0"/>
              <w:rPr>
                <w:sz w:val="20"/>
                <w:szCs w:val="20"/>
                <w:color w:val="auto"/>
              </w:rPr>
            </w:pPr>
            <w:r>
              <w:rPr>
                <w:rFonts w:ascii="Arial" w:cs="Arial" w:eastAsia="Arial" w:hAnsi="Arial"/>
                <w:sz w:val="18"/>
                <w:szCs w:val="18"/>
                <w:color w:val="auto"/>
              </w:rPr>
              <w:t>Estimated future annual amortization expense is as follows:</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3"/>
          </w:tcPr>
          <w:p>
            <w:pPr>
              <w:ind w:left="20"/>
              <w:spacing w:after="0"/>
              <w:rPr>
                <w:sz w:val="20"/>
                <w:szCs w:val="20"/>
                <w:color w:val="auto"/>
              </w:rPr>
            </w:pPr>
            <w:r>
              <w:rPr>
                <w:rFonts w:ascii="Arial" w:cs="Arial" w:eastAsia="Arial" w:hAnsi="Arial"/>
                <w:sz w:val="16"/>
                <w:szCs w:val="16"/>
                <w:b w:val="1"/>
                <w:bCs w:val="1"/>
                <w:color w:val="auto"/>
                <w:w w:val="93"/>
              </w:rPr>
              <w:t>Estimated Annual Amortization</w:t>
            </w:r>
          </w:p>
        </w:tc>
        <w:tc>
          <w:tcPr>
            <w:tcW w:w="0" w:type="dxa"/>
            <w:vAlign w:val="bottom"/>
          </w:tcPr>
          <w:p>
            <w:pPr>
              <w:spacing w:after="0"/>
              <w:rPr>
                <w:sz w:val="1"/>
                <w:szCs w:val="1"/>
                <w:color w:val="auto"/>
              </w:rPr>
            </w:pPr>
          </w:p>
        </w:tc>
      </w:tr>
      <w:tr>
        <w:trPr>
          <w:trHeight w:val="33"/>
        </w:trPr>
        <w:tc>
          <w:tcPr>
            <w:tcW w:w="4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w w:val="96"/>
              </w:rPr>
              <w:t>(in thousands)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25,240</w:t>
            </w:r>
          </w:p>
        </w:tc>
        <w:tc>
          <w:tcPr>
            <w:tcW w:w="0" w:type="dxa"/>
            <w:vAlign w:val="bottom"/>
          </w:tcPr>
          <w:p>
            <w:pPr>
              <w:spacing w:after="0"/>
              <w:rPr>
                <w:sz w:val="1"/>
                <w:szCs w:val="1"/>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2017</w:t>
            </w: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18,749</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13,068</w:t>
            </w:r>
          </w:p>
        </w:tc>
        <w:tc>
          <w:tcPr>
            <w:tcW w:w="0" w:type="dxa"/>
            <w:vAlign w:val="bottom"/>
          </w:tcPr>
          <w:p>
            <w:pPr>
              <w:spacing w:after="0"/>
              <w:rPr>
                <w:sz w:val="1"/>
                <w:szCs w:val="1"/>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2019</w:t>
            </w: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10,281</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8,388</w:t>
            </w:r>
          </w:p>
        </w:tc>
        <w:tc>
          <w:tcPr>
            <w:tcW w:w="0" w:type="dxa"/>
            <w:vAlign w:val="bottom"/>
          </w:tcPr>
          <w:p>
            <w:pPr>
              <w:spacing w:after="0"/>
              <w:rPr>
                <w:sz w:val="1"/>
                <w:szCs w:val="1"/>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Beyond 2020</w:t>
            </w: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26,206</w:t>
            </w:r>
          </w:p>
        </w:tc>
        <w:tc>
          <w:tcPr>
            <w:tcW w:w="0" w:type="dxa"/>
            <w:vAlign w:val="bottom"/>
          </w:tcPr>
          <w:p>
            <w:pPr>
              <w:spacing w:after="0"/>
              <w:rPr>
                <w:sz w:val="1"/>
                <w:szCs w:val="1"/>
                <w:color w:val="auto"/>
              </w:rPr>
            </w:pPr>
          </w:p>
        </w:tc>
      </w:tr>
      <w:tr>
        <w:trPr>
          <w:trHeight w:val="33"/>
        </w:trPr>
        <w:tc>
          <w:tcPr>
            <w:tcW w:w="49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intangible assets subject to amortization</w:t>
            </w:r>
          </w:p>
        </w:tc>
        <w:tc>
          <w:tcPr>
            <w:tcW w:w="1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101,932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ind w:right="176"/>
              <w:spacing w:after="0"/>
              <w:rPr>
                <w:sz w:val="20"/>
                <w:szCs w:val="20"/>
                <w:color w:val="auto"/>
              </w:rPr>
            </w:pPr>
            <w:r>
              <w:rPr>
                <w:rFonts w:ascii="Arial" w:cs="Arial" w:eastAsia="Arial" w:hAnsi="Arial"/>
                <w:sz w:val="18"/>
                <w:szCs w:val="18"/>
                <w:color w:val="auto"/>
              </w:rPr>
              <w:t>66</w:t>
            </w:r>
          </w:p>
        </w:tc>
        <w:tc>
          <w:tcPr>
            <w:tcW w:w="1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at December 31, 2015 and 2014:</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Electricity</w:t>
            </w:r>
          </w:p>
        </w:tc>
        <w:tc>
          <w:tcPr>
            <w:tcW w:w="420" w:type="dxa"/>
            <w:vAlign w:val="bottom"/>
          </w:tcPr>
          <w:p>
            <w:pPr>
              <w:spacing w:after="0"/>
              <w:rPr>
                <w:sz w:val="18"/>
                <w:szCs w:val="18"/>
                <w:color w:val="auto"/>
              </w:rPr>
            </w:pPr>
          </w:p>
        </w:tc>
        <w:tc>
          <w:tcPr>
            <w:tcW w:w="1440" w:type="dxa"/>
            <w:vAlign w:val="bottom"/>
            <w:gridSpan w:val="2"/>
          </w:tcPr>
          <w:p>
            <w:pPr>
              <w:ind w:left="320"/>
              <w:spacing w:after="0"/>
              <w:rPr>
                <w:sz w:val="20"/>
                <w:szCs w:val="20"/>
                <w:color w:val="auto"/>
              </w:rPr>
            </w:pPr>
            <w:r>
              <w:rPr>
                <w:rFonts w:ascii="Arial" w:cs="Arial" w:eastAsia="Arial" w:hAnsi="Arial"/>
                <w:sz w:val="16"/>
                <w:szCs w:val="16"/>
                <w:b w:val="1"/>
                <w:bCs w:val="1"/>
                <w:color w:val="auto"/>
              </w:rPr>
              <w:t>Gas</w:t>
            </w:r>
          </w:p>
        </w:tc>
        <w:tc>
          <w:tcPr>
            <w:tcW w:w="50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Water</w:t>
            </w:r>
          </w:p>
        </w:tc>
        <w:tc>
          <w:tcPr>
            <w:tcW w:w="200" w:type="dxa"/>
            <w:vAlign w:val="bottom"/>
          </w:tcPr>
          <w:p>
            <w:pPr>
              <w:spacing w:after="0"/>
              <w:rPr>
                <w:sz w:val="18"/>
                <w:szCs w:val="18"/>
                <w:color w:val="auto"/>
              </w:rPr>
            </w:pPr>
          </w:p>
        </w:tc>
        <w:tc>
          <w:tcPr>
            <w:tcW w:w="148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Company</w:t>
            </w:r>
          </w:p>
        </w:tc>
      </w:tr>
      <w:tr>
        <w:trPr>
          <w:trHeight w:val="33"/>
        </w:trPr>
        <w:tc>
          <w:tcPr>
            <w:tcW w:w="4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6"/>
                <w:szCs w:val="16"/>
                <w:color w:val="auto"/>
              </w:rPr>
              <w:t>Goodwill balance at January 1, 2014</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493,610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394,878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429,783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1,318,271</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(434,352)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(336,315)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(770,667)</w:t>
            </w:r>
          </w:p>
        </w:tc>
      </w:tr>
      <w:tr>
        <w:trPr>
          <w:trHeight w:val="33"/>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59,258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394,878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93,468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547,604</w:t>
            </w:r>
          </w:p>
        </w:tc>
      </w:tr>
      <w:tr>
        <w:trPr>
          <w:trHeight w:val="270"/>
        </w:trPr>
        <w:tc>
          <w:tcPr>
            <w:tcW w:w="4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(35,393)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(46,784)</w:t>
            </w:r>
          </w:p>
        </w:tc>
      </w:tr>
      <w:tr>
        <w:trPr>
          <w:trHeight w:val="270"/>
        </w:trPr>
        <w:tc>
          <w:tcPr>
            <w:tcW w:w="4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balance at December 31, 2014</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Goodwill before impairment</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449,668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359,485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382,655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1,191,808</w:t>
            </w: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(393,981)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(297,007)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(690,988)</w:t>
            </w:r>
          </w:p>
        </w:tc>
      </w:tr>
      <w:tr>
        <w:trPr>
          <w:trHeight w:val="217"/>
        </w:trPr>
        <w:tc>
          <w:tcPr>
            <w:tcW w:w="4240" w:type="dxa"/>
            <w:vAlign w:val="bottom"/>
          </w:tcPr>
          <w:p>
            <w:pPr>
              <w:ind w:left="200"/>
              <w:spacing w:after="0"/>
              <w:rPr>
                <w:sz w:val="20"/>
                <w:szCs w:val="20"/>
                <w:color w:val="auto"/>
              </w:rPr>
            </w:pPr>
            <w:r>
              <w:rPr>
                <w:rFonts w:ascii="Arial" w:cs="Arial" w:eastAsia="Arial" w:hAnsi="Arial"/>
                <w:sz w:val="16"/>
                <w:szCs w:val="16"/>
                <w:color w:val="auto"/>
              </w:rPr>
              <w:t>Goodwill, net</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55,687</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359,485</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85,648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500,820</w:t>
            </w:r>
          </w:p>
        </w:tc>
      </w:tr>
      <w:tr>
        <w:trPr>
          <w:trHeight w:val="33"/>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4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Goodwill acquired</w:t>
            </w:r>
          </w:p>
        </w:tc>
        <w:tc>
          <w:tcPr>
            <w:tcW w:w="300" w:type="dxa"/>
            <w:vAlign w:val="bottom"/>
          </w:tcPr>
          <w:p>
            <w:pPr>
              <w:spacing w:after="0"/>
              <w:rPr>
                <w:sz w:val="20"/>
                <w:szCs w:val="20"/>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4,684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4,684</w:t>
            </w: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(28,049)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(37,382)</w:t>
            </w:r>
          </w:p>
        </w:tc>
      </w:tr>
      <w:tr>
        <w:trPr>
          <w:trHeight w:val="270"/>
        </w:trPr>
        <w:tc>
          <w:tcPr>
            <w:tcW w:w="4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balance at December 31, 2015</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Goodwill before impairment</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414,910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331,436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350,314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1,096,660</w:t>
            </w: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(362,177)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(266,361)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(628,538)</w:t>
            </w:r>
          </w:p>
        </w:tc>
      </w:tr>
      <w:tr>
        <w:trPr>
          <w:trHeight w:val="244"/>
        </w:trPr>
        <w:tc>
          <w:tcPr>
            <w:tcW w:w="4240" w:type="dxa"/>
            <w:vAlign w:val="bottom"/>
          </w:tcPr>
          <w:p>
            <w:pPr>
              <w:ind w:left="200"/>
              <w:spacing w:after="0"/>
              <w:rPr>
                <w:sz w:val="20"/>
                <w:szCs w:val="20"/>
                <w:color w:val="auto"/>
              </w:rPr>
            </w:pPr>
            <w:r>
              <w:rPr>
                <w:rFonts w:ascii="Arial" w:cs="Arial" w:eastAsia="Arial" w:hAnsi="Arial"/>
                <w:sz w:val="16"/>
                <w:szCs w:val="16"/>
                <w:color w:val="auto"/>
              </w:rPr>
              <w:t>Goodwill, net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52,733</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331,436</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83,953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468,122</w:t>
            </w: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our 2015 annual goodwill impairment test, performed as of October 1, 2015, we performed the first step of the quantitative impairment test for Electricity, Gas, and Water and determined that the fair value of each of the reporting units exceeded their carrying values. No goodwill impairment was required to be recognized as the result of this quantitative analysis.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2014, we tested the Gas and Water reporting units, in conjunction with our annual goodwill impairment testing. We used the qualitative assessment methodology, as we determined it was more likely than not that the fair values of these reporting units exceeded their respective carrying values. As a result, we did not need to perform the quantitative impairment test for the Gas and Water reporting units, and no goodwill impairments were recognized.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2014, as a result of the impairment recognized in 2013, we concluded that it was not more likely than not that the fair value of the Electricity reporting unit exceeded its carrying value, and we therefore performed a quantitative analysis of this reporting unit. No goodwill impairment was required to be recognized as the result of this quantitative analysis.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our 2013 annual goodwill impairment test, we determined that the carrying value of the Electricity reporting unit exceeded its fair value, primarily due to delays in global smart grid projects and lower volumes and pricing pressures in certain regions in Europe and Asia/Pacific. The revised forecast for the Electricity business drove a decrease in the fair value of the reporting unit. As a result, we performed the second step of the goodwill impairment test for the Electricity reporting unit, which indicated a goodwill impairment of $174.2 million was necessary. This charge was recorded during the fourth quarter of 2013.</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 for a description of our reporting units and the methods used to determine the fair values of our reporting units and to determine the amount of any goodwill impairment.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Temetra Acquisition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On August 26, 2015, we completed our acquisition of 100% of Temetra in a stock purchase. The purchase price of Temetra includes the following:</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paid (net of $1,395 cash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5"/>
          <w:szCs w:val="15"/>
          <w:color w:val="auto"/>
        </w:rPr>
        <w:t>Estimated working capital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5"/>
          <w:szCs w:val="15"/>
          <w:color w:val="auto"/>
        </w:rPr>
        <w:t>Fair value of contingent consideration</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purchase price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2000" w:type="dxa"/>
            <w:vAlign w:val="bottom"/>
          </w:tcPr>
          <w:p>
            <w:pPr>
              <w:jc w:val="right"/>
              <w:ind w:right="339"/>
              <w:spacing w:after="0"/>
              <w:rPr>
                <w:sz w:val="20"/>
                <w:szCs w:val="20"/>
                <w:color w:val="auto"/>
              </w:rPr>
            </w:pPr>
            <w:r>
              <w:rPr>
                <w:rFonts w:ascii="Arial" w:cs="Arial" w:eastAsia="Arial" w:hAnsi="Arial"/>
                <w:sz w:val="16"/>
                <w:szCs w:val="16"/>
                <w:b w:val="1"/>
                <w:bCs w:val="1"/>
                <w:color w:val="auto"/>
                <w:w w:val="98"/>
              </w:rPr>
              <w:t>Total Purchase Price</w:t>
            </w:r>
          </w:p>
        </w:tc>
      </w:tr>
      <w:tr>
        <w:trPr>
          <w:trHeight w:val="33"/>
        </w:trPr>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spacing w:after="0"/>
              <w:rPr>
                <w:sz w:val="18"/>
                <w:szCs w:val="18"/>
                <w:color w:val="auto"/>
              </w:rPr>
            </w:pPr>
          </w:p>
        </w:tc>
        <w:tc>
          <w:tcPr>
            <w:tcW w:w="2000" w:type="dxa"/>
            <w:vAlign w:val="bottom"/>
          </w:tcPr>
          <w:p>
            <w:pPr>
              <w:jc w:val="right"/>
              <w:ind w:right="559"/>
              <w:spacing w:after="0"/>
              <w:rPr>
                <w:sz w:val="20"/>
                <w:szCs w:val="20"/>
                <w:color w:val="auto"/>
              </w:rPr>
            </w:pPr>
            <w:r>
              <w:rPr>
                <w:rFonts w:ascii="Arial" w:cs="Arial" w:eastAsia="Arial" w:hAnsi="Arial"/>
                <w:sz w:val="16"/>
                <w:szCs w:val="16"/>
                <w:b w:val="1"/>
                <w:bCs w:val="1"/>
                <w:color w:val="auto"/>
              </w:rPr>
              <w:t>(in thousands)</w:t>
            </w:r>
          </w:p>
        </w:tc>
      </w:tr>
      <w:tr>
        <w:trPr>
          <w:trHeight w:val="25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5,754</w:t>
            </w:r>
          </w:p>
        </w:tc>
      </w:tr>
      <w:tr>
        <w:trPr>
          <w:trHeight w:val="257"/>
        </w:trPr>
        <w:tc>
          <w:tcPr>
            <w:tcW w:w="260" w:type="dxa"/>
            <w:vAlign w:val="bottom"/>
          </w:tcPr>
          <w:p>
            <w:pPr>
              <w:spacing w:after="0"/>
              <w:rPr>
                <w:sz w:val="22"/>
                <w:szCs w:val="22"/>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905</w:t>
            </w:r>
          </w:p>
        </w:tc>
      </w:tr>
      <w:tr>
        <w:trPr>
          <w:trHeight w:val="257"/>
        </w:trPr>
        <w:tc>
          <w:tcPr>
            <w:tcW w:w="260" w:type="dxa"/>
            <w:vAlign w:val="bottom"/>
          </w:tcPr>
          <w:p>
            <w:pPr>
              <w:spacing w:after="0"/>
              <w:rPr>
                <w:sz w:val="22"/>
                <w:szCs w:val="22"/>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3,122</w:t>
            </w:r>
          </w:p>
        </w:tc>
      </w:tr>
      <w:tr>
        <w:trPr>
          <w:trHeight w:val="33"/>
        </w:trPr>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9,781</w:t>
            </w:r>
          </w:p>
        </w:tc>
      </w:tr>
      <w:tr>
        <w:trPr>
          <w:trHeight w:val="33"/>
        </w:trPr>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40" w:space="720"/>
            <w:col w:w="2260"/>
          </w:cols>
          <w:pgMar w:left="240" w:top="125" w:right="239" w:bottom="1440" w:gutter="0" w:footer="0" w:header="0"/>
          <w:type w:val="continuous"/>
        </w:sectPr>
      </w:pP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contingent consideration could be earned by the former Temetra shareholders based on Temetra's operational performance through the end of 2018. Goodwill generated from the acquisition is not deductible for tax purposes. Refer to Note 5 for additional information regarding this acquisition. Pro forma information has not been provided as the acquisition is not considered significant.</w:t>
      </w:r>
    </w:p>
    <w:p>
      <w:pPr>
        <w:sectPr>
          <w:pgSz w:w="11900" w:h="16838" w:orient="portrait"/>
          <w:cols w:equalWidth="0" w:num="1">
            <w:col w:w="11420"/>
          </w:cols>
          <w:pgMar w:left="240" w:top="125" w:right="239" w:bottom="1440" w:gutter="0" w:footer="0" w:header="0"/>
          <w:type w:val="continuous"/>
        </w:sectPr>
      </w:pPr>
    </w:p>
    <w:p>
      <w:pPr>
        <w:spacing w:after="0" w:line="17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our borrowings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Credit Facilities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Multicurrency revolving line of credit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Less: Current portion of debt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2015</w:t>
            </w:r>
          </w:p>
        </w:tc>
        <w:tc>
          <w:tcPr>
            <w:tcW w:w="260" w:type="dxa"/>
            <w:vAlign w:val="bottom"/>
          </w:tcPr>
          <w:p>
            <w:pPr>
              <w:spacing w:after="0"/>
              <w:rPr>
                <w:sz w:val="18"/>
                <w:szCs w:val="18"/>
                <w:color w:val="auto"/>
              </w:rPr>
            </w:pPr>
          </w:p>
        </w:tc>
        <w:tc>
          <w:tcPr>
            <w:tcW w:w="188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December 31, 2014</w:t>
            </w:r>
          </w:p>
        </w:tc>
      </w:tr>
      <w:tr>
        <w:trPr>
          <w:trHeight w:val="33"/>
        </w:trPr>
        <w:tc>
          <w:tcPr>
            <w:tcW w:w="2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gridSpan w:val="4"/>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4160" w:type="dxa"/>
            <w:vAlign w:val="bottom"/>
            <w:gridSpan w:val="4"/>
          </w:tcPr>
          <w:p>
            <w:pPr>
              <w:jc w:val="right"/>
              <w:ind w:right="1639"/>
              <w:spacing w:after="0"/>
              <w:rPr>
                <w:sz w:val="20"/>
                <w:szCs w:val="20"/>
                <w:color w:val="auto"/>
              </w:rPr>
            </w:pPr>
            <w:r>
              <w:rPr>
                <w:rFonts w:ascii="Arial" w:cs="Arial" w:eastAsia="Arial" w:hAnsi="Arial"/>
                <w:sz w:val="16"/>
                <w:szCs w:val="16"/>
                <w:b w:val="1"/>
                <w:bCs w:val="1"/>
                <w:color w:val="auto"/>
              </w:rPr>
              <w:t>(in thousands)</w:t>
            </w:r>
          </w:p>
        </w:tc>
      </w:tr>
      <w:tr>
        <w:trPr>
          <w:trHeight w:val="540"/>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219,375</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232,500</w:t>
            </w:r>
          </w:p>
        </w:tc>
      </w:tr>
      <w:tr>
        <w:trPr>
          <w:trHeight w:val="270"/>
        </w:trPr>
        <w:tc>
          <w:tcPr>
            <w:tcW w:w="280" w:type="dxa"/>
            <w:vAlign w:val="bottom"/>
          </w:tcPr>
          <w:p>
            <w:pPr>
              <w:spacing w:after="0"/>
              <w:rPr>
                <w:sz w:val="23"/>
                <w:szCs w:val="23"/>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151,837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91,469</w:t>
            </w:r>
          </w:p>
        </w:tc>
      </w:tr>
      <w:tr>
        <w:trPr>
          <w:trHeight w:val="33"/>
        </w:trPr>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371,212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323,969</w:t>
            </w:r>
          </w:p>
        </w:tc>
      </w:tr>
      <w:tr>
        <w:trPr>
          <w:trHeight w:val="270"/>
        </w:trPr>
        <w:tc>
          <w:tcPr>
            <w:tcW w:w="280" w:type="dxa"/>
            <w:vAlign w:val="bottom"/>
          </w:tcPr>
          <w:p>
            <w:pPr>
              <w:spacing w:after="0"/>
              <w:rPr>
                <w:sz w:val="23"/>
                <w:szCs w:val="23"/>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11,250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30,000</w:t>
            </w:r>
          </w:p>
        </w:tc>
      </w:tr>
      <w:tr>
        <w:trPr>
          <w:trHeight w:val="33"/>
        </w:trPr>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359,962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293,969</w:t>
            </w:r>
          </w:p>
        </w:tc>
      </w:tr>
      <w:tr>
        <w:trPr>
          <w:trHeight w:val="33"/>
        </w:trPr>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-882650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-539750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-196850</wp:posOffset>
            </wp:positionV>
            <wp:extent cx="72466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440"/>
          </w:cols>
          <w:pgMar w:left="240" w:top="125" w:right="239" w:bottom="1440" w:gutter="0" w:footer="0" w:header="0"/>
          <w:type w:val="continuous"/>
        </w:sectPr>
      </w:pP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Facilities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June 23, 2015, we entered into an amended and restated credit agreement providing for committed credit facilities in the amount of $725 million U.S. dollars (the 2015 credit facility). The 2015 credit facility consists of a $225 million U.S. dollar term loan (the term loan) and a multicurrency revolving line of credit (the revolver) with a principal amount of up to $500 million. The revolver also contains a $300 million standby letter of credit sub-facility and a $50 million swingline sub-facility (available for immediate cash needs at a higher interest rate). Both the term loan and the revolver mature on June 23, 2020, and amounts borrowed under the revolver are classified as long-term and, during the credit facility term,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0.18% to 0.30% per annum depending on our total leverage ratio as of the most recently ended fiscal quarter. Amounts repaid on the term loan may not be reborrowed. The 2015 credit facility permits us and certain of our foreign subsidiaries to borrow in U.S. dollars, euros, British pounds, or, with lender approval, other currencies readily convertible into U.S. dollars. All obligations under the 2015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2015 credit facility, are guaranteed by the foreign subsidiary and by its direct and indirect foreign parents.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2015 credit facility includes debt covenants, which contain certain financial ratio thresholds, place certain restrictions on the incurrence of debt, investments, and the issuance of dividends, and require quarterly unaudited and annual audited financial reporting. We were not in compliance with the financial reporting portion of these covenants under the 2015 credit facility at March 31, 2016. We have been granted waivers which extend the due dates for annual audited financial statements and quarterly unaudited financial statements through September 12, 2016.</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Scheduled principal repayments for the term loan are due quarterly in the amount of $2.8 million through June 2017, $4.2 million from September 2017 through June 2018, $5.6 million from September 2018 through March 2020, and the remainder due at maturity on June 23, 2020. The term loan may be repaid early in whole or in part, subject to certain minimum thresholds, without penalty.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Required minimum principal payments on our outstanding credit facilities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1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Minimum Payments</w:t>
            </w:r>
          </w:p>
        </w:tc>
      </w:tr>
      <w:tr>
        <w:trPr>
          <w:trHeight w:val="33"/>
        </w:trPr>
        <w:tc>
          <w:tcPr>
            <w:tcW w:w="7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7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(in thousands)</w:t>
            </w:r>
          </w:p>
        </w:tc>
      </w:tr>
      <w:tr>
        <w:trPr>
          <w:trHeight w:val="33"/>
        </w:trPr>
        <w:tc>
          <w:tcPr>
            <w:tcW w:w="7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11,250</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14,063</w:t>
            </w:r>
          </w:p>
        </w:tc>
      </w:tr>
      <w:tr>
        <w:trPr>
          <w:trHeight w:val="33"/>
        </w:trPr>
        <w:tc>
          <w:tcPr>
            <w:tcW w:w="7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19,687</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22,500</w:t>
            </w:r>
          </w:p>
        </w:tc>
      </w:tr>
      <w:tr>
        <w:trPr>
          <w:trHeight w:val="33"/>
        </w:trPr>
        <w:tc>
          <w:tcPr>
            <w:tcW w:w="7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303,712</w:t>
            </w:r>
          </w:p>
        </w:tc>
      </w:tr>
      <w:tr>
        <w:trPr>
          <w:trHeight w:val="257"/>
        </w:trPr>
        <w:tc>
          <w:tcPr>
            <w:tcW w:w="7600" w:type="dxa"/>
            <w:vAlign w:val="bottom"/>
          </w:tcPr>
          <w:p>
            <w:pPr>
              <w:ind w:left="40"/>
              <w:spacing w:after="0"/>
              <w:rPr>
                <w:sz w:val="20"/>
                <w:szCs w:val="20"/>
                <w:color w:val="auto"/>
              </w:rPr>
            </w:pPr>
            <w:r>
              <w:rPr>
                <w:rFonts w:ascii="Arial" w:cs="Arial" w:eastAsia="Arial" w:hAnsi="Arial"/>
                <w:sz w:val="16"/>
                <w:szCs w:val="16"/>
                <w:color w:val="auto"/>
              </w:rPr>
              <w:t>Total minimum payments on debt</w:t>
            </w: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371,212</w:t>
            </w:r>
          </w:p>
        </w:tc>
      </w:tr>
      <w:tr>
        <w:trPr>
          <w:trHeight w:val="20"/>
        </w:trPr>
        <w:tc>
          <w:tcPr>
            <w:tcW w:w="7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2015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(floor of 0%), plus an applicable margin, or (2) the Alternate Base Rate, plus an applicable margin. The Alternate Base Rate election is equal to the greatest of three rates: (i) the prime rate, (ii) the Federal Reserve effective rate plus 1/2 of 1%, or (iii) one month LIBOR plus 1%. At December 31, 2015, the interest rate for both the term loan and the USD revolver was 2.18% (the LIBOR rate plus a margin of 1.75%), and the interest rate for the EUR revolver was 1.75% (the EURIBOR floor rate plus a margin of 1.75%).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Total credit facility repayments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13,125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18,750</w:t>
            </w:r>
          </w:p>
        </w:tc>
      </w:tr>
      <w:tr>
        <w:trPr>
          <w:trHeight w:val="270"/>
        </w:trPr>
        <w:tc>
          <w:tcPr>
            <w:tcW w:w="60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6"/>
                <w:szCs w:val="16"/>
                <w:color w:val="auto"/>
              </w:rPr>
              <w:t>Multicurrency revolving line of credit</w:t>
            </w:r>
            <w:r>
              <w:rPr>
                <w:rFonts w:ascii="Arial" w:cs="Arial" w:eastAsia="Arial" w:hAnsi="Arial"/>
                <w:sz w:val="25"/>
                <w:szCs w:val="25"/>
                <w:color w:val="auto"/>
                <w:vertAlign w:val="superscript"/>
              </w:rPr>
              <w:t>(1)</w:t>
            </w:r>
          </w:p>
        </w:tc>
        <w:tc>
          <w:tcPr>
            <w:tcW w:w="1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49,873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76,188</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55,000</w:t>
            </w:r>
          </w:p>
        </w:tc>
      </w:tr>
      <w:tr>
        <w:trPr>
          <w:trHeight w:val="244"/>
        </w:trPr>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credit facility repayments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62,998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102,438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73,750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We borrowed $113.5 million, $47.7 million, and $35.0 million under the multicurrency revolving line of credit during 2015, 2014 and 2013, respectively.</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2015, $151.8 million was outstanding under the 2015 credit facility revolver, and $46.6 million was utilized by outstanding standby letters of credit, resulting in $301.6 million available for additional borrowings or standby letters of credit. At December 31, 2015, $253.4 million was available for additional standby letters of credit under the letter of credit sub-facility and no amounts were outstanding under the swingline sub-facility.</w:t>
      </w:r>
    </w:p>
    <w:p>
      <w:pPr>
        <w:spacing w:after="0" w:line="16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Upon entering into the 2015 credit facility, a portion of our unamortized prepaid debt fees, totaling $821,000, were written off to interest expense. Prepaid debt fees of approximately $3.9 million were capitalized associated with the 2015 credit facility. Total unamortized prepaid debt fees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ind w:right="379"/>
              <w:spacing w:after="0"/>
              <w:rPr>
                <w:sz w:val="20"/>
                <w:szCs w:val="20"/>
                <w:color w:val="auto"/>
              </w:rPr>
            </w:pPr>
            <w:r>
              <w:rPr>
                <w:rFonts w:ascii="Arial" w:cs="Arial" w:eastAsia="Arial" w:hAnsi="Arial"/>
                <w:sz w:val="16"/>
                <w:szCs w:val="16"/>
                <w:b w:val="1"/>
                <w:bCs w:val="1"/>
                <w:color w:val="auto"/>
                <w:w w:val="99"/>
              </w:rPr>
              <w:t>December 31, 2015</w:t>
            </w:r>
          </w:p>
        </w:tc>
        <w:tc>
          <w:tcPr>
            <w:tcW w:w="360" w:type="dxa"/>
            <w:vAlign w:val="bottom"/>
          </w:tcPr>
          <w:p>
            <w:pPr>
              <w:spacing w:after="0"/>
              <w:rPr>
                <w:sz w:val="18"/>
                <w:szCs w:val="18"/>
                <w:color w:val="auto"/>
              </w:rPr>
            </w:pPr>
          </w:p>
        </w:tc>
        <w:tc>
          <w:tcPr>
            <w:tcW w:w="188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December 31, 2014</w:t>
            </w:r>
          </w:p>
        </w:tc>
      </w:tr>
      <w:tr>
        <w:trPr>
          <w:trHeight w:val="33"/>
        </w:trPr>
        <w:tc>
          <w:tcPr>
            <w:tcW w:w="6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gridSpan w:val="3"/>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gridSpan w:val="3"/>
          </w:tcPr>
          <w:p>
            <w:pPr>
              <w:jc w:val="right"/>
              <w:ind w:right="163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7"/>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Unamortized prepaid debt fees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4,175</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2,298</w:t>
            </w:r>
          </w:p>
        </w:tc>
      </w:tr>
      <w:tr>
        <w:trPr>
          <w:trHeight w:val="33"/>
        </w:trPr>
        <w:tc>
          <w:tcPr>
            <w:tcW w:w="6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15, and Note 16 for additional disclosures on our derivative instruments.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Fair Value</w:t>
            </w:r>
          </w:p>
        </w:tc>
        <w:tc>
          <w:tcPr>
            <w:tcW w:w="136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18"/>
                <w:szCs w:val="18"/>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360" w:type="dxa"/>
            <w:vAlign w:val="bottom"/>
          </w:tcPr>
          <w:p>
            <w:pPr>
              <w:spacing w:after="0"/>
              <w:rPr>
                <w:sz w:val="18"/>
                <w:szCs w:val="18"/>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240" w:type="dxa"/>
            <w:vAlign w:val="bottom"/>
          </w:tcPr>
          <w:p>
            <w:pPr>
              <w:spacing w:after="0"/>
              <w:rPr>
                <w:sz w:val="18"/>
                <w:szCs w:val="18"/>
                <w:color w:val="auto"/>
              </w:rPr>
            </w:pP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36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231"/>
        </w:trPr>
        <w:tc>
          <w:tcPr>
            <w:tcW w:w="4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4"/>
          </w:tcPr>
          <w:p>
            <w:pPr>
              <w:jc w:val="right"/>
              <w:ind w:right="115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Asset Derivatives</w:t>
            </w:r>
          </w:p>
        </w:tc>
        <w:tc>
          <w:tcPr>
            <w:tcW w:w="3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33"/>
        </w:trPr>
        <w:tc>
          <w:tcPr>
            <w:tcW w:w="77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790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24"/>
        </w:trPr>
        <w:tc>
          <w:tcPr>
            <w:tcW w:w="4360" w:type="dxa"/>
            <w:vAlign w:val="bottom"/>
          </w:tcPr>
          <w:p>
            <w:pPr>
              <w:ind w:left="180"/>
              <w:spacing w:after="0"/>
              <w:rPr>
                <w:sz w:val="20"/>
                <w:szCs w:val="20"/>
                <w:color w:val="auto"/>
              </w:rPr>
            </w:pPr>
            <w:r>
              <w:rPr>
                <w:rFonts w:ascii="Arial" w:cs="Arial" w:eastAsia="Arial" w:hAnsi="Arial"/>
                <w:sz w:val="16"/>
                <w:szCs w:val="16"/>
                <w:color w:val="auto"/>
              </w:rPr>
              <w:t>Interest rate cap contracts</w:t>
            </w: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Other long-term assets</w:t>
            </w:r>
          </w:p>
        </w:tc>
        <w:tc>
          <w:tcPr>
            <w:tcW w:w="24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77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436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107</w:t>
            </w:r>
          </w:p>
        </w:tc>
      </w:tr>
      <w:tr>
        <w:trPr>
          <w:trHeight w:val="47"/>
        </w:trPr>
        <w:tc>
          <w:tcPr>
            <w:tcW w:w="4360" w:type="dxa"/>
            <w:vAlign w:val="bottom"/>
            <w:tcBorders>
              <w:bottom w:val="single" w:sz="8" w:color="CCEEFF"/>
            </w:tcBorders>
          </w:tcPr>
          <w:p>
            <w:pPr>
              <w:spacing w:after="0"/>
              <w:rPr>
                <w:sz w:val="4"/>
                <w:szCs w:val="4"/>
                <w:color w:val="auto"/>
              </w:rPr>
            </w:pPr>
          </w:p>
        </w:tc>
        <w:tc>
          <w:tcPr>
            <w:tcW w:w="34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55"/>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 derivatives</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Liability Derivatives</w:t>
            </w:r>
          </w:p>
        </w:tc>
        <w:tc>
          <w:tcPr>
            <w:tcW w:w="3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17"/>
        </w:trPr>
        <w:tc>
          <w:tcPr>
            <w:tcW w:w="77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1,317</w:t>
            </w:r>
          </w:p>
        </w:tc>
      </w:tr>
      <w:tr>
        <w:trPr>
          <w:trHeight w:val="224"/>
        </w:trPr>
        <w:tc>
          <w:tcPr>
            <w:tcW w:w="790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43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 forward contracts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r>
      <w:tr>
        <w:trPr>
          <w:trHeight w:val="217"/>
        </w:trPr>
        <w:tc>
          <w:tcPr>
            <w:tcW w:w="4360" w:type="dxa"/>
            <w:vAlign w:val="bottom"/>
          </w:tcPr>
          <w:p>
            <w:pPr>
              <w:ind w:left="380"/>
              <w:spacing w:after="0"/>
              <w:rPr>
                <w:sz w:val="20"/>
                <w:szCs w:val="20"/>
                <w:color w:val="auto"/>
              </w:rPr>
            </w:pPr>
            <w:r>
              <w:rPr>
                <w:rFonts w:ascii="Arial" w:cs="Arial" w:eastAsia="Arial" w:hAnsi="Arial"/>
                <w:sz w:val="16"/>
                <w:szCs w:val="16"/>
                <w:b w:val="1"/>
                <w:bCs w:val="1"/>
                <w:color w:val="auto"/>
              </w:rPr>
              <w:t>Total liability derivatives</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1,553</w:t>
            </w:r>
          </w:p>
        </w:tc>
      </w:tr>
      <w:tr>
        <w:trPr>
          <w:trHeight w:val="33"/>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OCI during the reporting period for our derivative and nonderivative instruments designated as hedging instruments, net of tax,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2014</w:t>
            </w:r>
          </w:p>
        </w:tc>
        <w:tc>
          <w:tcPr>
            <w:tcW w:w="46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b w:val="1"/>
                <w:bCs w:val="1"/>
                <w:color w:val="auto"/>
                <w:w w:val="97"/>
              </w:rPr>
              <w:t>(in thousands)</w:t>
            </w: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gain (loss) on hedging instruments at January 1,</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(15,148)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(15,636)</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(16,069)</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Unrealized gain (loss) on derivative instruments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(566)</w:t>
            </w:r>
          </w:p>
        </w:tc>
        <w:tc>
          <w:tcPr>
            <w:tcW w:w="4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(gains) losses reclassified into net income (loss)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1,054</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Net unrealized gain (loss) on hedging instruments at December 31,</w:t>
            </w: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(14,062)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(15,148)</w:t>
            </w:r>
          </w:p>
        </w:tc>
        <w:tc>
          <w:tcPr>
            <w:tcW w:w="4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(15,636)</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for the years ended December 31, 2015, 2014, and 2013. Included in the net unrealized loss on hedging instruments at December 31, 2015 and 2014 is a loss of $14.4 million, net of tax, related to our nonderivative net investment hedge, which terminated in 2011. This loss on our net investment hedge will remain in AOCI until such time when earnings are impacted by a sale or liquidation of the associated foreign operation.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potential effect of netting arrangements on our financial position related to the offsetting of our recognized derivative assets and liabilities under master netting arrangements or similar agreements is as follows: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Assets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gridSpan w:val="3"/>
          </w:tcPr>
          <w:p>
            <w:pPr>
              <w:ind w:left="40"/>
              <w:spacing w:after="0"/>
              <w:rPr>
                <w:sz w:val="20"/>
                <w:szCs w:val="20"/>
                <w:color w:val="auto"/>
              </w:rPr>
            </w:pPr>
            <w:r>
              <w:rPr>
                <w:rFonts w:ascii="Arial" w:cs="Arial" w:eastAsia="Arial" w:hAnsi="Arial"/>
                <w:sz w:val="16"/>
                <w:szCs w:val="16"/>
                <w:b w:val="1"/>
                <w:bCs w:val="1"/>
                <w:color w:val="auto"/>
                <w:w w:val="94"/>
              </w:rPr>
              <w:t>Gross Amounts Not Offset in the Consolidated</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3"/>
          </w:tcPr>
          <w:p>
            <w:pPr>
              <w:ind w:left="1140"/>
              <w:spacing w:after="0"/>
              <w:rPr>
                <w:sz w:val="20"/>
                <w:szCs w:val="20"/>
                <w:color w:val="auto"/>
              </w:rPr>
            </w:pPr>
            <w:r>
              <w:rPr>
                <w:rFonts w:ascii="Arial" w:cs="Arial" w:eastAsia="Arial" w:hAnsi="Arial"/>
                <w:sz w:val="16"/>
                <w:szCs w:val="16"/>
                <w:b w:val="1"/>
                <w:bCs w:val="1"/>
                <w:color w:val="auto"/>
              </w:rPr>
              <w:t>Balance Sheets</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88"/>
              </w:rPr>
              <w:t>Gross Amounts of</w:t>
            </w: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7"/>
              </w:rPr>
              <w:t>Recognized Assets</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Presented in the</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Consolidated Balance</w:t>
            </w:r>
          </w:p>
        </w:tc>
        <w:tc>
          <w:tcPr>
            <w:tcW w:w="140" w:type="dxa"/>
            <w:vAlign w:val="bottom"/>
          </w:tcPr>
          <w:p>
            <w:pPr>
              <w:spacing w:after="0"/>
              <w:rPr>
                <w:sz w:val="17"/>
                <w:szCs w:val="17"/>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Derivative Financial</w:t>
            </w:r>
          </w:p>
        </w:tc>
        <w:tc>
          <w:tcPr>
            <w:tcW w:w="28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Cash Collateral</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3"/>
              </w:rPr>
              <w:t>Sheets</w:t>
            </w:r>
          </w:p>
        </w:tc>
        <w:tc>
          <w:tcPr>
            <w:tcW w:w="140" w:type="dxa"/>
            <w:vAlign w:val="bottom"/>
          </w:tcPr>
          <w:p>
            <w:pPr>
              <w:spacing w:after="0"/>
              <w:rPr>
                <w:sz w:val="18"/>
                <w:szCs w:val="18"/>
                <w:color w:val="auto"/>
              </w:rPr>
            </w:pPr>
          </w:p>
        </w:tc>
        <w:tc>
          <w:tcPr>
            <w:tcW w:w="1640" w:type="dxa"/>
            <w:vAlign w:val="bottom"/>
          </w:tcPr>
          <w:p>
            <w:pPr>
              <w:jc w:val="right"/>
              <w:ind w:right="399"/>
              <w:spacing w:after="0"/>
              <w:rPr>
                <w:sz w:val="20"/>
                <w:szCs w:val="20"/>
                <w:color w:val="auto"/>
              </w:rPr>
            </w:pPr>
            <w:r>
              <w:rPr>
                <w:rFonts w:ascii="Arial" w:cs="Arial" w:eastAsia="Arial" w:hAnsi="Arial"/>
                <w:sz w:val="16"/>
                <w:szCs w:val="16"/>
                <w:b w:val="1"/>
                <w:bCs w:val="1"/>
                <w:color w:val="auto"/>
              </w:rPr>
              <w:t>Instruments</w:t>
            </w:r>
          </w:p>
        </w:tc>
        <w:tc>
          <w:tcPr>
            <w:tcW w:w="280" w:type="dxa"/>
            <w:vAlign w:val="bottom"/>
          </w:tcPr>
          <w:p>
            <w:pPr>
              <w:spacing w:after="0"/>
              <w:rPr>
                <w:sz w:val="18"/>
                <w:szCs w:val="18"/>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Received</w:t>
            </w:r>
          </w:p>
        </w:tc>
        <w:tc>
          <w:tcPr>
            <w:tcW w:w="38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3"/>
          </w:tcPr>
          <w:p>
            <w:pPr>
              <w:ind w:left="11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3,082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2,517</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Liabilities</w:t>
      </w:r>
    </w:p>
    <w:p>
      <w:pPr>
        <w:spacing w:after="0" w:line="64" w:lineRule="exact"/>
        <w:rPr>
          <w:sz w:val="20"/>
          <w:szCs w:val="20"/>
          <w:color w:val="auto"/>
        </w:rPr>
      </w:pPr>
    </w:p>
    <w:p>
      <w:pPr>
        <w:jc w:val="center"/>
        <w:ind w:left="4320"/>
        <w:spacing w:after="0"/>
        <w:rPr>
          <w:sz w:val="20"/>
          <w:szCs w:val="20"/>
          <w:color w:val="auto"/>
        </w:rPr>
      </w:pPr>
      <w:r>
        <w:rPr>
          <w:rFonts w:ascii="Arial" w:cs="Arial" w:eastAsia="Arial" w:hAnsi="Arial"/>
          <w:sz w:val="16"/>
          <w:szCs w:val="16"/>
          <w:b w:val="1"/>
          <w:bCs w:val="1"/>
          <w:color w:val="auto"/>
        </w:rPr>
        <w:t>Gross Amounts Not Offset in the Consolidated</w:t>
      </w:r>
    </w:p>
    <w:p>
      <w:pPr>
        <w:spacing w:after="0" w:line="26" w:lineRule="exact"/>
        <w:rPr>
          <w:sz w:val="20"/>
          <w:szCs w:val="20"/>
          <w:color w:val="auto"/>
        </w:rPr>
      </w:pPr>
    </w:p>
    <w:p>
      <w:pPr>
        <w:jc w:val="center"/>
        <w:ind w:left="4320"/>
        <w:spacing w:after="0"/>
        <w:rPr>
          <w:sz w:val="20"/>
          <w:szCs w:val="20"/>
          <w:color w:val="auto"/>
        </w:rPr>
      </w:pPr>
      <w:r>
        <w:rPr>
          <w:rFonts w:ascii="Arial" w:cs="Arial" w:eastAsia="Arial" w:hAnsi="Arial"/>
          <w:sz w:val="16"/>
          <w:szCs w:val="16"/>
          <w:b w:val="1"/>
          <w:bCs w:val="1"/>
          <w:color w:val="auto"/>
        </w:rPr>
        <w:t>Balance Sheets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Gross Amounts of</w:t>
            </w: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3"/>
        </w:trPr>
        <w:tc>
          <w:tcPr>
            <w:tcW w:w="4240" w:type="dxa"/>
            <w:vAlign w:val="bottom"/>
          </w:tcPr>
          <w:p>
            <w:pPr>
              <w:spacing w:after="0"/>
              <w:rPr>
                <w:sz w:val="17"/>
                <w:szCs w:val="17"/>
                <w:color w:val="auto"/>
              </w:rPr>
            </w:pPr>
          </w:p>
        </w:tc>
        <w:tc>
          <w:tcPr>
            <w:tcW w:w="184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0"/>
              </w:rPr>
              <w:t>Recognized Liabilities</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Presented in the</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Consolidated Balance</w:t>
            </w:r>
          </w:p>
        </w:tc>
        <w:tc>
          <w:tcPr>
            <w:tcW w:w="140" w:type="dxa"/>
            <w:vAlign w:val="bottom"/>
          </w:tcPr>
          <w:p>
            <w:pPr>
              <w:spacing w:after="0"/>
              <w:rPr>
                <w:sz w:val="17"/>
                <w:szCs w:val="17"/>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Derivative Financial</w:t>
            </w:r>
          </w:p>
        </w:tc>
        <w:tc>
          <w:tcPr>
            <w:tcW w:w="28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Cash Collateral</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3"/>
              </w:rPr>
              <w:t>Sheets</w:t>
            </w:r>
          </w:p>
        </w:tc>
        <w:tc>
          <w:tcPr>
            <w:tcW w:w="140" w:type="dxa"/>
            <w:vAlign w:val="bottom"/>
          </w:tcPr>
          <w:p>
            <w:pPr>
              <w:spacing w:after="0"/>
              <w:rPr>
                <w:sz w:val="18"/>
                <w:szCs w:val="18"/>
                <w:color w:val="auto"/>
              </w:rPr>
            </w:pPr>
          </w:p>
        </w:tc>
        <w:tc>
          <w:tcPr>
            <w:tcW w:w="1640" w:type="dxa"/>
            <w:vAlign w:val="bottom"/>
          </w:tcPr>
          <w:p>
            <w:pPr>
              <w:jc w:val="right"/>
              <w:ind w:right="399"/>
              <w:spacing w:after="0"/>
              <w:rPr>
                <w:sz w:val="20"/>
                <w:szCs w:val="20"/>
                <w:color w:val="auto"/>
              </w:rPr>
            </w:pPr>
            <w:r>
              <w:rPr>
                <w:rFonts w:ascii="Arial" w:cs="Arial" w:eastAsia="Arial" w:hAnsi="Arial"/>
                <w:sz w:val="16"/>
                <w:szCs w:val="16"/>
                <w:b w:val="1"/>
                <w:bCs w:val="1"/>
                <w:color w:val="auto"/>
              </w:rPr>
              <w:t>Instruments</w:t>
            </w:r>
          </w:p>
        </w:tc>
        <w:tc>
          <w:tcPr>
            <w:tcW w:w="280" w:type="dxa"/>
            <w:vAlign w:val="bottom"/>
          </w:tcPr>
          <w:p>
            <w:pPr>
              <w:spacing w:after="0"/>
              <w:rPr>
                <w:sz w:val="18"/>
                <w:szCs w:val="18"/>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Pledged</w:t>
            </w:r>
          </w:p>
        </w:tc>
        <w:tc>
          <w:tcPr>
            <w:tcW w:w="38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Amount</w:t>
            </w:r>
          </w:p>
        </w:tc>
      </w:tr>
      <w:tr>
        <w:trPr>
          <w:trHeight w:val="33"/>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3"/>
          </w:tcPr>
          <w:p>
            <w:pPr>
              <w:ind w:left="11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940"/>
              <w:spacing w:after="0"/>
              <w:rPr>
                <w:sz w:val="20"/>
                <w:szCs w:val="20"/>
                <w:color w:val="auto"/>
              </w:rPr>
            </w:pPr>
            <w:r>
              <w:rPr>
                <w:rFonts w:ascii="Arial" w:cs="Arial" w:eastAsia="Arial" w:hAnsi="Arial"/>
                <w:sz w:val="16"/>
                <w:szCs w:val="16"/>
                <w:color w:val="auto"/>
                <w:w w:val="91"/>
              </w:rPr>
              <w:t>December 31, 2015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967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r>
      <w:tr>
        <w:trPr>
          <w:trHeight w:val="270"/>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240" w:type="dxa"/>
            <w:vAlign w:val="bottom"/>
            <w:shd w:val="clear" w:color="auto" w:fill="CCEEFF"/>
          </w:tcPr>
          <w:p>
            <w:pPr>
              <w:ind w:left="2940"/>
              <w:spacing w:after="0"/>
              <w:rPr>
                <w:sz w:val="20"/>
                <w:szCs w:val="20"/>
                <w:color w:val="auto"/>
              </w:rPr>
            </w:pPr>
            <w:r>
              <w:rPr>
                <w:rFonts w:ascii="Arial" w:cs="Arial" w:eastAsia="Arial" w:hAnsi="Arial"/>
                <w:sz w:val="16"/>
                <w:szCs w:val="16"/>
                <w:color w:val="auto"/>
                <w:w w:val="91"/>
              </w:rPr>
              <w:t>December 31, 2014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1,553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1,371</w:t>
            </w:r>
          </w:p>
        </w:tc>
      </w:tr>
      <w:tr>
        <w:trPr>
          <w:trHeight w:val="33"/>
        </w:trPr>
        <w:tc>
          <w:tcPr>
            <w:tcW w:w="4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derivative assets and liabilities subject to netting arrangements consist of foreign exchange forward and interest rate contracts with nine counterparties at December 31, 2015 and eight counterparties at December 31, 2014. No derivative asset or liability balance with any of our counterparties was individually significant at December 31, 2015 or 2014.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swaps to achieve a fixed rate of interest on the hedged portion of debt in order to increase our ability to forecast interest expense. The objective of these swaps is to reduce the variability of cash flows from increases in the LIBOR-based borrowing rates on our floating rate credit facility. The swaps do not protect us from changes to the applicable margin under our credit facility.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2012, we entered into six interest rate swaps to convert $200 million of our LIBOR based debt from a floating LIBOR interest rate to a fixed interest rate of 1.00% (excluding the applicable margin on the debt) and are effective July 31, 2013 to August 8, 2016. The cash flow hedges are expected to be highly effective in achieving offsetting cash flows attributable to the hedged risk through the term of the hedge. Consequently, effective changes in the fair value of the interest rate swaps are recorded as a component of OCI and will be recognized in earnings when the hedged item affects earnings. The amounts paid or received on the hedges will be recognized as adjustments to interest expense. The amount of net losses expected to be reclassified into earnings in the next 12 months is $0.5 million.</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2015, we entered into an interest rate swap, which is effective from August 31, 2016 to June 23, 2020, and converts $214 million of our LIBOR based debt from a floating LIBOR interest rate to a fixed interest rate of 1.42% (excluding the applicable margin on the debt). The notional balance will amortize to maturity at the same rate as required minimum payments on our term loan. The cash flow hedge is expected to be highly effective in achieving offsetting cash flows attributable to the hedged risk through the term of the hedge. Consequently, effective changes in the fair value of the interest rate swap is recorded as a component of OCI and will be recognized in earnings when the hedged item affects earnings. The amounts paid or received on the hedge will be recognized as an adjustment to interest expense. The amount of net losses expected to be reclassified into earnings in the next 12 months is $0.3 million. At December 31, 2015, our LIBOR-based debt balance was $314.4 million.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 at the capped rate of 2.00% with respect to the $100 million notional amount of such agreements. The interest rate cap contracts do not include the effect of the applicable margin. The amount of net losses expected to be reclassified into earnings in the next 12 months is insignificant.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before-tax effect of our cash flow derivative instruments on the Consolidated Balance Sheets and the Consolidated Statements of Operations for the years ended December 31 are as follows: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3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Derivatives in</w:t>
            </w:r>
          </w:p>
        </w:tc>
        <w:tc>
          <w:tcPr>
            <w:tcW w:w="2520" w:type="dxa"/>
            <w:vAlign w:val="bottom"/>
          </w:tcPr>
          <w:p>
            <w:pPr>
              <w:spacing w:after="0"/>
              <w:rPr>
                <w:sz w:val="17"/>
                <w:szCs w:val="17"/>
                <w:color w:val="auto"/>
              </w:rPr>
            </w:pPr>
          </w:p>
        </w:tc>
      </w:tr>
      <w:tr>
        <w:trPr>
          <w:trHeight w:val="203"/>
        </w:trPr>
        <w:tc>
          <w:tcPr>
            <w:tcW w:w="132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ASC 815-20 Cash</w:t>
            </w:r>
          </w:p>
        </w:tc>
        <w:tc>
          <w:tcPr>
            <w:tcW w:w="2520" w:type="dxa"/>
            <w:vAlign w:val="bottom"/>
          </w:tcPr>
          <w:p>
            <w:pPr>
              <w:jc w:val="center"/>
              <w:ind w:left="19"/>
              <w:spacing w:after="0"/>
              <w:rPr>
                <w:sz w:val="20"/>
                <w:szCs w:val="20"/>
                <w:color w:val="auto"/>
              </w:rPr>
            </w:pPr>
            <w:r>
              <w:rPr>
                <w:rFonts w:ascii="Arial" w:cs="Arial" w:eastAsia="Arial" w:hAnsi="Arial"/>
                <w:sz w:val="16"/>
                <w:szCs w:val="16"/>
                <w:b w:val="1"/>
                <w:bCs w:val="1"/>
                <w:color w:val="auto"/>
                <w:w w:val="90"/>
              </w:rPr>
              <w:t>Amount of Gain (Loss) Recognized</w:t>
            </w:r>
          </w:p>
        </w:tc>
      </w:tr>
      <w:tr>
        <w:trPr>
          <w:trHeight w:val="203"/>
        </w:trPr>
        <w:tc>
          <w:tcPr>
            <w:tcW w:w="132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Flow Hedging</w:t>
            </w:r>
          </w:p>
        </w:tc>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94"/>
              </w:rPr>
              <w:t>in OCI on Derivative (Effective</w:t>
            </w:r>
          </w:p>
        </w:tc>
      </w:tr>
      <w:tr>
        <w:trPr>
          <w:trHeight w:val="210"/>
        </w:trPr>
        <w:tc>
          <w:tcPr>
            <w:tcW w:w="132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Relationships</w:t>
            </w:r>
          </w:p>
        </w:tc>
        <w:tc>
          <w:tcPr>
            <w:tcW w:w="2520" w:type="dxa"/>
            <w:vAlign w:val="bottom"/>
          </w:tcPr>
          <w:p>
            <w:pPr>
              <w:jc w:val="center"/>
              <w:ind w:left="19"/>
              <w:spacing w:after="0"/>
              <w:rPr>
                <w:sz w:val="20"/>
                <w:szCs w:val="20"/>
                <w:color w:val="auto"/>
              </w:rPr>
            </w:pPr>
            <w:r>
              <w:rPr>
                <w:rFonts w:ascii="Arial" w:cs="Arial" w:eastAsia="Arial" w:hAnsi="Arial"/>
                <w:sz w:val="16"/>
                <w:szCs w:val="16"/>
                <w:b w:val="1"/>
                <w:bCs w:val="1"/>
                <w:color w:val="auto"/>
                <w:w w:val="94"/>
              </w:rPr>
              <w:t>Portion)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4784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7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Gain (Loss) Reclassified from</w:t>
            </w:r>
          </w:p>
        </w:tc>
        <w:tc>
          <w:tcPr>
            <w:tcW w:w="3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Gain (Loss) Recognized in Income on</w:t>
            </w:r>
          </w:p>
        </w:tc>
      </w:tr>
      <w:tr>
        <w:trPr>
          <w:trHeight w:val="210"/>
        </w:trPr>
        <w:tc>
          <w:tcPr>
            <w:tcW w:w="37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AOCI into Income (Effective Portion)</w:t>
            </w:r>
          </w:p>
        </w:tc>
        <w:tc>
          <w:tcPr>
            <w:tcW w:w="3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Derivative (Ineffective Portion)</w:t>
            </w:r>
          </w:p>
        </w:tc>
      </w:tr>
      <w:tr>
        <w:trPr>
          <w:trHeight w:val="33"/>
        </w:trPr>
        <w:tc>
          <w:tcPr>
            <w:tcW w:w="14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85"/>
        </w:trPr>
        <w:tc>
          <w:tcPr>
            <w:tcW w:w="1460" w:type="dxa"/>
            <w:vAlign w:val="bottom"/>
          </w:tcPr>
          <w:p>
            <w:pPr>
              <w:ind w:left="200"/>
              <w:spacing w:after="0"/>
              <w:rPr>
                <w:sz w:val="20"/>
                <w:szCs w:val="20"/>
                <w:color w:val="auto"/>
              </w:rPr>
            </w:pPr>
            <w:r>
              <w:rPr>
                <w:rFonts w:ascii="Arial" w:cs="Arial" w:eastAsia="Arial" w:hAnsi="Arial"/>
                <w:sz w:val="16"/>
                <w:szCs w:val="16"/>
                <w:b w:val="1"/>
                <w:bCs w:val="1"/>
                <w:color w:val="auto"/>
              </w:rPr>
              <w:t>Location</w:t>
            </w:r>
          </w:p>
        </w:tc>
        <w:tc>
          <w:tcPr>
            <w:tcW w:w="2280" w:type="dxa"/>
            <w:vAlign w:val="bottom"/>
            <w:gridSpan w:val="2"/>
          </w:tcPr>
          <w:p>
            <w:pPr>
              <w:ind w:left="640"/>
              <w:spacing w:after="0"/>
              <w:rPr>
                <w:sz w:val="20"/>
                <w:szCs w:val="20"/>
                <w:color w:val="auto"/>
              </w:rPr>
            </w:pPr>
            <w:r>
              <w:rPr>
                <w:rFonts w:ascii="Arial" w:cs="Arial" w:eastAsia="Arial" w:hAnsi="Arial"/>
                <w:sz w:val="16"/>
                <w:szCs w:val="16"/>
                <w:b w:val="1"/>
                <w:bCs w:val="1"/>
                <w:color w:val="auto"/>
              </w:rPr>
              <w:t>Amount</w:t>
            </w:r>
          </w:p>
        </w:tc>
        <w:tc>
          <w:tcPr>
            <w:tcW w:w="1460" w:type="dxa"/>
            <w:vAlign w:val="bottom"/>
          </w:tcPr>
          <w:p>
            <w:pPr>
              <w:ind w:left="200"/>
              <w:spacing w:after="0"/>
              <w:rPr>
                <w:sz w:val="20"/>
                <w:szCs w:val="20"/>
                <w:color w:val="auto"/>
              </w:rPr>
            </w:pPr>
            <w:r>
              <w:rPr>
                <w:rFonts w:ascii="Arial" w:cs="Arial" w:eastAsia="Arial" w:hAnsi="Arial"/>
                <w:sz w:val="16"/>
                <w:szCs w:val="16"/>
                <w:b w:val="1"/>
                <w:bCs w:val="1"/>
                <w:color w:val="auto"/>
              </w:rPr>
              <w:t>Location</w:t>
            </w:r>
          </w:p>
        </w:tc>
        <w:tc>
          <w:tcPr>
            <w:tcW w:w="2200" w:type="dxa"/>
            <w:vAlign w:val="bottom"/>
          </w:tcPr>
          <w:p>
            <w:pPr>
              <w:ind w:left="660"/>
              <w:spacing w:after="0"/>
              <w:rPr>
                <w:sz w:val="20"/>
                <w:szCs w:val="20"/>
                <w:color w:val="auto"/>
              </w:rPr>
            </w:pPr>
            <w:r>
              <w:rPr>
                <w:rFonts w:ascii="Arial" w:cs="Arial" w:eastAsia="Arial" w:hAnsi="Arial"/>
                <w:sz w:val="16"/>
                <w:szCs w:val="16"/>
                <w:b w:val="1"/>
                <w:bCs w:val="1"/>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46996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3900" w:space="120"/>
            <w:col w:w="74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8"/>
                <w:szCs w:val="18"/>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8"/>
                <w:szCs w:val="18"/>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2013</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8"/>
                <w:szCs w:val="18"/>
                <w:color w:val="auto"/>
              </w:rPr>
            </w:pPr>
          </w:p>
        </w:tc>
        <w:tc>
          <w:tcPr>
            <w:tcW w:w="7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8"/>
                <w:szCs w:val="18"/>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2013</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320" w:type="dxa"/>
            <w:vAlign w:val="bottom"/>
          </w:tcPr>
          <w:p>
            <w:pPr>
              <w:spacing w:after="0"/>
              <w:rPr>
                <w:sz w:val="18"/>
                <w:szCs w:val="18"/>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2013</w:t>
            </w:r>
          </w:p>
        </w:tc>
      </w:tr>
      <w:tr>
        <w:trPr>
          <w:trHeight w:val="33"/>
        </w:trPr>
        <w:tc>
          <w:tcPr>
            <w:tcW w:w="1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0"/>
        </w:trPr>
        <w:tc>
          <w:tcPr>
            <w:tcW w:w="14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Interest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03"/>
        </w:trPr>
        <w:tc>
          <w:tcPr>
            <w:tcW w:w="14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rate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3"/>
        </w:trPr>
        <w:tc>
          <w:tcPr>
            <w:tcW w:w="14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swap</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9"/>
        </w:trPr>
        <w:tc>
          <w:tcPr>
            <w:tcW w:w="1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697</w:t>
            </w:r>
          </w:p>
        </w:tc>
        <w:tc>
          <w:tcPr>
            <w:tcW w:w="1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r>
      <w:tr>
        <w:trPr>
          <w:trHeight w:val="220"/>
        </w:trPr>
        <w:tc>
          <w:tcPr>
            <w:tcW w:w="1440" w:type="dxa"/>
            <w:vAlign w:val="bottom"/>
          </w:tcPr>
          <w:p>
            <w:pPr>
              <w:ind w:left="720"/>
              <w:spacing w:after="0"/>
              <w:rPr>
                <w:sz w:val="20"/>
                <w:szCs w:val="20"/>
                <w:color w:val="auto"/>
              </w:rPr>
            </w:pPr>
            <w:r>
              <w:rPr>
                <w:rFonts w:ascii="Arial" w:cs="Arial" w:eastAsia="Arial" w:hAnsi="Arial"/>
                <w:sz w:val="16"/>
                <w:szCs w:val="16"/>
                <w:color w:val="auto"/>
              </w:rPr>
              <w:t>Interest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3"/>
        </w:trPr>
        <w:tc>
          <w:tcPr>
            <w:tcW w:w="1440" w:type="dxa"/>
            <w:vAlign w:val="bottom"/>
          </w:tcPr>
          <w:p>
            <w:pPr>
              <w:ind w:left="720"/>
              <w:spacing w:after="0"/>
              <w:rPr>
                <w:sz w:val="20"/>
                <w:szCs w:val="20"/>
                <w:color w:val="auto"/>
              </w:rPr>
            </w:pPr>
            <w:r>
              <w:rPr>
                <w:rFonts w:ascii="Arial" w:cs="Arial" w:eastAsia="Arial" w:hAnsi="Arial"/>
                <w:sz w:val="16"/>
                <w:szCs w:val="16"/>
                <w:color w:val="auto"/>
              </w:rPr>
              <w:t>rate cap</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ind w:left="120"/>
              <w:spacing w:after="0"/>
              <w:rPr>
                <w:sz w:val="20"/>
                <w:szCs w:val="20"/>
                <w:color w:val="auto"/>
              </w:rPr>
            </w:pPr>
            <w:r>
              <w:rPr>
                <w:rFonts w:ascii="Arial" w:cs="Arial" w:eastAsia="Arial" w:hAnsi="Arial"/>
                <w:sz w:val="16"/>
                <w:szCs w:val="16"/>
                <w:color w:val="auto"/>
              </w:rPr>
              <w:t>Interest</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ind w:left="120"/>
              <w:spacing w:after="0"/>
              <w:rPr>
                <w:sz w:val="20"/>
                <w:szCs w:val="20"/>
                <w:color w:val="auto"/>
              </w:rPr>
            </w:pPr>
            <w:r>
              <w:rPr>
                <w:rFonts w:ascii="Arial" w:cs="Arial" w:eastAsia="Arial" w:hAnsi="Arial"/>
                <w:sz w:val="16"/>
                <w:szCs w:val="16"/>
                <w:color w:val="auto"/>
              </w:rPr>
              <w:t>Interest</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6"/>
        </w:trPr>
        <w:tc>
          <w:tcPr>
            <w:tcW w:w="1440" w:type="dxa"/>
            <w:vAlign w:val="bottom"/>
          </w:tcPr>
          <w:p>
            <w:pPr>
              <w:ind w:left="720"/>
              <w:spacing w:after="0"/>
              <w:rPr>
                <w:sz w:val="20"/>
                <w:szCs w:val="20"/>
                <w:color w:val="auto"/>
              </w:rPr>
            </w:pPr>
            <w:r>
              <w:rPr>
                <w:rFonts w:ascii="Arial" w:cs="Arial" w:eastAsia="Arial" w:hAnsi="Arial"/>
                <w:sz w:val="16"/>
                <w:szCs w:val="16"/>
                <w:color w:val="auto"/>
              </w:rPr>
              <w:t>contracts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(244)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ind w:left="120"/>
              <w:spacing w:after="0"/>
              <w:rPr>
                <w:sz w:val="20"/>
                <w:szCs w:val="20"/>
                <w:color w:val="auto"/>
              </w:rPr>
            </w:pPr>
            <w:r>
              <w:rPr>
                <w:rFonts w:ascii="Arial" w:cs="Arial" w:eastAsia="Arial" w:hAnsi="Arial"/>
                <w:sz w:val="16"/>
                <w:szCs w:val="16"/>
                <w:color w:val="auto"/>
              </w:rPr>
              <w:t>expense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ind w:left="120"/>
              <w:spacing w:after="0"/>
              <w:rPr>
                <w:sz w:val="20"/>
                <w:szCs w:val="20"/>
                <w:color w:val="auto"/>
              </w:rPr>
            </w:pPr>
            <w:r>
              <w:rPr>
                <w:rFonts w:ascii="Arial" w:cs="Arial" w:eastAsia="Arial" w:hAnsi="Arial"/>
                <w:sz w:val="16"/>
                <w:szCs w:val="16"/>
                <w:color w:val="auto"/>
              </w:rPr>
              <w:t>expense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340"/>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third-party. At each period-end, non-functional currency monetary assets and liabilities are revalued with the change recorded to other income and expense. We enter into monthly foreign exchange forward contracts (a total of 516 contracts were entered into during the year ended December 31, 2015), which are not designated for hedge accounting, with the intent to reduce earnings volatility associated with currency exposures. The notional amounts of the contracts ranged from $118,000 to $23.4 million, offsetting our exposures from the euro, British pound, Canadian dollar, Australian dollar, Mexican peso and various other currencies.</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our foreign exchange forward derivative instruments on the Consolidated Statements of Operations for the years ended December 31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gridSpan w:val="2"/>
          </w:tcPr>
          <w:p>
            <w:pPr>
              <w:ind w:left="560"/>
              <w:spacing w:after="0"/>
              <w:rPr>
                <w:sz w:val="20"/>
                <w:szCs w:val="20"/>
                <w:color w:val="auto"/>
              </w:rPr>
            </w:pPr>
            <w:r>
              <w:rPr>
                <w:rFonts w:ascii="Arial" w:cs="Arial" w:eastAsia="Arial" w:hAnsi="Arial"/>
                <w:sz w:val="16"/>
                <w:szCs w:val="16"/>
                <w:b w:val="1"/>
                <w:bCs w:val="1"/>
                <w:color w:val="auto"/>
              </w:rPr>
              <w:t>Derivatives Not Designated as Hedging Instrument under ASC 815-20</w:t>
            </w:r>
          </w:p>
        </w:tc>
        <w:tc>
          <w:tcPr>
            <w:tcW w:w="240" w:type="dxa"/>
            <w:vAlign w:val="bottom"/>
          </w:tcPr>
          <w:p>
            <w:pPr>
              <w:spacing w:after="0"/>
              <w:rPr>
                <w:sz w:val="18"/>
                <w:szCs w:val="18"/>
                <w:color w:val="auto"/>
              </w:rPr>
            </w:pPr>
          </w:p>
        </w:tc>
        <w:tc>
          <w:tcPr>
            <w:tcW w:w="5100" w:type="dxa"/>
            <w:vAlign w:val="bottom"/>
            <w:gridSpan w:val="5"/>
          </w:tcPr>
          <w:p>
            <w:pPr>
              <w:jc w:val="center"/>
              <w:ind w:right="139"/>
              <w:spacing w:after="0"/>
              <w:rPr>
                <w:sz w:val="20"/>
                <w:szCs w:val="20"/>
                <w:color w:val="auto"/>
              </w:rPr>
            </w:pPr>
            <w:r>
              <w:rPr>
                <w:rFonts w:ascii="Arial" w:cs="Arial" w:eastAsia="Arial" w:hAnsi="Arial"/>
                <w:sz w:val="16"/>
                <w:szCs w:val="16"/>
                <w:b w:val="1"/>
                <w:bCs w:val="1"/>
                <w:color w:val="auto"/>
                <w:w w:val="91"/>
              </w:rPr>
              <w:t>Gain (Loss) Recognized on Derivatives in Other Income (Expense)</w:t>
            </w: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20"/>
                <w:szCs w:val="20"/>
                <w:color w:val="auto"/>
              </w:rPr>
            </w:pPr>
          </w:p>
        </w:tc>
        <w:tc>
          <w:tcPr>
            <w:tcW w:w="152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2014</w:t>
            </w:r>
          </w:p>
        </w:tc>
        <w:tc>
          <w:tcPr>
            <w:tcW w:w="46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(in thousands)</w:t>
            </w: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(3,145)</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(5,248)</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33"/>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offering death and disability, retirement, and special termination benefits. The defined benefit obligation is calculated annually by using the projected unit credit method. The measurement date for the pension plans was December 31, 2015.</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general funding policy for these qualified pension plans is to contribute amounts sufficient to satisfy regulatory funding standards of the respective countries for each plan. Our contributions for both funded and unfunded plans are paid from cash flows from our operations. We contributed $671,000 and $375,000 to the defined benefit pension plans for the years ended December 31, 2015 and 2014, respectively. The timing of when contributions are made can vary by plan and from year to year. For 2016, assuming that actual plan asset returns are consistent with our expected rate of return, and that interest rates remain constant, we expect to contribute approximately $403,000 to our defined benefit pension plans.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components of the changes in benefit obligations and fair value of plan assets</w:t>
      </w:r>
      <w:r>
        <w:rPr>
          <w:rFonts w:ascii="Arial" w:cs="Arial" w:eastAsia="Arial" w:hAnsi="Arial"/>
          <w:sz w:val="16"/>
          <w:szCs w:val="16"/>
          <w:color w:val="auto"/>
        </w:rPr>
        <w: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(in thousands)</w:t>
            </w:r>
          </w:p>
        </w:tc>
        <w:tc>
          <w:tcPr>
            <w:tcW w:w="660" w:type="dxa"/>
            <w:vAlign w:val="bottom"/>
          </w:tcPr>
          <w:p>
            <w:pPr>
              <w:spacing w:after="0"/>
              <w:rPr>
                <w:sz w:val="18"/>
                <w:szCs w:val="18"/>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47"/>
        </w:trPr>
        <w:tc>
          <w:tcPr>
            <w:tcW w:w="7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obligation at January 1,</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116,178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102,662</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Service cost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4,572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3,559</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cost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3,476</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Actuarial (gain) loss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(5,211)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25,838</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Benefits paid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(5,519)</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(12,190)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(13,921)</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0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(2,580)</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Benefit obligation at December 31,</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98,767</w:t>
            </w:r>
          </w:p>
        </w:tc>
        <w:tc>
          <w:tcPr>
            <w:tcW w:w="12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116,178</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plan assets at January 1,</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10,761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11,680</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Actual return on plan assets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494</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Company contributions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Benefits paid</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(1,355)</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Fair value of plan assets at December 31,</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9,662</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10,761</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pension plan benefit liability at fair value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89,105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105,417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Includes impact of curtailments driven by our restructuring activities.</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on the Consolidated Balance Sheets consist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Plan assets in 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Liabilities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Current portion of pension plan liability in wages and benefits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Long-term portion of pension plan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pension plan benefit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22383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p>
      <w:pPr>
        <w:ind w:left="680"/>
        <w:spacing w:after="0"/>
        <w:tabs>
          <w:tab w:leader="none" w:pos="248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22383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(in thousands)</w:t>
      </w:r>
    </w:p>
    <w:p>
      <w:pPr>
        <w:spacing w:after="0" w:line="360" w:lineRule="exact"/>
        <w:rPr>
          <w:sz w:val="20"/>
          <w:szCs w:val="20"/>
          <w:color w:val="auto"/>
        </w:rPr>
      </w:pPr>
    </w:p>
    <w:p>
      <w:pPr>
        <w:spacing w:after="0"/>
        <w:tabs>
          <w:tab w:leader="none" w:pos="1320" w:val="left"/>
          <w:tab w:leader="none" w:pos="1820" w:val="left"/>
          <w:tab w:leader="none" w:pos="31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359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567</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220"/>
        <w:spacing w:after="0"/>
        <w:tabs>
          <w:tab w:leader="none" w:pos="3000" w:val="left"/>
        </w:tabs>
        <w:rPr>
          <w:sz w:val="20"/>
          <w:szCs w:val="20"/>
          <w:color w:val="auto"/>
        </w:rPr>
      </w:pPr>
      <w:r>
        <w:rPr>
          <w:rFonts w:ascii="Arial" w:cs="Arial" w:eastAsia="Arial" w:hAnsi="Arial"/>
          <w:sz w:val="16"/>
          <w:szCs w:val="16"/>
          <w:color w:val="auto"/>
        </w:rPr>
        <w:t>3,493</w:t>
      </w:r>
      <w:r>
        <w:rPr>
          <w:sz w:val="20"/>
          <w:szCs w:val="20"/>
          <w:color w:val="auto"/>
        </w:rPr>
        <w:tab/>
      </w:r>
      <w:r>
        <w:rPr>
          <w:rFonts w:ascii="Arial" w:cs="Arial" w:eastAsia="Arial" w:hAnsi="Arial"/>
          <w:sz w:val="16"/>
          <w:szCs w:val="16"/>
          <w:color w:val="auto"/>
        </w:rPr>
        <w:t>4,122</w:t>
      </w:r>
    </w:p>
    <w:p>
      <w:pPr>
        <w:spacing w:after="0" w:line="86" w:lineRule="exact"/>
        <w:rPr>
          <w:sz w:val="20"/>
          <w:szCs w:val="20"/>
          <w:color w:val="auto"/>
        </w:rPr>
      </w:pPr>
    </w:p>
    <w:p>
      <w:pPr>
        <w:jc w:val="both"/>
        <w:ind w:left="1140"/>
        <w:spacing w:after="0"/>
        <w:tabs>
          <w:tab w:leader="none" w:pos="2840" w:val="left"/>
        </w:tabs>
        <w:rPr>
          <w:sz w:val="20"/>
          <w:szCs w:val="20"/>
          <w:color w:val="auto"/>
        </w:rPr>
      </w:pPr>
      <w:r>
        <w:rPr>
          <w:rFonts w:ascii="Arial" w:cs="Arial" w:eastAsia="Arial" w:hAnsi="Arial"/>
          <w:sz w:val="16"/>
          <w:szCs w:val="16"/>
          <w:color w:val="auto"/>
        </w:rPr>
        <w:t>85,971</w:t>
      </w:r>
      <w:r>
        <w:rPr>
          <w:sz w:val="20"/>
          <w:szCs w:val="20"/>
          <w:color w:val="auto"/>
        </w:rPr>
        <w:tab/>
      </w:r>
      <w:r>
        <w:rPr>
          <w:rFonts w:ascii="Arial" w:cs="Arial" w:eastAsia="Arial" w:hAnsi="Arial"/>
          <w:sz w:val="16"/>
          <w:szCs w:val="16"/>
          <w:color w:val="auto"/>
        </w:rPr>
        <w:t>101,862</w:t>
      </w:r>
    </w:p>
    <w:p>
      <w:pPr>
        <w:spacing w:after="0" w:line="356" w:lineRule="exact"/>
        <w:rPr>
          <w:sz w:val="20"/>
          <w:szCs w:val="20"/>
          <w:color w:val="auto"/>
        </w:rPr>
      </w:pPr>
    </w:p>
    <w:p>
      <w:pPr>
        <w:spacing w:after="0"/>
        <w:tabs>
          <w:tab w:leader="none" w:pos="1120" w:val="left"/>
          <w:tab w:leader="none" w:pos="1820" w:val="left"/>
          <w:tab w:leader="none" w:pos="2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89,105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105,417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52070</wp:posOffset>
            </wp:positionV>
            <wp:extent cx="22383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720"/>
            <w:col w:w="3500"/>
          </w:cols>
          <w:pgMar w:left="240" w:top="125" w:right="2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Amounts in accumulated other comprehensive income (pre-tax) that have not yet been recognized as components of net periodic benefit costs consist of:</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w w:val="98"/>
              </w:rPr>
              <w:t>At December 31,</w:t>
            </w:r>
          </w:p>
        </w:tc>
        <w:tc>
          <w:tcPr>
            <w:tcW w:w="10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actuarial loss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24,687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38,462</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prior service cost</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706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1,203</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Amount included in accumulated other comprehensive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25,393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39,665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OCI (pre-tax) are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actuarial (gain) loss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(6,894)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Settlement/curtailment loss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asset loss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net actuarial loss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(926)</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cost</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(658)</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(7,344)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actuarial gains and losses exceed ten percent of the greater of plan assets or plan liabilities, we amortize them over the employees' average future service period. The estimated net actuarial loss and prior service cost that will be amortized from accumulated other comprehensive income into net periodic benefit cost during 2016 is $1.4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2,380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3,476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3,355</w:t>
            </w: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prior service costs</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actuarial net loss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Settlements and other</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33"/>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periodic benefit cost</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8,908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significant actuarial weighted average assumptions used in determining the benefit obligations and net periodic benefit cost for our benefit plans are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5"/>
          <w:szCs w:val="15"/>
          <w:color w:val="auto"/>
        </w:rPr>
        <w:t>Actuarial assumptions used to determine benefit obligations at end of period:</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Discount rate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Expected annual rate of compensation increase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Actuarial assumptions used to determine net periodic benefit cost for the period: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Discount rate</w:t>
      </w:r>
    </w:p>
    <w:p>
      <w:pPr>
        <w:spacing w:after="0" w:line="86" w:lineRule="exact"/>
        <w:rPr>
          <w:sz w:val="20"/>
          <w:szCs w:val="20"/>
          <w:color w:val="auto"/>
        </w:rPr>
      </w:pPr>
    </w:p>
    <w:p>
      <w:pPr>
        <w:ind w:left="380" w:right="1820"/>
        <w:spacing w:after="0" w:line="470" w:lineRule="auto"/>
        <w:rPr>
          <w:sz w:val="20"/>
          <w:szCs w:val="20"/>
          <w:color w:val="auto"/>
        </w:rPr>
      </w:pPr>
      <w:r>
        <w:rPr>
          <w:rFonts w:ascii="Arial" w:cs="Arial" w:eastAsia="Arial" w:hAnsi="Arial"/>
          <w:sz w:val="14"/>
          <w:szCs w:val="14"/>
          <w:color w:val="auto"/>
        </w:rPr>
        <w:t>Expected rate of return on plan assets Expected annual rate of compensation increase</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At and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wp:posOffset>
            </wp:positionV>
            <wp:extent cx="34563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2013</w:t>
            </w:r>
          </w:p>
        </w:tc>
      </w:tr>
      <w:tr>
        <w:trPr>
          <w:trHeight w:val="33"/>
        </w:trPr>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501"/>
        </w:trPr>
        <w:tc>
          <w:tcPr>
            <w:tcW w:w="174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270"/>
        </w:trPr>
        <w:tc>
          <w:tcPr>
            <w:tcW w:w="174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540"/>
        </w:trPr>
        <w:tc>
          <w:tcPr>
            <w:tcW w:w="174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3.36%</w:t>
            </w:r>
          </w:p>
        </w:tc>
      </w:tr>
      <w:tr>
        <w:trPr>
          <w:trHeight w:val="270"/>
        </w:trPr>
        <w:tc>
          <w:tcPr>
            <w:tcW w:w="174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70"/>
        </w:trPr>
        <w:tc>
          <w:tcPr>
            <w:tcW w:w="174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-1007745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-664210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-321310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5260" w:space="720"/>
            <w:col w:w="5440"/>
          </w:cols>
          <w:pgMar w:left="240" w:top="125" w:right="239" w:bottom="1440" w:gutter="0" w:footer="0" w:header="0"/>
          <w:type w:val="continuous"/>
        </w:sectPr>
      </w:pPr>
    </w:p>
    <w:p>
      <w:pPr>
        <w:jc w:val="both"/>
        <w:spacing w:after="0" w:line="255" w:lineRule="auto"/>
        <w:rPr>
          <w:sz w:val="20"/>
          <w:szCs w:val="20"/>
          <w:color w:val="auto"/>
        </w:rPr>
      </w:pPr>
      <w:r>
        <w:rPr>
          <w:rFonts w:ascii="Arial" w:cs="Arial" w:eastAsia="Arial" w:hAnsi="Arial"/>
          <w:sz w:val="18"/>
          <w:szCs w:val="18"/>
          <w:color w:val="auto"/>
        </w:rPr>
        <w:t>We determine a discount rate for our plans based on the estimated duration of each plan’s liabilities. For our euro denominated defined benefit pension plans, which represent 94% of our benefit obligation, we use two discount rates, with consideration of the duration of the plans, using a hypothetical yield curve developed from euro-denominated AA-rated corporate bond issues, partially weighted for market value, with minimum amounts outstanding of €500 million for bonds with less than 10 years to maturity and €50 million for bonds with 10 or more years to maturity, and excluding the highest and lowest yielding 10% of bonds within each maturity group. The discount rates used, depending on the duration of the plans, were 1.50% and 2.25%. The weighted average discount rate used to measure our benefit obligations, increased by 23 basis points from December 31, 2014 to December 31, 2015, driving a $5.2 million actuarial gain during 2015, which is recognized in OCI.</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expected rate of return on plan assets is derived from a study of actual historic returns achieved and anticipated future long-term performance of plan assets, specific to plan investment asset category. While the study primarily gives consideration to recent insurers’ performance and historical returns, the assumption represents a long-term prospective return.</w:t>
      </w:r>
    </w:p>
    <w:p>
      <w:pPr>
        <w:sectPr>
          <w:pgSz w:w="11900" w:h="16838" w:orient="portrait"/>
          <w:cols w:equalWidth="0" w:num="1">
            <w:col w:w="11420"/>
          </w:cols>
          <w:pgMar w:left="240" w:top="125" w:right="239" w:bottom="144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accumulated benefit obligation for our defined benefit pension plans was $89.0 million and $104.1 million at December 31,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one plan in which the fair value of plan assets exceeds the plan's accumulated benefit obligation.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total obligation and fair value of plan assets for plans with accumulated benefit obligations exceeding the fair value of plan assets are as follows: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At December 31,</w:t>
            </w:r>
          </w:p>
        </w:tc>
        <w:tc>
          <w:tcPr>
            <w:tcW w:w="10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0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Projected benefit obligation</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95,814</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114,150</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Accumulated benefit obligation</w:t>
            </w:r>
          </w:p>
        </w:tc>
        <w:tc>
          <w:tcPr>
            <w:tcW w:w="10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86,534</w:t>
            </w:r>
          </w:p>
        </w:tc>
        <w:tc>
          <w:tcPr>
            <w:tcW w:w="7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102,146</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plan assets</w:t>
            </w:r>
          </w:p>
        </w:tc>
        <w:tc>
          <w:tcPr>
            <w:tcW w:w="10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6,502</w:t>
            </w:r>
          </w:p>
        </w:tc>
        <w:tc>
          <w:tcPr>
            <w:tcW w:w="7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8,166</w:t>
            </w:r>
          </w:p>
        </w:tc>
      </w:tr>
      <w:tr>
        <w:trPr>
          <w:trHeight w:val="33"/>
        </w:trPr>
        <w:tc>
          <w:tcPr>
            <w:tcW w:w="79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plan investments by asset category are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Quoted Prices in Active</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Markets for Identical</w:t>
            </w:r>
          </w:p>
        </w:tc>
        <w:tc>
          <w:tcPr>
            <w:tcW w:w="100" w:type="dxa"/>
            <w:vAlign w:val="bottom"/>
          </w:tcPr>
          <w:p>
            <w:pPr>
              <w:spacing w:after="0"/>
              <w:rPr>
                <w:sz w:val="17"/>
                <w:szCs w:val="17"/>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9"/>
              </w:rPr>
              <w:t>Assets</w:t>
            </w:r>
          </w:p>
        </w:tc>
        <w:tc>
          <w:tcPr>
            <w:tcW w:w="100" w:type="dxa"/>
            <w:vAlign w:val="bottom"/>
          </w:tcPr>
          <w:p>
            <w:pPr>
              <w:spacing w:after="0"/>
              <w:rPr>
                <w:sz w:val="17"/>
                <w:szCs w:val="17"/>
                <w:color w:val="auto"/>
              </w:rPr>
            </w:pPr>
          </w:p>
        </w:tc>
        <w:tc>
          <w:tcPr>
            <w:tcW w:w="158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Unobservable Inputs</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(Level 1)</w:t>
            </w:r>
          </w:p>
        </w:tc>
        <w:tc>
          <w:tcPr>
            <w:tcW w:w="100" w:type="dxa"/>
            <w:vAlign w:val="bottom"/>
          </w:tcPr>
          <w:p>
            <w:pPr>
              <w:spacing w:after="0"/>
              <w:rPr>
                <w:sz w:val="18"/>
                <w:szCs w:val="18"/>
                <w:color w:val="auto"/>
              </w:rPr>
            </w:pPr>
          </w:p>
        </w:tc>
        <w:tc>
          <w:tcPr>
            <w:tcW w:w="158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2015</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Insurance funds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7,089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7,089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securities</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1,778</w:t>
            </w:r>
          </w:p>
        </w:tc>
        <w:tc>
          <w:tcPr>
            <w:tcW w:w="0" w:type="dxa"/>
            <w:vAlign w:val="bottom"/>
          </w:tcPr>
          <w:p>
            <w:pPr>
              <w:spacing w:after="0"/>
              <w:rPr>
                <w:sz w:val="1"/>
                <w:szCs w:val="1"/>
                <w:color w:val="auto"/>
              </w:rPr>
            </w:pPr>
          </w:p>
        </w:tc>
      </w:tr>
      <w:tr>
        <w:trPr>
          <w:trHeight w:val="217"/>
        </w:trPr>
        <w:tc>
          <w:tcPr>
            <w:tcW w:w="6060" w:type="dxa"/>
            <w:vAlign w:val="bottom"/>
          </w:tcPr>
          <w:p>
            <w:pPr>
              <w:ind w:left="380"/>
              <w:spacing w:after="0"/>
              <w:rPr>
                <w:sz w:val="20"/>
                <w:szCs w:val="20"/>
                <w:color w:val="auto"/>
              </w:rPr>
            </w:pPr>
            <w:r>
              <w:rPr>
                <w:rFonts w:ascii="Arial" w:cs="Arial" w:eastAsia="Arial" w:hAnsi="Arial"/>
                <w:sz w:val="16"/>
                <w:szCs w:val="16"/>
                <w:color w:val="auto"/>
              </w:rPr>
              <w:t>Total fair value of plan assets</w:t>
            </w: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9,662</w:t>
            </w:r>
          </w:p>
        </w:tc>
        <w:tc>
          <w:tcPr>
            <w:tcW w:w="12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8,867</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0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2014</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Insurance funds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7,440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7,440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securities</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Total fair value of plan assets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10,761</w:t>
            </w:r>
          </w:p>
        </w:tc>
        <w:tc>
          <w:tcPr>
            <w:tcW w:w="1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10,035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reconciliation of Level 3 assets held during the years ended December 31, 2015, and 2014.</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Net Purchases,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Issuances,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Balance at January</w:t>
            </w:r>
          </w:p>
        </w:tc>
        <w:tc>
          <w:tcPr>
            <w:tcW w:w="12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Realized and</w:t>
            </w: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Settlements, and</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Net Transfers Into</w:t>
            </w: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Effect of Foreign</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Balance at</w:t>
            </w:r>
          </w:p>
        </w:tc>
      </w:tr>
      <w:tr>
        <w:trPr>
          <w:trHeight w:val="210"/>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1, 2015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 Gains</w:t>
            </w: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420" w:type="dxa"/>
            <w:vAlign w:val="bottom"/>
          </w:tcPr>
          <w:p>
            <w:pPr>
              <w:spacing w:after="0"/>
              <w:rPr>
                <w:sz w:val="18"/>
                <w:szCs w:val="18"/>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Level 3</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Currency</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1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 funds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7,089</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Other securities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1,778</w:t>
            </w:r>
          </w:p>
        </w:tc>
      </w:tr>
      <w:tr>
        <w:trPr>
          <w:trHeight w:val="33"/>
        </w:trPr>
        <w:tc>
          <w:tcPr>
            <w:tcW w:w="1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8,867</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554"/>
        </w:trPr>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Net Purchases,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Issuances,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Balance at January</w:t>
            </w:r>
          </w:p>
        </w:tc>
        <w:tc>
          <w:tcPr>
            <w:tcW w:w="12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Realized and</w:t>
            </w: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Settlements, and</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Net Transfers Into</w:t>
            </w: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Effect of Foreign</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Balance at</w:t>
            </w:r>
          </w:p>
        </w:tc>
      </w:tr>
      <w:tr>
        <w:trPr>
          <w:trHeight w:val="210"/>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1, 2014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 Gains</w:t>
            </w: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420" w:type="dxa"/>
            <w:vAlign w:val="bottom"/>
          </w:tcPr>
          <w:p>
            <w:pPr>
              <w:spacing w:after="0"/>
              <w:rPr>
                <w:sz w:val="18"/>
                <w:szCs w:val="18"/>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Level 3</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Currency</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 2014</w:t>
            </w:r>
          </w:p>
        </w:tc>
      </w:tr>
      <w:tr>
        <w:trPr>
          <w:trHeight w:val="33"/>
        </w:trPr>
        <w:tc>
          <w:tcPr>
            <w:tcW w:w="1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 funds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7,440</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Other securities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2,595</w:t>
            </w:r>
          </w:p>
        </w:tc>
      </w:tr>
      <w:tr>
        <w:trPr>
          <w:trHeight w:val="33"/>
        </w:trPr>
        <w:tc>
          <w:tcPr>
            <w:tcW w:w="1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10,035</w:t>
            </w:r>
          </w:p>
        </w:tc>
      </w:tr>
      <w:tr>
        <w:trPr>
          <w:trHeight w:val="20"/>
        </w:trPr>
        <w:tc>
          <w:tcPr>
            <w:tcW w:w="1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the plan assets are not significant to our total company assets, no further breakdown is provided.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Annual benefit payments, including amounts to be paid from our assets for unfunded plans, and reflecting expected future service, as appropriate, are expected to be paid as follows:</w:t>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9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9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Annual Benefit</w:t>
            </w:r>
          </w:p>
        </w:tc>
      </w:tr>
      <w:tr>
        <w:trPr>
          <w:trHeight w:val="210"/>
        </w:trPr>
        <w:tc>
          <w:tcPr>
            <w:tcW w:w="99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160" w:type="dxa"/>
            <w:vAlign w:val="bottom"/>
          </w:tcPr>
          <w:p>
            <w:pPr>
              <w:spacing w:after="0"/>
              <w:rPr>
                <w:sz w:val="18"/>
                <w:szCs w:val="18"/>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Payments</w:t>
            </w:r>
          </w:p>
        </w:tc>
      </w:tr>
      <w:tr>
        <w:trPr>
          <w:trHeight w:val="33"/>
        </w:trPr>
        <w:tc>
          <w:tcPr>
            <w:tcW w:w="9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9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4,505</w:t>
            </w:r>
          </w:p>
        </w:tc>
      </w:tr>
      <w:tr>
        <w:trPr>
          <w:trHeight w:val="237"/>
        </w:trPr>
        <w:tc>
          <w:tcPr>
            <w:tcW w:w="9800" w:type="dxa"/>
            <w:vAlign w:val="bottom"/>
          </w:tcPr>
          <w:p>
            <w:pPr>
              <w:ind w:left="2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3,257</w:t>
            </w:r>
          </w:p>
        </w:tc>
      </w:tr>
      <w:tr>
        <w:trPr>
          <w:trHeight w:val="33"/>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3,432</w:t>
            </w:r>
          </w:p>
        </w:tc>
      </w:tr>
      <w:tr>
        <w:trPr>
          <w:trHeight w:val="237"/>
        </w:trPr>
        <w:tc>
          <w:tcPr>
            <w:tcW w:w="9800" w:type="dxa"/>
            <w:vAlign w:val="bottom"/>
          </w:tcPr>
          <w:p>
            <w:pPr>
              <w:ind w:left="2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3,491</w:t>
            </w:r>
          </w:p>
        </w:tc>
      </w:tr>
      <w:tr>
        <w:trPr>
          <w:trHeight w:val="33"/>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4,348</w:t>
            </w:r>
          </w:p>
        </w:tc>
      </w:tr>
      <w:tr>
        <w:trPr>
          <w:trHeight w:val="237"/>
        </w:trPr>
        <w:tc>
          <w:tcPr>
            <w:tcW w:w="9800" w:type="dxa"/>
            <w:vAlign w:val="bottom"/>
          </w:tcPr>
          <w:p>
            <w:pPr>
              <w:ind w:left="20"/>
              <w:spacing w:after="0"/>
              <w:rPr>
                <w:sz w:val="20"/>
                <w:szCs w:val="20"/>
                <w:color w:val="auto"/>
              </w:rPr>
            </w:pPr>
            <w:r>
              <w:rPr>
                <w:rFonts w:ascii="Arial" w:cs="Arial" w:eastAsia="Arial" w:hAnsi="Arial"/>
                <w:sz w:val="16"/>
                <w:szCs w:val="16"/>
                <w:color w:val="auto"/>
              </w:rPr>
              <w:t>2021-2025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26,481</w:t>
            </w:r>
          </w:p>
        </w:tc>
      </w:tr>
    </w:tbl>
    <w:p>
      <w:pPr>
        <w:spacing w:after="0" w:line="2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 stock-based compensation expense for awards of stock options, stock sold pursuant to our ESPP, and the issuance of restricted stock units and unrestricted stock awards. We expense stock-based compensation primarily using the straight-line method over the requisite service period. For the years ended December 31, stock-based compensation expense and the related tax benefit were as follows</w:t>
      </w:r>
      <w:r>
        <w:rPr>
          <w:rFonts w:ascii="Arial" w:cs="Arial" w:eastAsia="Arial" w:hAnsi="Arial"/>
          <w:sz w:val="16"/>
          <w:szCs w:val="16"/>
          <w:color w:val="auto"/>
        </w:rPr>
        <w:t>:</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10,735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14,591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15,475</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ESPP</w:t>
            </w:r>
          </w:p>
        </w:tc>
        <w:tc>
          <w:tcPr>
            <w:tcW w:w="1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490</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stock-based compensation</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14,089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18,850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2"/>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Related tax benefit</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common stock upon the exercise of stock options or when vesting conditions on restricted stock units are fully satisfied.</w:t>
      </w:r>
    </w:p>
    <w:p>
      <w:pPr>
        <w:sectPr>
          <w:pgSz w:w="11900" w:h="16838" w:orient="portrait"/>
          <w:cols w:equalWidth="0" w:num="1">
            <w:col w:w="11420"/>
          </w:cols>
          <w:pgMar w:left="240" w:top="125"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stock splits, dividends, and other similar events, 7,473,956 shares of common stock are reserved and authorized for issuance under our 2010 Stock Incentive Plan (Stock Incentive Plan). Awards consist of stock options, restricted stock units, and unrestricted stock awards. At December 31, 2015, 2,600,999 shares were available for grant under the Stock Incentive Plan. The Stock Incentive Plan shares are subject to a fungible share provision such that, with respect to grants made after December 31, 2009, the authorized share reserve is reduced by (i) one share for every one share subject to a stock option or share appreciation right granted under the Plan and (ii) 1.7 shares for every one share of common stock that was subject to an award other than an option or stock appreciation right.</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Options to purchase our common stock are granted to certain employees, senior management, and members of our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option-pricing model with the following weighted average assumptions:</w:t>
      </w:r>
    </w:p>
    <w:p>
      <w:pPr>
        <w:spacing w:after="0" w:line="117"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37465</wp:posOffset>
            </wp:positionV>
            <wp:extent cx="34563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gridSpan w:val="2"/>
          </w:tcPr>
          <w:p>
            <w:pPr>
              <w:ind w:left="6680"/>
              <w:spacing w:after="0"/>
              <w:rPr>
                <w:sz w:val="20"/>
                <w:szCs w:val="20"/>
                <w:color w:val="auto"/>
              </w:rPr>
            </w:pPr>
            <w:r>
              <w:rPr>
                <w:rFonts w:ascii="Arial" w:cs="Arial" w:eastAsia="Arial" w:hAnsi="Arial"/>
                <w:sz w:val="16"/>
                <w:szCs w:val="16"/>
                <w:b w:val="1"/>
                <w:bCs w:val="1"/>
                <w:color w:val="auto"/>
              </w:rPr>
              <w:t>2015</w:t>
            </w:r>
          </w:p>
        </w:tc>
        <w:tc>
          <w:tcPr>
            <w:tcW w:w="18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2013</w:t>
            </w:r>
          </w:p>
        </w:tc>
      </w:tr>
      <w:tr>
        <w:trPr>
          <w:trHeight w:val="33"/>
        </w:trPr>
        <w:tc>
          <w:tcPr>
            <w:tcW w:w="59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1860" w:type="dxa"/>
            <w:vAlign w:val="bottom"/>
            <w:tcBorders>
              <w:bottom w:val="single" w:sz="8" w:color="CCEEFF"/>
            </w:tcBorders>
            <w:gridSpan w:val="3"/>
            <w:shd w:val="clear" w:color="auto" w:fill="CCEEFF"/>
          </w:tcPr>
          <w:p>
            <w:pPr>
              <w:jc w:val="right"/>
              <w:ind w:right="14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58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33"/>
        </w:trPr>
        <w:tc>
          <w:tcPr>
            <w:tcW w:w="5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Expected term (years)</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5.5</w:t>
            </w:r>
          </w:p>
        </w:tc>
      </w:tr>
    </w:tbl>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the historical volatility of our common stock and the implied volatility of our traded options for the related expected term. We believe this combined approach is reflective of current and historical market conditions and is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estimated date the award will be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years ended December 31 is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Average Exercise</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172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8"/>
              </w:rPr>
              <w:t>Aggregate</w:t>
            </w:r>
          </w:p>
        </w:tc>
        <w:tc>
          <w:tcPr>
            <w:tcW w:w="140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Average Grant</w:t>
            </w:r>
          </w:p>
        </w:tc>
      </w:tr>
      <w:tr>
        <w:trPr>
          <w:trHeight w:val="243"/>
        </w:trPr>
        <w:tc>
          <w:tcPr>
            <w:tcW w:w="308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Price per Share</w:t>
            </w: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3"/>
              </w:rPr>
              <w:t>Date Fair Value</w:t>
            </w:r>
          </w:p>
        </w:tc>
      </w:tr>
      <w:tr>
        <w:trPr>
          <w:trHeight w:val="217"/>
        </w:trPr>
        <w:tc>
          <w:tcPr>
            <w:tcW w:w="308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(years)</w:t>
            </w:r>
          </w:p>
        </w:tc>
        <w:tc>
          <w:tcPr>
            <w:tcW w:w="160" w:type="dxa"/>
            <w:vAlign w:val="bottom"/>
          </w:tcPr>
          <w:p>
            <w:pPr>
              <w:spacing w:after="0"/>
              <w:rPr>
                <w:sz w:val="18"/>
                <w:szCs w:val="18"/>
                <w:color w:val="auto"/>
              </w:rPr>
            </w:pPr>
          </w:p>
        </w:tc>
        <w:tc>
          <w:tcPr>
            <w:tcW w:w="172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8"/>
              </w:rPr>
              <w:t>(in thousands)</w:t>
            </w:r>
          </w:p>
        </w:tc>
        <w:tc>
          <w:tcPr>
            <w:tcW w:w="1400" w:type="dxa"/>
            <w:vAlign w:val="bottom"/>
          </w:tcPr>
          <w:p>
            <w:pPr>
              <w:spacing w:after="0"/>
              <w:rPr>
                <w:sz w:val="18"/>
                <w:szCs w:val="18"/>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2013</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54.06</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31"/>
        </w:trPr>
        <w:tc>
          <w:tcPr>
            <w:tcW w:w="308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42.76</w:t>
            </w:r>
          </w:p>
        </w:tc>
        <w:tc>
          <w:tcPr>
            <w:tcW w:w="1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15.44</w:t>
            </w: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080" w:type="dxa"/>
            <w:vAlign w:val="bottom"/>
          </w:tcPr>
          <w:p>
            <w:pPr>
              <w:ind w:left="36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49.04</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December 31, 2013</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54.79</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4"/>
        </w:trPr>
        <w:tc>
          <w:tcPr>
            <w:tcW w:w="308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w:t>
            </w: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28.03</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68.97</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December 31,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4"/>
        </w:trPr>
        <w:tc>
          <w:tcPr>
            <w:tcW w:w="308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12.09</w:t>
            </w: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36.05</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52.17</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December 31, 2015</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48.31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0"/>
        </w:trPr>
        <w:tc>
          <w:tcPr>
            <w:tcW w:w="3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30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December 31, 2015</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55.15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0"/>
        </w:trPr>
        <w:tc>
          <w:tcPr>
            <w:tcW w:w="3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30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to vest, December 31, 2015</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36.01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0"/>
        </w:trPr>
        <w:tc>
          <w:tcPr>
            <w:tcW w:w="3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340" w:hanging="332"/>
        <w:spacing w:after="0" w:line="245"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Itron’s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2015, total unrecognized stock-based compensation expense related to nonvested stock options was approximately $3.4 million, which is expected to be recognized over a weighted average period of approximately 2.2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employees, senior management, and members of our Board of Directors receive restricted stock units as a component of their total compensation. The fair value of a restricted stock unit is the market close price of our common stock on the date of grant. Restricted stock units generally vest over a three year period. Compensation expense, net of forfeitures, is recognized over the vesting period.</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2013, the performance-based restricted stock units to be issued under the Performance Award Agreement are determined based on (1) our achievement of specified non-GAAP EPS targets, as established at the beginning of each year for each of the calendar years contained in the performance periods (2-year and 3-year awards) (the performance condition) and (2) our total shareholder return (TSR) relative to the TSR attained by companies that are included in the Russell 3000 Index during the performance periods (the market condition). Compensation expense, net of forfeitures, is recognized on a straight-line basis, and the units vest upon achievement of the performance condition, provided participants are employed by Itron at the end of the respective performance periods.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Depending on the level of achievement of the performance condition, the actual number of shares to be earned ranges between 0% and 160% of the awards originally granted. At the end of the 2-year and 3-year performance periods, if the performance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conditions are achieved at or above threshold, the number of shares earned is further adjusted by a TSR multiplier payout percentage, which ranges between 75% and 125%, based on the market condition. Therefore, based on the attainment of the performance and market conditions, the actual number of shares that vest may range from 0% to 200% of the awards originally granted. For the 2-year awards granted under the 2013 performance award, 14,433 restricted stock units became eligible for distribution at December 31, 2014. For the 3-year awards granted under the 2013 performance award, 15,648 restricted stock units became eligible for distribution at December 31, 2015.</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2014 and 2015, the performance-based restricted stock units to be issued are determined based on the same performance and market conditions as the 2013 awards, but the performance period is 3-years. No awards became eligible for distribution since the performance periods had not concluded as of December 31, 2015.</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presence of the TSR multiplier market condition, we utilize a Monte Carlo valuation model to determine the fair value of the awards at the grant date. This pricing model uses multiple simulations to evaluate the probability of our achievement of various stock price levels to determine our expected TSR performance ranking. The weighted-average assumptions used to estimate the fair value of performance-based restricted stock units granted and the resulting weighted average fair-value are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ind w:left="100"/>
              <w:spacing w:after="0"/>
              <w:rPr>
                <w:sz w:val="20"/>
                <w:szCs w:val="20"/>
                <w:color w:val="auto"/>
              </w:rPr>
            </w:pPr>
            <w:r>
              <w:rPr>
                <w:rFonts w:ascii="Arial" w:cs="Arial" w:eastAsia="Arial" w:hAnsi="Arial"/>
                <w:sz w:val="16"/>
                <w:szCs w:val="16"/>
                <w:b w:val="1"/>
                <w:bCs w:val="1"/>
                <w:color w:val="auto"/>
                <w:w w:val="93"/>
              </w:rPr>
              <w:t>Year Ended December 31,</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2013</w:t>
            </w:r>
          </w:p>
        </w:tc>
      </w:tr>
      <w:tr>
        <w:trPr>
          <w:trHeight w:val="33"/>
        </w:trPr>
        <w:tc>
          <w:tcPr>
            <w:tcW w:w="59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1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Expected volatility</w:t>
            </w: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33"/>
        </w:trPr>
        <w:tc>
          <w:tcPr>
            <w:tcW w:w="5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Expected term (years)</w:t>
            </w:r>
          </w:p>
        </w:tc>
        <w:tc>
          <w:tcPr>
            <w:tcW w:w="112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2.5</w:t>
            </w:r>
          </w:p>
        </w:tc>
      </w:tr>
      <w:tr>
        <w:trPr>
          <w:trHeight w:val="33"/>
        </w:trPr>
        <w:tc>
          <w:tcPr>
            <w:tcW w:w="5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9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Weighted-average fair value</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33.48</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35.15</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45.03</w:t>
            </w:r>
          </w:p>
        </w:tc>
      </w:tr>
    </w:tbl>
    <w:p>
      <w:pPr>
        <w:spacing w:after="0" w:line="2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term of an award based on the period of time between the date of the award and the date the award is expected to vest. The expected term assumption is based upon the plan's performance period as of the date of the award. We have not paid dividends in the past and do not plan to pay dividends in the foreseeable future.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for the years ended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1"/>
              </w:rPr>
              <w:t>Weighted</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280" w:type="dxa"/>
            <w:vAlign w:val="bottom"/>
          </w:tcPr>
          <w:p>
            <w:pPr>
              <w:jc w:val="center"/>
              <w:ind w:left="359"/>
              <w:spacing w:after="0"/>
              <w:rPr>
                <w:sz w:val="20"/>
                <w:szCs w:val="20"/>
                <w:color w:val="auto"/>
              </w:rPr>
            </w:pPr>
            <w:r>
              <w:rPr>
                <w:rFonts w:ascii="Arial" w:cs="Arial" w:eastAsia="Arial" w:hAnsi="Arial"/>
                <w:sz w:val="16"/>
                <w:szCs w:val="16"/>
                <w:b w:val="1"/>
                <w:bCs w:val="1"/>
                <w:color w:val="auto"/>
                <w:w w:val="94"/>
              </w:rPr>
              <w:t>Number of</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2"/>
              </w:rPr>
              <w:t>Average Grant</w:t>
            </w: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Restricted Stock Units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3"/>
              </w:rPr>
              <w:t>Date Fair Value</w:t>
            </w: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7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2013</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40" w:type="dxa"/>
            <w:vAlign w:val="bottom"/>
            <w:gridSpan w:val="2"/>
          </w:tcPr>
          <w:p>
            <w:pPr>
              <w:ind w:left="380"/>
              <w:spacing w:after="0"/>
              <w:rPr>
                <w:sz w:val="20"/>
                <w:szCs w:val="20"/>
                <w:color w:val="auto"/>
              </w:rPr>
            </w:pPr>
            <w:r>
              <w:rPr>
                <w:rFonts w:ascii="Arial" w:cs="Arial" w:eastAsia="Arial" w:hAnsi="Arial"/>
                <w:sz w:val="16"/>
                <w:szCs w:val="16"/>
                <w:color w:val="auto"/>
              </w:rPr>
              <w:t>Granted</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42.51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17,983</w:t>
            </w:r>
          </w:p>
        </w:tc>
        <w:tc>
          <w:tcPr>
            <w:tcW w:w="0" w:type="dxa"/>
            <w:vAlign w:val="bottom"/>
          </w:tcPr>
          <w:p>
            <w:pPr>
              <w:spacing w:after="0"/>
              <w:rPr>
                <w:sz w:val="1"/>
                <w:szCs w:val="1"/>
                <w:color w:val="auto"/>
              </w:rPr>
            </w:pPr>
          </w:p>
        </w:tc>
      </w:tr>
      <w:tr>
        <w:trPr>
          <w:trHeight w:val="237"/>
        </w:trPr>
        <w:tc>
          <w:tcPr>
            <w:tcW w:w="734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4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December 31, 2013</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35.74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340" w:type="dxa"/>
            <w:vAlign w:val="bottom"/>
            <w:gridSpan w:val="2"/>
          </w:tcPr>
          <w:p>
            <w:pPr>
              <w:ind w:left="380"/>
              <w:spacing w:after="0"/>
              <w:rPr>
                <w:sz w:val="20"/>
                <w:szCs w:val="20"/>
                <w:color w:val="auto"/>
              </w:rPr>
            </w:pPr>
            <w:r>
              <w:rPr>
                <w:rFonts w:ascii="Arial" w:cs="Arial" w:eastAsia="Arial" w:hAnsi="Arial"/>
                <w:sz w:val="16"/>
                <w:szCs w:val="16"/>
                <w:color w:val="auto"/>
              </w:rPr>
              <w:t>Released</w:t>
            </w:r>
          </w:p>
        </w:tc>
        <w:tc>
          <w:tcPr>
            <w:tcW w:w="440" w:type="dxa"/>
            <w:vAlign w:val="bottom"/>
          </w:tcPr>
          <w:p>
            <w:pPr>
              <w:jc w:val="right"/>
              <w:spacing w:after="0"/>
              <w:rPr>
                <w:sz w:val="20"/>
                <w:szCs w:val="20"/>
                <w:color w:val="auto"/>
              </w:rPr>
            </w:pPr>
            <w:r>
              <w:rPr>
                <w:rFonts w:ascii="Arial" w:cs="Arial" w:eastAsia="Arial" w:hAnsi="Arial"/>
                <w:sz w:val="16"/>
                <w:szCs w:val="16"/>
                <w:color w:val="auto"/>
                <w:w w:val="96"/>
              </w:rPr>
              <w:t>(291)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14,402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2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Outstanding, December 31, 2014</w:t>
            </w:r>
          </w:p>
        </w:tc>
        <w:tc>
          <w:tcPr>
            <w:tcW w:w="1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340" w:type="dxa"/>
            <w:vAlign w:val="bottom"/>
            <w:gridSpan w:val="2"/>
            <w:vMerge w:val="restart"/>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(3)</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434</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35.09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60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12,204</w:t>
            </w:r>
          </w:p>
        </w:tc>
        <w:tc>
          <w:tcPr>
            <w:tcW w:w="0" w:type="dxa"/>
            <w:vAlign w:val="bottom"/>
          </w:tcPr>
          <w:p>
            <w:pPr>
              <w:spacing w:after="0"/>
              <w:rPr>
                <w:sz w:val="1"/>
                <w:szCs w:val="1"/>
                <w:color w:val="auto"/>
              </w:rPr>
            </w:pPr>
          </w:p>
        </w:tc>
      </w:tr>
      <w:tr>
        <w:trPr>
          <w:trHeight w:val="224"/>
        </w:trPr>
        <w:tc>
          <w:tcPr>
            <w:tcW w:w="734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44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6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7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December 31, 2015</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 but not released, December 31, 2015</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December 31, 2015</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21,860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17"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171"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Restricted stock units include 14,433 shares for the 2-year award under the 2013 Performance Award Agreement, which are eligible for distribution at December 31, 2014.</w:t>
      </w:r>
    </w:p>
    <w:p>
      <w:pPr>
        <w:spacing w:after="0" w:line="198"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Restricted stock units include 15,648 shares for the 3-year award under the 2014 Performance Award Agreement, which are eligible for distribution at December 31, 2015.</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2015, unrecognized compensation expense on restricted stock units was $20.6 million, which is expected to be recognized over a weighted average period of approximately 2.0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grant unrestricted stock awards to members of our Board of Directors as part of their compensation. Awards are fully vested and expensed when granted.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unrestricted stock awards is the market close price of our common stock on the date of grant.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 for the years ended December 31:</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18"/>
                <w:szCs w:val="18"/>
                <w:color w:val="auto"/>
              </w:rPr>
            </w:pPr>
          </w:p>
        </w:tc>
        <w:tc>
          <w:tcPr>
            <w:tcW w:w="12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8"/>
              </w:rPr>
              <w:t>(in thousands, except per share data)</w:t>
            </w:r>
          </w:p>
        </w:tc>
        <w:tc>
          <w:tcPr>
            <w:tcW w:w="12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unrestricted stock granted</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70"/>
        </w:trPr>
        <w:tc>
          <w:tcPr>
            <w:tcW w:w="6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 per share</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35.01</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39.06</w:t>
            </w:r>
          </w:p>
        </w:tc>
        <w:tc>
          <w:tcPr>
            <w:tcW w:w="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44.12</w:t>
            </w:r>
          </w:p>
        </w:tc>
      </w:tr>
      <w:tr>
        <w:trPr>
          <w:trHeight w:val="33"/>
        </w:trPr>
        <w:tc>
          <w:tcPr>
            <w:tcW w:w="60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terms of the ESPP, employees can deduct up to 10% of their regular cash compensation to purchase our common stock at a discount from the fair market value of the stock at the end of each fiscal quarter, subject to other limitations under the plan. The sale of the stock to the employees occurs at the beginning of the subsequent quarter. Effective October 1, 2013, we changed the terms of the ESPP to reduce the discount from 15% to 5% from the fair market value of the stock at the end of each fiscal quarter. As a result of this change, the ESPP will no longer be considered compensatory, and no compensation expense will be recognized for future sales of our common stock to employees. Prior to October 1, 2013, the plan was considered compensatory.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 for the years ended December 31:</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18"/>
                <w:szCs w:val="18"/>
                <w:color w:val="auto"/>
              </w:rPr>
            </w:pPr>
          </w:p>
        </w:tc>
        <w:tc>
          <w:tcPr>
            <w:tcW w:w="1900" w:type="dxa"/>
            <w:vAlign w:val="bottom"/>
          </w:tcPr>
          <w:p>
            <w:pPr>
              <w:jc w:val="right"/>
              <w:ind w:right="1219"/>
              <w:spacing w:after="0"/>
              <w:rPr>
                <w:sz w:val="20"/>
                <w:szCs w:val="20"/>
                <w:color w:val="auto"/>
              </w:rPr>
            </w:pPr>
            <w:r>
              <w:rPr>
                <w:rFonts w:ascii="Arial" w:cs="Arial" w:eastAsia="Arial" w:hAnsi="Arial"/>
                <w:sz w:val="16"/>
                <w:szCs w:val="16"/>
                <w:b w:val="1"/>
                <w:bCs w:val="1"/>
                <w:color w:val="auto"/>
              </w:rPr>
              <w:t>2014</w:t>
            </w:r>
          </w:p>
        </w:tc>
        <w:tc>
          <w:tcPr>
            <w:tcW w:w="12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gridSpan w:val="3"/>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gridSpan w:val="3"/>
          </w:tcPr>
          <w:p>
            <w:pPr>
              <w:jc w:val="center"/>
              <w:ind w:left="739"/>
              <w:spacing w:after="0"/>
              <w:rPr>
                <w:sz w:val="20"/>
                <w:szCs w:val="20"/>
                <w:color w:val="auto"/>
              </w:rPr>
            </w:pPr>
            <w:r>
              <w:rPr>
                <w:rFonts w:ascii="Arial" w:cs="Arial" w:eastAsia="Arial" w:hAnsi="Arial"/>
                <w:sz w:val="16"/>
                <w:szCs w:val="16"/>
                <w:b w:val="1"/>
                <w:bCs w:val="1"/>
                <w:color w:val="auto"/>
                <w:w w:val="89"/>
              </w:rPr>
              <w:t>(in thousands, except per share data)</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3"/>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Shares of stock sold to employees</w:t>
            </w:r>
            <w:r>
              <w:rPr>
                <w:rFonts w:ascii="Arial" w:cs="Arial" w:eastAsia="Arial" w:hAnsi="Arial"/>
                <w:sz w:val="21"/>
                <w:szCs w:val="21"/>
                <w:color w:val="auto"/>
                <w:vertAlign w:val="superscript"/>
              </w:rPr>
              <w:t>(1)</w:t>
            </w:r>
          </w:p>
        </w:tc>
        <w:tc>
          <w:tcPr>
            <w:tcW w:w="13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54</w:t>
            </w:r>
          </w:p>
        </w:tc>
        <w:tc>
          <w:tcPr>
            <w:tcW w:w="520" w:type="dxa"/>
            <w:vAlign w:val="bottom"/>
            <w:shd w:val="clear" w:color="auto" w:fill="CCEEFF"/>
          </w:tcPr>
          <w:p>
            <w:pPr>
              <w:spacing w:after="0"/>
              <w:rPr>
                <w:sz w:val="24"/>
                <w:szCs w:val="24"/>
                <w:color w:val="auto"/>
              </w:rPr>
            </w:pPr>
          </w:p>
        </w:tc>
        <w:tc>
          <w:tcPr>
            <w:tcW w:w="1900" w:type="dxa"/>
            <w:vAlign w:val="bottom"/>
            <w:vMerge w:val="restart"/>
            <w:shd w:val="clear" w:color="auto" w:fill="CCEEFF"/>
          </w:tcPr>
          <w:p>
            <w:pPr>
              <w:ind w:left="1040"/>
              <w:spacing w:after="0"/>
              <w:rPr>
                <w:sz w:val="20"/>
                <w:szCs w:val="20"/>
                <w:color w:val="auto"/>
              </w:rPr>
            </w:pPr>
            <w:r>
              <w:rPr>
                <w:rFonts w:ascii="Arial" w:cs="Arial" w:eastAsia="Arial" w:hAnsi="Arial"/>
                <w:sz w:val="16"/>
                <w:szCs w:val="16"/>
                <w:color w:val="auto"/>
              </w:rPr>
              <w:t>61</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74"/>
        </w:trPr>
        <w:tc>
          <w:tcPr>
            <w:tcW w:w="606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shd w:val="clear" w:color="auto" w:fill="CCEEFF"/>
          </w:tcPr>
          <w:p>
            <w:pPr>
              <w:spacing w:after="0"/>
              <w:rPr>
                <w:sz w:val="6"/>
                <w:szCs w:val="6"/>
                <w:color w:val="auto"/>
              </w:rPr>
            </w:pPr>
          </w:p>
        </w:tc>
        <w:tc>
          <w:tcPr>
            <w:tcW w:w="1340" w:type="dxa"/>
            <w:vAlign w:val="bottom"/>
            <w:tcBorders>
              <w:bottom w:val="single" w:sz="8" w:color="CCEEFF"/>
            </w:tcBorders>
            <w:vMerge w:val="continue"/>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1900" w:type="dxa"/>
            <w:vAlign w:val="bottom"/>
            <w:tcBorders>
              <w:bottom w:val="single" w:sz="8" w:color="CCEEFF"/>
            </w:tcBorders>
            <w:vMerge w:val="continue"/>
            <w:shd w:val="clear" w:color="auto" w:fill="CCEEFF"/>
          </w:tcPr>
          <w:p>
            <w:pPr>
              <w:spacing w:after="0"/>
              <w:rPr>
                <w:sz w:val="6"/>
                <w:szCs w:val="6"/>
                <w:color w:val="auto"/>
              </w:rPr>
            </w:pPr>
          </w:p>
        </w:tc>
        <w:tc>
          <w:tcPr>
            <w:tcW w:w="12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fair value per ESPP award</w:t>
            </w:r>
            <w:r>
              <w:rPr>
                <w:rFonts w:ascii="Arial" w:cs="Arial" w:eastAsia="Arial" w:hAnsi="Arial"/>
                <w:sz w:val="21"/>
                <w:szCs w:val="21"/>
                <w:color w:val="auto"/>
                <w:vertAlign w:val="superscript"/>
              </w:rPr>
              <w:t>(2)</w:t>
            </w:r>
          </w:p>
        </w:tc>
        <w:tc>
          <w:tcPr>
            <w:tcW w:w="13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900" w:type="dxa"/>
            <w:vAlign w:val="bottom"/>
            <w:vMerge w:val="restart"/>
            <w:shd w:val="clear" w:color="auto" w:fill="CCEEFF"/>
          </w:tcPr>
          <w:p>
            <w:pPr>
              <w:ind w:left="1040"/>
              <w:spacing w:after="0"/>
              <w:rPr>
                <w:sz w:val="20"/>
                <w:szCs w:val="20"/>
                <w:color w:val="auto"/>
              </w:rPr>
            </w:pPr>
            <w:r>
              <w:rPr>
                <w:rFonts w:ascii="Arial" w:cs="Arial" w:eastAsia="Arial" w:hAnsi="Arial"/>
                <w:sz w:val="16"/>
                <w:szCs w:val="16"/>
                <w:color w:val="auto"/>
              </w:rPr>
              <w:t>—   $</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4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Stock sold to employees during each fiscal quarter under the ESPP is associated with the offering period ending on the last day of the previous fiscal quarter.</w:t>
      </w:r>
    </w:p>
    <w:p>
      <w:pPr>
        <w:spacing w:after="0" w:line="171" w:lineRule="exact"/>
        <w:rPr>
          <w:rFonts w:ascii="Arial" w:cs="Arial" w:eastAsia="Arial" w:hAnsi="Arial"/>
          <w:sz w:val="21"/>
          <w:szCs w:val="21"/>
          <w:color w:val="auto"/>
          <w:vertAlign w:val="superscript"/>
        </w:rPr>
      </w:pPr>
    </w:p>
    <w:p>
      <w:pPr>
        <w:ind w:left="340" w:right="620" w:hanging="332"/>
        <w:spacing w:after="0" w:line="217" w:lineRule="auto"/>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Relating to awards associated with the offering periods during the years ended December 31. Effective October 1, 2013, the ESPP is no longer compensatory and therefore the 2013 weighted average fair value per award is for the nine months ended September 30, 2013.</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2015, all compensation cost associated with the ESPP had been recognized. There were approximately 392,000 shares of common stock available for future issuance under the ESPP at December 31, 2015.</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Defined Contribution, Bonus, and Profit Sharing Plans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Contribution Plans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United Kingdom, and certain other countries, we make contributions to defined contribution plans. For our U.S. employee savings plan, which represents a majority of our contribution expense, we provide a 50% match on the first 6% of the employee salary deferral, subject to statutory limitations. For our international defined contribution plans, we provide various levels of contributions, based on salary, subject to stipulated or statutory limitations. The expense for our defined contribution plans was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2014</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Defined contribution plans expense</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6,579</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7,097</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7,099</w:t>
            </w:r>
          </w:p>
        </w:tc>
      </w:tr>
      <w:tr>
        <w:trPr>
          <w:trHeight w:val="33"/>
        </w:trPr>
        <w:tc>
          <w:tcPr>
            <w:tcW w:w="60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 Plans and Awards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employee bonus and profit sharing plans in which many of our employees participate, as well as an award program, which allows for recognition of individual employees' achievements. The bonus and profit sharing plans provide award amounts for the achievement of annual performance and financial targets. Actual bonus and profit sharing award amounts are determined at the end of the year if the performance and financial targets are met. As the bonuses are being earned during the year, we estimate a compensation accrual each quarter based on the progress towards achieving the goals, the estimated financial forecast for the year, and the probability of achieving results. Bonus and profit sharing plans and award expense was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2014</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Bonus and profit sharing plans and award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14,192</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34,989</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18,602</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provision (benefit) for U.S. federal, state, and foreign taxes on income from continuing operations: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color w:val="auto"/>
              </w:rPr>
              <w:t>Current:</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6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State and local</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1,633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1,044</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20,269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22,153</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current</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20,611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38,793</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22,841</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Deferred:</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(14,830)</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State and local</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(2,329)</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(41,893)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(51,646)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(27,953)</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deferred</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(38,914)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(134,811)</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(45,112)</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Change in valuation allowance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40,402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100,053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19,805</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provision (benefit) for income taxes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22,099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the valuation allowance presented above does not include the impacts of currency translation adjustments or significant intercompany transactions.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tax provision as a percentage of income before tax was 59.6% for 2015. Our actual tax rate differed from the 35% U.S. federal statutory tax rate due to various items. A reconciliation of income taxes at the U.S. federal statutory rate of 35% to the consolidated actual tax rate is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6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Domestic</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115,526</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20,583</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Foreign</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(78,424)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(104,870)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(173,983)</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income (loss) before income taxes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37,102</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(153,400)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federal income tax provision (benefit)</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12,986</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(53,690)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49,730</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valuation allowance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19,805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1,598</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earnings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(33,364)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(14,015)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Tax credits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(91,148)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(10,352)</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Uncertain tax positions, including interest and penalties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Change in tax rates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1,442</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income tax provision (benefit), net of federal effect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U.S. tax provision on foreign earnings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31,309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Domestic production activities deduction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Local foreign taxes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2,295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3,212</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provision (benefit) for income taxes</w:t>
            </w: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22,099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4,035</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(2,466)</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6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636"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a result of prospective application of ASU 2015-17 (Topic 740),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we have reclassified our net current deferred tax assets and liabilities to net non-current deferred tax assets and liabilities in our Consolidated Balance Sheet as of December 31, 2015. We have not retrospectively adjusted prior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consist of the following:</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At December 31,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3"/>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Loss carryforwards</w:t>
            </w:r>
            <w:r>
              <w:rPr>
                <w:rFonts w:ascii="Arial" w:cs="Arial" w:eastAsia="Arial" w:hAnsi="Arial"/>
                <w:sz w:val="21"/>
                <w:szCs w:val="21"/>
                <w:color w:val="auto"/>
                <w:vertAlign w:val="superscript"/>
              </w:rPr>
              <w:t>(1)</w:t>
            </w: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190,545</w:t>
            </w:r>
          </w:p>
        </w:tc>
        <w:tc>
          <w:tcPr>
            <w:tcW w:w="120" w:type="dxa"/>
            <w:vAlign w:val="bottom"/>
            <w:shd w:val="clear" w:color="auto" w:fill="CCEEFF"/>
          </w:tcPr>
          <w:p>
            <w:pPr>
              <w:spacing w:after="0"/>
              <w:rPr>
                <w:sz w:val="24"/>
                <w:szCs w:val="24"/>
                <w:color w:val="auto"/>
              </w:rPr>
            </w:pPr>
          </w:p>
        </w:tc>
        <w:tc>
          <w:tcPr>
            <w:tcW w:w="60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188,607</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vMerge w:val="continue"/>
            <w:shd w:val="clear" w:color="auto" w:fill="CCEEFF"/>
          </w:tcPr>
          <w:p>
            <w:pPr>
              <w:spacing w:after="0"/>
              <w:rPr>
                <w:sz w:val="6"/>
                <w:szCs w:val="6"/>
                <w:color w:val="auto"/>
              </w:rPr>
            </w:pPr>
          </w:p>
        </w:tc>
        <w:tc>
          <w:tcPr>
            <w:tcW w:w="13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vMerge w:val="continue"/>
            <w:shd w:val="clear" w:color="auto" w:fill="CCEEFF"/>
          </w:tcPr>
          <w:p>
            <w:pPr>
              <w:spacing w:after="0"/>
              <w:rPr>
                <w:sz w:val="6"/>
                <w:szCs w:val="6"/>
                <w:color w:val="auto"/>
              </w:rPr>
            </w:pPr>
          </w:p>
        </w:tc>
        <w:tc>
          <w:tcPr>
            <w:tcW w:w="10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7900" w:type="dxa"/>
            <w:vAlign w:val="bottom"/>
            <w:vMerge w:val="restart"/>
          </w:tcPr>
          <w:p>
            <w:pPr>
              <w:ind w:left="380"/>
              <w:spacing w:after="0"/>
              <w:rPr>
                <w:sz w:val="20"/>
                <w:szCs w:val="20"/>
                <w:color w:val="auto"/>
              </w:rPr>
            </w:pPr>
            <w:r>
              <w:rPr>
                <w:rFonts w:ascii="Arial" w:cs="Arial" w:eastAsia="Arial" w:hAnsi="Arial"/>
                <w:sz w:val="16"/>
                <w:szCs w:val="16"/>
                <w:color w:val="auto"/>
              </w:rPr>
              <w:t>Tax credits</w:t>
            </w:r>
            <w:r>
              <w:rPr>
                <w:rFonts w:ascii="Arial" w:cs="Arial" w:eastAsia="Arial" w:hAnsi="Arial"/>
                <w:sz w:val="21"/>
                <w:szCs w:val="21"/>
                <w:color w:val="auto"/>
                <w:vertAlign w:val="superscript"/>
              </w:rPr>
              <w:t>(2)</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52,131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81,903</w:t>
            </w:r>
          </w:p>
        </w:tc>
        <w:tc>
          <w:tcPr>
            <w:tcW w:w="0" w:type="dxa"/>
            <w:vAlign w:val="bottom"/>
          </w:tcPr>
          <w:p>
            <w:pPr>
              <w:spacing w:after="0"/>
              <w:rPr>
                <w:sz w:val="1"/>
                <w:szCs w:val="1"/>
                <w:color w:val="auto"/>
              </w:rPr>
            </w:pPr>
          </w:p>
        </w:tc>
      </w:tr>
      <w:tr>
        <w:trPr>
          <w:trHeight w:val="209"/>
        </w:trPr>
        <w:tc>
          <w:tcPr>
            <w:tcW w:w="79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33,546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54,393</w:t>
            </w:r>
          </w:p>
        </w:tc>
        <w:tc>
          <w:tcPr>
            <w:tcW w:w="0" w:type="dxa"/>
            <w:vAlign w:val="bottom"/>
          </w:tcPr>
          <w:p>
            <w:pPr>
              <w:spacing w:after="0"/>
              <w:rPr>
                <w:sz w:val="1"/>
                <w:szCs w:val="1"/>
                <w:color w:val="auto"/>
              </w:rPr>
            </w:pPr>
          </w:p>
        </w:tc>
      </w:tr>
      <w:tr>
        <w:trPr>
          <w:trHeight w:val="224"/>
        </w:trPr>
        <w:tc>
          <w:tcPr>
            <w:tcW w:w="7900" w:type="dxa"/>
            <w:vAlign w:val="bottom"/>
          </w:tcPr>
          <w:p>
            <w:pPr>
              <w:ind w:left="380"/>
              <w:spacing w:after="0"/>
              <w:rPr>
                <w:sz w:val="20"/>
                <w:szCs w:val="20"/>
                <w:color w:val="auto"/>
              </w:rPr>
            </w:pPr>
            <w:r>
              <w:rPr>
                <w:rFonts w:ascii="Arial" w:cs="Arial" w:eastAsia="Arial" w:hAnsi="Arial"/>
                <w:sz w:val="16"/>
                <w:szCs w:val="16"/>
                <w:color w:val="auto"/>
              </w:rPr>
              <w:t>Pension plan benefits expense</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16,232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19,679</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Warranty reserves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25,129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19,141</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21,499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19,111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10,039</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Inventory valuation</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4,068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4,420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7,506</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Tax effect of accumulated translation</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deferred tax assets,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11,770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8,801</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deferred tax assets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373,611</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413,600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Valuation allowance</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(235,339)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(257,728)</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deferred tax assets, net of valuation allowance</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138,272</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155,872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(37,061)</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Tax effect of accumulated translation</w:t>
            </w: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deferred tax liabilities,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(3,608)</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(2,299)</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deferred tax liabilities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(30,608)</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(39,928)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tax assets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107,664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115,944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340" w:hanging="332"/>
        <w:spacing w:after="0" w:line="253"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For tax return purposes at December 31, 2015, we had U.S. federal loss carryforwards of $16.5 million that expire during the years 2020 and 2021. At December 31, 2015, we have net operating loss carryforwards in Luxembourg of $464.5 million that can be carried forward indefinitely, offset by a full valuation allowance. The remaining portion of the loss carryforwards are composed primarily of losses in various other foreign jurisdictions. The majority of these losses can be carried forward indefinitely. At December 31, 2015, there was a valuation allowance of $235.3 million primarily associated with foreign loss carryforwards and foreign tax credit carryforwards (discussed below).</w:t>
      </w:r>
    </w:p>
    <w:p>
      <w:pPr>
        <w:spacing w:after="0" w:line="217" w:lineRule="exact"/>
        <w:rPr>
          <w:rFonts w:ascii="Arial" w:cs="Arial" w:eastAsia="Arial" w:hAnsi="Arial"/>
          <w:sz w:val="25"/>
          <w:szCs w:val="25"/>
          <w:color w:val="auto"/>
          <w:vertAlign w:val="superscript"/>
        </w:rPr>
      </w:pPr>
    </w:p>
    <w:p>
      <w:pPr>
        <w:jc w:val="both"/>
        <w:ind w:left="340" w:hanging="332"/>
        <w:spacing w:after="0" w:line="233"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For tax return purposes at December 31, 2015, we had: (1) U.S. general business credits of $21.9 million, which begin to expire in 2022; (2) U.S. alternative minimum tax credits of $2.5 million that can be carried forward indefinitely; and (3) U.S. foreign tax credits of $48.0 million, which begin to expire in 2024. At December 31, 2015, there was a valuation allowance of $31.7 million associated with foreign tax credit carryforward.</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Our deferred tax assets at December 31, 2015 do not include the tax effect on $55.2 million of excess tax benefits from employee stock plan exercises.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Common stock will be increased by $20.3 million when such excess tax benefits reduce cash taxes payable.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provide U.S. deferred taxes on temporary differences related to our foreign investments that are considered permanent in duration. These temporary differences consist primarily of undistributed foreign earnings of $26.6 million and $31.4 million at December 31, 2015 and 2014, respectively. Foreign taxes have been provided on these undistributed foreign earnings. We have</w:t>
      </w:r>
    </w:p>
    <w:p>
      <w:pPr>
        <w:sectPr>
          <w:pgSz w:w="11900" w:h="16838" w:orient="portrait"/>
          <w:cols w:equalWidth="0" w:num="1">
            <w:col w:w="11420"/>
          </w:cols>
          <w:pgMar w:left="240" w:top="125" w:right="239" w:bottom="1149"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5" w:right="239" w:bottom="1149"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 computed the unrecognized deferred income tax liability on these temporary differences. There are many assumptions that must be considered to calculate the liability, thereby making it impractical to compute at this time.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positions and changes to reserves that are considered appropriate.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at January 1, 2013</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26,433</w:t>
            </w:r>
          </w:p>
        </w:tc>
        <w:tc>
          <w:tcPr>
            <w:tcW w:w="0" w:type="dxa"/>
            <w:vAlign w:val="bottom"/>
          </w:tcPr>
          <w:p>
            <w:pPr>
              <w:spacing w:after="0"/>
              <w:rPr>
                <w:sz w:val="1"/>
                <w:szCs w:val="1"/>
                <w:color w:val="auto"/>
              </w:rPr>
            </w:pP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Gross increase to positions in prior years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2,154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decrease to positions in prior years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Gross increases to current period tax positions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1,670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Audit settlements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Decrease related to lapsing of statute of limitations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Unrecognized tax benefits at December 31, 2013</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28,615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Gross increase to positions in prior years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2,749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decrease to positions in prior years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0" w:type="dxa"/>
            <w:vAlign w:val="bottom"/>
          </w:tcPr>
          <w:p>
            <w:pPr>
              <w:spacing w:after="0"/>
              <w:rPr>
                <w:sz w:val="1"/>
                <w:szCs w:val="1"/>
                <w:color w:val="auto"/>
              </w:rPr>
            </w:pP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Gross increases to current period tax positions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3,008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Audit settlements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Decrease related to lapsing of statute of limitations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(2,870)</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Unrecognized tax benefits at December 31, 2014</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28,146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Gross increase to positions in prior years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6,461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decrease to positions in prior years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Gross increases to current period tax positions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25,741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Audit settlements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Decrease related to lapsing of statute of limitations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Unrecognized tax benefits at December 31, 2015</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54,880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2"/>
              </w:rPr>
              <w:t>At December 31,</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20"/>
                <w:szCs w:val="20"/>
                <w:color w:val="auto"/>
              </w:rPr>
            </w:pPr>
          </w:p>
        </w:tc>
        <w:tc>
          <w:tcPr>
            <w:tcW w:w="164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c>
          <w:tcPr>
            <w:tcW w:w="40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(in thousands)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The amount of unrecognized tax benefits that, if recognized, would affect our effective tax</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53,602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26,980</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27,694</w:t>
            </w:r>
          </w:p>
        </w:tc>
        <w:tc>
          <w:tcPr>
            <w:tcW w:w="0" w:type="dxa"/>
            <w:vAlign w:val="bottom"/>
          </w:tcPr>
          <w:p>
            <w:pPr>
              <w:spacing w:after="0"/>
              <w:rPr>
                <w:sz w:val="1"/>
                <w:szCs w:val="1"/>
                <w:color w:val="auto"/>
              </w:rPr>
            </w:pPr>
          </w:p>
        </w:tc>
      </w:tr>
      <w:tr>
        <w:trPr>
          <w:trHeight w:val="33"/>
        </w:trPr>
        <w:tc>
          <w:tcPr>
            <w:tcW w:w="6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certain unrecognized tax benefits are recognized they would create additional deferred tax assets. These assets would require a full valuation in certain locations based upon present circumstances.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benefits and interest income on tax overpayments as components of income tax expense. The net interest and penalties expense (benefit) recognized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2014</w:t>
            </w:r>
          </w:p>
        </w:tc>
        <w:tc>
          <w:tcPr>
            <w:tcW w:w="64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interest and penalties expense (benefit)</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469</w:t>
            </w:r>
          </w:p>
        </w:tc>
        <w:tc>
          <w:tcPr>
            <w:tcW w:w="6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(1,443)</w:t>
            </w:r>
          </w:p>
        </w:tc>
      </w:tr>
      <w:tr>
        <w:trPr>
          <w:trHeight w:val="575"/>
        </w:trPr>
        <w:tc>
          <w:tcPr>
            <w:tcW w:w="6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At December 31,</w:t>
            </w:r>
          </w:p>
        </w:tc>
        <w:tc>
          <w:tcPr>
            <w:tcW w:w="108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2015</w:t>
            </w:r>
          </w:p>
        </w:tc>
        <w:tc>
          <w:tcPr>
            <w:tcW w:w="64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2,105</w:t>
            </w:r>
          </w:p>
        </w:tc>
        <w:tc>
          <w:tcPr>
            <w:tcW w:w="6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2,577</w:t>
            </w:r>
          </w:p>
        </w:tc>
        <w:tc>
          <w:tcPr>
            <w:tcW w:w="6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2,671</w:t>
            </w:r>
          </w:p>
        </w:tc>
      </w:tr>
    </w:tbl>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2015, we are under examination by certain tax authorities for the 2000 to 2013 tax years. The material jurisdictions where we are subject to examination for the 2000 to 2013 tax years include, among others, the U.S., France, Germany, Italy, Brazil and the United Kingdom. No material changes have occurred to previously disclosed assessments. In April 2016, the United States Internal Revenue Service (IRS) proposed certain significant adjustments to our research and development tax credit position as part of the 2011 to 2013 tax audit. Management disagrees with the proposed adjustments on technical and factual grounds. We plan to avail ourself of all administrative, and if necessary, judicial remedies and does not expect the adjustments to ultimately result in a material change to our financial position.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recorded within the next twelve months. However, at this time, an estimate of the range of reasonably possible adjustments to the balance of unrecognized tax benefits cannot be made.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 income tax returns in the U.S. federal jurisdiction and various states and foreign jurisdictions. We are subject to income tax examination by tax authorities in our major tax jurisdictions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gridSpan w:val="2"/>
          </w:tcPr>
          <w:p>
            <w:pPr>
              <w:ind w:left="40"/>
              <w:spacing w:after="0"/>
              <w:rPr>
                <w:sz w:val="20"/>
                <w:szCs w:val="20"/>
                <w:color w:val="auto"/>
              </w:rPr>
            </w:pPr>
            <w:r>
              <w:rPr>
                <w:rFonts w:ascii="Arial" w:cs="Arial" w:eastAsia="Arial" w:hAnsi="Arial"/>
                <w:sz w:val="16"/>
                <w:szCs w:val="16"/>
                <w:b w:val="1"/>
                <w:bCs w:val="1"/>
                <w:color w:val="auto"/>
              </w:rPr>
              <w:t>Tax Jurisdiction</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1"/>
              </w:rPr>
              <w:t>Years Subject to Audit</w:t>
            </w:r>
          </w:p>
        </w:tc>
      </w:tr>
      <w:tr>
        <w:trPr>
          <w:trHeight w:val="33"/>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federal</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Subsequent to 1999</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France</w:t>
            </w: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Subsequent to 2009</w:t>
            </w:r>
          </w:p>
        </w:tc>
      </w:tr>
      <w:tr>
        <w:trPr>
          <w:trHeight w:val="33"/>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Germany</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Subsequent to 2010</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Brazil</w:t>
            </w: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Subsequent to 2009</w:t>
            </w:r>
          </w:p>
        </w:tc>
      </w:tr>
      <w:tr>
        <w:trPr>
          <w:trHeight w:val="33"/>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Subsequent to 2012</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Italy</w:t>
            </w: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Subsequent to 2007</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Commitments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rental expense for factories, service and distribution locations, offices, and equipment was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2014</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Rental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15,524</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19,178</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18,662</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Future minimum lease payments at December 31, 2015, under noncancelable operating leases with initial or remaining terms in excess of one year are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239"/>
              <w:spacing w:after="0"/>
              <w:rPr>
                <w:sz w:val="20"/>
                <w:szCs w:val="20"/>
                <w:color w:val="auto"/>
              </w:rPr>
            </w:pPr>
            <w:r>
              <w:rPr>
                <w:rFonts w:ascii="Arial" w:cs="Arial" w:eastAsia="Arial" w:hAnsi="Arial"/>
                <w:sz w:val="16"/>
                <w:szCs w:val="16"/>
                <w:b w:val="1"/>
                <w:bCs w:val="1"/>
                <w:color w:val="auto"/>
                <w:w w:val="98"/>
              </w:rPr>
              <w:t>Minimum Payments</w:t>
            </w:r>
          </w:p>
        </w:tc>
      </w:tr>
      <w:tr>
        <w:trPr>
          <w:trHeight w:val="33"/>
        </w:trPr>
        <w:tc>
          <w:tcPr>
            <w:tcW w:w="9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9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43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10,396</w:t>
            </w: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8,600</w:t>
            </w:r>
          </w:p>
        </w:tc>
      </w:tr>
      <w:tr>
        <w:trPr>
          <w:trHeight w:val="33"/>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7,917</w:t>
            </w: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5,402</w:t>
            </w:r>
          </w:p>
        </w:tc>
      </w:tr>
      <w:tr>
        <w:trPr>
          <w:trHeight w:val="33"/>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2,605</w:t>
            </w: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Beyond 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1,156</w:t>
            </w:r>
          </w:p>
        </w:tc>
      </w:tr>
      <w:tr>
        <w:trPr>
          <w:trHeight w:val="33"/>
        </w:trPr>
        <w:tc>
          <w:tcPr>
            <w:tcW w:w="9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Future minimum lease payments</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36,076</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Rent expense is recognized straight-line over the lease term, including renewal periods if reasonably assured. We lease most of our sales and distribution locations and administrative offices. Our leases typically contain renewal options similar to the original terms with lease payments that increase based on the consumer price index.</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At December 31,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79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660,000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(151,837)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(91,469)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(46,574)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(50,399)</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301,589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518,132</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Net available for additional standby LOCs under sub-facility</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253,426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449,601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97,989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106,855</w:t>
            </w:r>
          </w:p>
        </w:tc>
        <w:tc>
          <w:tcPr>
            <w:tcW w:w="0" w:type="dxa"/>
            <w:vAlign w:val="bottom"/>
          </w:tcPr>
          <w:p>
            <w:pPr>
              <w:spacing w:after="0"/>
              <w:rPr>
                <w:sz w:val="1"/>
                <w:szCs w:val="1"/>
                <w:color w:val="auto"/>
              </w:rPr>
            </w:pPr>
          </w:p>
        </w:tc>
      </w:tr>
      <w:tr>
        <w:trPr>
          <w:trHeight w:val="224"/>
        </w:trPr>
        <w:tc>
          <w:tcPr>
            <w:tcW w:w="790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(31,122)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(28,636)</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790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w:t>
            </w:r>
          </w:p>
        </w:tc>
        <w:tc>
          <w:tcPr>
            <w:tcW w:w="0" w:type="dxa"/>
            <w:vAlign w:val="bottom"/>
          </w:tcPr>
          <w:p>
            <w:pPr>
              <w:spacing w:after="0"/>
              <w:rPr>
                <w:sz w:val="1"/>
                <w:szCs w:val="1"/>
                <w:color w:val="auto"/>
              </w:rPr>
            </w:pPr>
          </w:p>
        </w:tc>
      </w:tr>
      <w:tr>
        <w:trPr>
          <w:trHeight w:val="209"/>
        </w:trPr>
        <w:tc>
          <w:tcPr>
            <w:tcW w:w="79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900" w:type="dxa"/>
            <w:vAlign w:val="bottom"/>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132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62,983</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73,937</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87,558</w:t>
            </w:r>
          </w:p>
        </w:tc>
        <w:tc>
          <w:tcPr>
            <w:tcW w:w="12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116,306</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Refer to Note 7 for details regarding our secured credit facilities.</w:t>
      </w:r>
    </w:p>
    <w:p>
      <w:pPr>
        <w:ind w:left="340" w:hanging="332"/>
        <w:spacing w:after="0" w:line="182"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Short-term borrowings are included in “Other current liabilities” on the Consolidated Balance Sheets.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ectPr>
          <w:pgSz w:w="11900" w:h="16838" w:orient="portrait"/>
          <w:cols w:equalWidth="0" w:num="1">
            <w:col w:w="11420"/>
          </w:cols>
          <w:pgMar w:left="240" w:top="125" w:right="239" w:bottom="892"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5" w:right="239" w:bottom="892"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Matters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2010 and 2011, Transdata Incorporated (Transdata) filed lawsuits against four of our customers, CenterPoint Energy (CenterPoint), Tri-County Electric Cooperative, Inc. (Tri-County), San Diego Gas &amp; Electric Company (San Diego), and Texas-New Mexico Power Company (TNMP), as well as several other utilities, alleging infringement of three patents owned by Transdata related to the use of an antenna in a meter. Pursuant to our contractual obligations with our customers, we agreed, subject to certain exceptions, to indemnify and defend them in these lawsuits. The complaints seek unspecified damages as well as injunctive relief. CenterPoint, Tri-County, San Diego, and TNMP have denied all of the substantive allegations and filed counterclaims seeking a declaratory judgment that the patents are invalid and not infringed. In December 2011, the Judicial Panel on Multi-District Litigation consolidated all of these cases in the Western District of Oklahoma for pretrial proceedings. On April 17, 2011, the Oklahoma court stayed the litigation pending the resolution of re-examination proceedings in the United States Patent and Trademark Office (U.S. PTO). The U.S. PTO issued re-examination certificates confirming the patentability of the original claims and allowing certain new claims added by Transdata. The parties conducted a claim construction hearing on February 5, 2013 on one claim term -- “electric meter circuitry.” After initially adopting the defendants' proposed construction of the term, the Court granted Transdata's motion for reconsideration by order of June 25, 2013 and has adopted Transdata's proposed construction. On October 1, 2013, the Court issued an order construing other claim terms. Fact discovery closed on June 29, 2014. Following expert reports and depositions, both sides filed various summary judgment motions. On August 28, 2015, the Court issued orders on the motions. Among other things, the Court granted Transdata’s motion for summary judgment that certain prior art did not invalidate the claims, denied CenterPoint’s and SDG&amp;E’s motion for summary judgment that they did not infringe certain asserted claims, and granted defendants’ motion for summary judgment on the issue of willfulness. The cases were then remanded back to the originating courts --the United States District Court for the Eastern District of Texas and the United States District Court for the Southern District of California for trial. The U.S. PTO also instituted additional re-examinations in May 2014 on all three patents but issued Notices of Intent to Issue Re-examination Certificates confirming the patentability of the challenged claims. Petitions for inter partes review, which is a procedure conducted by the Patent Trial and Appeal Board (the PTAB) of the U.S. PTO in which a party can challenge the validity of a patent, were also filed by General Electric (GE), but the PTAB found the petitions were untimely because, under the PTAB's analysis, GE was in privity with a defendant in the pending litigation (and thus was required to file within one year of the beginning of the litigation). Tri-County Electric and Texas-New Mexico Power were dismissed as a result of a settlement involving General Electric meters, leaving CenterPoint and SDG&amp;E as the two remaining customer defendants. CenterPoint is scheduled to go to a jury trial on July 18, 2016. The SDG&amp;E case has been stayed pending resolution of the CenterPoint trial.</w:t>
      </w:r>
    </w:p>
    <w:p>
      <w:pPr>
        <w:spacing w:after="0" w:line="3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Transdata filed a complaint in the Eastern District of Texas on September 13, 2015 asserting that Itron infringes the three patents in the litigation above. The complaint seeks unspecified damages and injunctive relief. Itron has answered the Complaint, and denied that it is infringing any valid claims. That case has also been stayed pending resolution of the CenterPoint trial.</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these matters will have a material adverse effect on our business or financial condition, although an unfavorable outcome could have a material adverse effect on our results of operations for the period in which such loss is recognized. We have reserved an amount we believe is appropriate to cover the anticipated costs related to the resolution of these matters.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Brazil, the Conselha Administravo de Defensa Economica commenced an investigation of water meter suppliers, including a subsidiary of the Company, to determine whether such suppliers participated in agreements or concerted practices to coordinate their commercial policy in Brazil. Although the Company is unable to determine the final amount of any fine at this time, we believe that we have made adequate provisions based on information available to us. Consequently, we do not believe that the actual fine and ultimate outcome of this matter will have a material adverse effect on our operations or financial condition.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and its subsidiaries are parties to various employment-related proceedings in jurisdictions where it does business. None of the proceedings are individually material to Itron, and we believe that we have made adequate provision such that the ultimate disposition of the proceedings will not materially affect Itron's business or financial condition.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warranty accrual account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766445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Beginning balance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New product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changes/adjustments to warranties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Claims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Effect of change in exchange rates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current portion of warranty</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warranty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22383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p>
      <w:pPr>
        <w:ind w:left="680"/>
        <w:spacing w:after="0"/>
        <w:tabs>
          <w:tab w:leader="none" w:pos="248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22383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0" w:lineRule="exact"/>
        <w:rPr>
          <w:sz w:val="20"/>
          <w:szCs w:val="20"/>
          <w:color w:val="auto"/>
        </w:rPr>
      </w:pPr>
    </w:p>
    <w:p>
      <w:pPr>
        <w:spacing w:after="0"/>
        <w:tabs>
          <w:tab w:leader="none" w:pos="1120" w:val="left"/>
          <w:tab w:leader="none" w:pos="1820" w:val="left"/>
          <w:tab w:leader="none" w:pos="2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36,548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46,160</w:t>
      </w:r>
    </w:p>
    <w:p>
      <w:pPr>
        <w:spacing w:after="0" w:line="86" w:lineRule="exact"/>
        <w:rPr>
          <w:sz w:val="20"/>
          <w:szCs w:val="20"/>
          <w:color w:val="auto"/>
        </w:rPr>
      </w:pPr>
    </w:p>
    <w:p>
      <w:pPr>
        <w:ind w:left="1220"/>
        <w:spacing w:after="0"/>
        <w:tabs>
          <w:tab w:leader="none" w:pos="3000" w:val="left"/>
        </w:tabs>
        <w:rPr>
          <w:sz w:val="20"/>
          <w:szCs w:val="20"/>
          <w:color w:val="auto"/>
        </w:rPr>
      </w:pPr>
      <w:r>
        <w:rPr>
          <w:rFonts w:ascii="Arial" w:cs="Arial" w:eastAsia="Arial" w:hAnsi="Arial"/>
          <w:sz w:val="16"/>
          <w:szCs w:val="16"/>
          <w:color w:val="auto"/>
        </w:rPr>
        <w:t>8,380</w:t>
      </w:r>
      <w:r>
        <w:rPr>
          <w:sz w:val="20"/>
          <w:szCs w:val="20"/>
          <w:color w:val="auto"/>
        </w:rPr>
        <w:tab/>
      </w:r>
      <w:r>
        <w:rPr>
          <w:rFonts w:ascii="Arial" w:cs="Arial" w:eastAsia="Arial" w:hAnsi="Arial"/>
          <w:sz w:val="16"/>
          <w:szCs w:val="16"/>
          <w:color w:val="auto"/>
        </w:rPr>
        <w:t>6,441</w:t>
      </w:r>
    </w:p>
    <w:p>
      <w:pPr>
        <w:spacing w:after="0" w:line="86" w:lineRule="exact"/>
        <w:rPr>
          <w:sz w:val="20"/>
          <w:szCs w:val="20"/>
          <w:color w:val="auto"/>
        </w:rPr>
      </w:pPr>
    </w:p>
    <w:p>
      <w:pPr>
        <w:ind w:left="1140"/>
        <w:spacing w:after="0"/>
        <w:tabs>
          <w:tab w:leader="none" w:pos="3000" w:val="left"/>
        </w:tabs>
        <w:rPr>
          <w:sz w:val="20"/>
          <w:szCs w:val="20"/>
          <w:color w:val="auto"/>
        </w:rPr>
      </w:pPr>
      <w:r>
        <w:rPr>
          <w:rFonts w:ascii="Arial" w:cs="Arial" w:eastAsia="Arial" w:hAnsi="Arial"/>
          <w:sz w:val="16"/>
          <w:szCs w:val="16"/>
          <w:color w:val="auto"/>
        </w:rPr>
        <w:t>37,604</w:t>
      </w:r>
      <w:r>
        <w:rPr>
          <w:sz w:val="20"/>
          <w:szCs w:val="20"/>
          <w:color w:val="auto"/>
        </w:rPr>
        <w:tab/>
      </w:r>
      <w:r>
        <w:rPr>
          <w:rFonts w:ascii="Arial" w:cs="Arial" w:eastAsia="Arial" w:hAnsi="Arial"/>
          <w:sz w:val="16"/>
          <w:szCs w:val="16"/>
          <w:color w:val="auto"/>
        </w:rPr>
        <w:t>2,797</w:t>
      </w:r>
    </w:p>
    <w:p>
      <w:pPr>
        <w:spacing w:after="0" w:line="86" w:lineRule="exact"/>
        <w:rPr>
          <w:sz w:val="20"/>
          <w:szCs w:val="20"/>
          <w:color w:val="auto"/>
        </w:rPr>
      </w:pPr>
    </w:p>
    <w:p>
      <w:pPr>
        <w:jc w:val="both"/>
        <w:ind w:left="1080"/>
        <w:spacing w:after="0"/>
        <w:tabs>
          <w:tab w:leader="none" w:pos="2880" w:val="left"/>
        </w:tabs>
        <w:rPr>
          <w:sz w:val="20"/>
          <w:szCs w:val="20"/>
          <w:color w:val="auto"/>
        </w:rPr>
      </w:pPr>
      <w:r>
        <w:rPr>
          <w:rFonts w:ascii="Arial" w:cs="Arial" w:eastAsia="Arial" w:hAnsi="Arial"/>
          <w:sz w:val="16"/>
          <w:szCs w:val="16"/>
          <w:color w:val="auto"/>
        </w:rPr>
        <w:t>(25,955)</w:t>
      </w:r>
      <w:r>
        <w:rPr>
          <w:sz w:val="20"/>
          <w:szCs w:val="20"/>
          <w:color w:val="auto"/>
        </w:rPr>
        <w:tab/>
      </w:r>
      <w:r>
        <w:rPr>
          <w:rFonts w:ascii="Arial" w:cs="Arial" w:eastAsia="Arial" w:hAnsi="Arial"/>
          <w:sz w:val="16"/>
          <w:szCs w:val="16"/>
          <w:color w:val="auto"/>
        </w:rPr>
        <w:t>(16,568)</w:t>
      </w:r>
    </w:p>
    <w:p>
      <w:pPr>
        <w:spacing w:after="0" w:line="86" w:lineRule="exact"/>
        <w:rPr>
          <w:sz w:val="20"/>
          <w:szCs w:val="20"/>
          <w:color w:val="auto"/>
        </w:rPr>
      </w:pPr>
    </w:p>
    <w:p>
      <w:pPr>
        <w:jc w:val="both"/>
        <w:ind w:left="1160"/>
        <w:spacing w:after="0"/>
        <w:tabs>
          <w:tab w:leader="none" w:pos="2960" w:val="left"/>
        </w:tabs>
        <w:rPr>
          <w:sz w:val="20"/>
          <w:szCs w:val="20"/>
          <w:color w:val="auto"/>
        </w:rPr>
      </w:pPr>
      <w:r>
        <w:rPr>
          <w:rFonts w:ascii="Arial" w:cs="Arial" w:eastAsia="Arial" w:hAnsi="Arial"/>
          <w:sz w:val="16"/>
          <w:szCs w:val="16"/>
          <w:color w:val="auto"/>
        </w:rPr>
        <w:t>(2,065)</w:t>
      </w:r>
      <w:r>
        <w:rPr>
          <w:sz w:val="20"/>
          <w:szCs w:val="20"/>
          <w:color w:val="auto"/>
        </w:rPr>
        <w:tab/>
      </w:r>
      <w:r>
        <w:rPr>
          <w:rFonts w:ascii="Arial" w:cs="Arial" w:eastAsia="Arial" w:hAnsi="Arial"/>
          <w:sz w:val="16"/>
          <w:szCs w:val="16"/>
          <w:color w:val="auto"/>
        </w:rPr>
        <w:t>(2,282)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22383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1140"/>
        <w:spacing w:after="0"/>
        <w:tabs>
          <w:tab w:leader="none" w:pos="2920" w:val="left"/>
        </w:tabs>
        <w:rPr>
          <w:sz w:val="20"/>
          <w:szCs w:val="20"/>
          <w:color w:val="auto"/>
        </w:rPr>
      </w:pPr>
      <w:r>
        <w:rPr>
          <w:rFonts w:ascii="Arial" w:cs="Arial" w:eastAsia="Arial" w:hAnsi="Arial"/>
          <w:sz w:val="16"/>
          <w:szCs w:val="16"/>
          <w:color w:val="auto"/>
        </w:rPr>
        <w:t>54,512</w:t>
      </w:r>
      <w:r>
        <w:rPr>
          <w:sz w:val="20"/>
          <w:szCs w:val="20"/>
          <w:color w:val="auto"/>
        </w:rPr>
        <w:tab/>
      </w:r>
      <w:r>
        <w:rPr>
          <w:rFonts w:ascii="Arial" w:cs="Arial" w:eastAsia="Arial" w:hAnsi="Arial"/>
          <w:sz w:val="16"/>
          <w:szCs w:val="16"/>
          <w:color w:val="auto"/>
        </w:rPr>
        <w:t>36,548</w:t>
      </w:r>
    </w:p>
    <w:p>
      <w:pPr>
        <w:spacing w:after="0" w:line="86" w:lineRule="exact"/>
        <w:rPr>
          <w:sz w:val="20"/>
          <w:szCs w:val="20"/>
          <w:color w:val="auto"/>
        </w:rPr>
      </w:pPr>
    </w:p>
    <w:p>
      <w:pPr>
        <w:ind w:left="1140"/>
        <w:spacing w:after="0"/>
        <w:tabs>
          <w:tab w:leader="none" w:pos="2920" w:val="left"/>
        </w:tabs>
        <w:rPr>
          <w:sz w:val="20"/>
          <w:szCs w:val="20"/>
          <w:color w:val="auto"/>
        </w:rPr>
      </w:pPr>
      <w:r>
        <w:rPr>
          <w:rFonts w:ascii="Arial" w:cs="Arial" w:eastAsia="Arial" w:hAnsi="Arial"/>
          <w:sz w:val="16"/>
          <w:szCs w:val="16"/>
          <w:color w:val="auto"/>
        </w:rPr>
        <w:t>36,927</w:t>
      </w:r>
      <w:r>
        <w:rPr>
          <w:sz w:val="20"/>
          <w:szCs w:val="20"/>
          <w:color w:val="auto"/>
        </w:rPr>
        <w:tab/>
      </w:r>
      <w:r>
        <w:rPr>
          <w:rFonts w:ascii="Arial" w:cs="Arial" w:eastAsia="Arial" w:hAnsi="Arial"/>
          <w:sz w:val="16"/>
          <w:szCs w:val="16"/>
          <w:color w:val="auto"/>
        </w:rPr>
        <w:t>21,145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22383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spacing w:after="0"/>
        <w:tabs>
          <w:tab w:leader="none" w:pos="1120" w:val="left"/>
          <w:tab w:leader="none" w:pos="1820" w:val="left"/>
          <w:tab w:leader="none" w:pos="2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17,585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15,403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223837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200" w:space="720"/>
            <w:col w:w="3500"/>
          </w:cols>
          <w:pgMar w:left="240" w:top="125" w:right="239" w:bottom="1440" w:gutter="0" w:footer="0" w:header="0"/>
        </w:sectPr>
      </w:pP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extended warranty contracts, and other changes and adjustments to warranties. Warranty expense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2014</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warranty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45,984</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9,238</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16,910</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Warranty expense increased $36.7 million during the year ended December 31, 2015 compared with the prior year primarily due to special warranty provisions. During the second quarter of 2015, we concluded it was necessary to issue a product replacement notification to customers of our Water segment who had purchased certain communication modules manufactured between July 2013 and December 2014. We determined that a component of the modules was failing prematurely. The charge recorded for this matter during the year ended December 31, 2015 was $29.4 million.</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0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2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34,138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33,528</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2,792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3,529</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(2,655)</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33,654</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34,138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Less: current portion of unearned revenue for extended warranty</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3,565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2,759</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unearned revenue for extended warranty within Other long-term obligations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30,089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31,379</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2014</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25,355</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23,206</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22,324</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IBNR accrual, which is included in wages and benefits payable, was as follows:</w:t>
      </w:r>
    </w:p>
    <w:p>
      <w:pPr>
        <w:spacing w:after="0" w:line="200" w:lineRule="exact"/>
        <w:rPr>
          <w:sz w:val="20"/>
          <w:szCs w:val="20"/>
          <w:color w:val="auto"/>
        </w:rPr>
      </w:pPr>
    </w:p>
    <w:p>
      <w:pPr>
        <w:spacing w:after="0" w:line="201"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p>
      <w:pPr>
        <w:ind w:left="8600"/>
        <w:spacing w:after="0"/>
        <w:tabs>
          <w:tab w:leader="none" w:pos="1040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918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tabs>
          <w:tab w:leader="none" w:pos="7900" w:val="left"/>
          <w:tab w:leader="none" w:pos="9120" w:val="left"/>
          <w:tab w:leader="none" w:pos="9740" w:val="left"/>
          <w:tab w:leader="none" w:pos="10920" w:val="left"/>
        </w:tabs>
        <w:rPr>
          <w:sz w:val="20"/>
          <w:szCs w:val="20"/>
          <w:color w:val="auto"/>
        </w:rPr>
      </w:pPr>
      <w:r>
        <w:rPr>
          <w:rFonts w:ascii="Arial" w:cs="Arial" w:eastAsia="Arial" w:hAnsi="Arial"/>
          <w:sz w:val="16"/>
          <w:szCs w:val="16"/>
          <w:color w:val="auto"/>
        </w:rPr>
        <w:t>IBNR accrual</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2,051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1,924</w:t>
      </w: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Projects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will position us to meet our long-term profitability goals by better aligning global operations with markets where we can serve our customers profitably.</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began implementing these projects in the fourth quarter of 2014, and we expect to substantially complete these projects by the fourth quarter of 2016. During the year ended December 31, 2015, the total expected restructuring costs decreased by approximately $15.1 million. This includes $12.2 million in restructuring severance expense release, recognized in the year ended December 31, 2015, resulting from employees, originally identified to be terminated, voluntarily resigning or filling vacant positions in different departments or locations, as well as the result of employee negotiations and the need to keep additional employees to meet revised forecasted demand on certain projects. In addition, we are expecting lower future legal costs associated with the termination of employees in certain locations. The favorable change in the translation impact of foreign exchange rates also lowered the expected remaining costs to be recognized. Certain aspects of the projects are subject to a variety of labor and employment laws, rules, and regulations, which could result in a delay in completing the projects at some locations.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in prior periods, the restructuring costs recognized during the year, and the remaining expected restructuring costs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Costs Recognized During</w:t>
            </w:r>
          </w:p>
        </w:tc>
        <w:tc>
          <w:tcPr>
            <w:tcW w:w="180" w:type="dxa"/>
            <w:vAlign w:val="bottom"/>
          </w:tcPr>
          <w:p>
            <w:pPr>
              <w:spacing w:after="0"/>
              <w:rPr>
                <w:sz w:val="17"/>
                <w:szCs w:val="17"/>
                <w:color w:val="auto"/>
              </w:rPr>
            </w:pPr>
          </w:p>
        </w:tc>
        <w:tc>
          <w:tcPr>
            <w:tcW w:w="186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Remaining Costs to be</w:t>
            </w:r>
          </w:p>
        </w:tc>
      </w:t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Total Expected Costs at</w:t>
            </w:r>
          </w:p>
        </w:tc>
        <w:tc>
          <w:tcPr>
            <w:tcW w:w="120" w:type="dxa"/>
            <w:vAlign w:val="bottom"/>
          </w:tcPr>
          <w:p>
            <w:pPr>
              <w:spacing w:after="0"/>
              <w:rPr>
                <w:sz w:val="17"/>
                <w:szCs w:val="17"/>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Costs Recognized in Prior</w:t>
            </w:r>
          </w:p>
        </w:tc>
        <w:tc>
          <w:tcPr>
            <w:tcW w:w="10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the Year Ended December</w:t>
            </w:r>
          </w:p>
        </w:tc>
        <w:tc>
          <w:tcPr>
            <w:tcW w:w="204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Recognized at December 31,</w:t>
            </w:r>
          </w:p>
        </w:tc>
      </w:tr>
      <w:tr>
        <w:trPr>
          <w:trHeight w:val="210"/>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 2015</w:t>
            </w: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Periods</w:t>
            </w:r>
          </w:p>
        </w:tc>
        <w:tc>
          <w:tcPr>
            <w:tcW w:w="100" w:type="dxa"/>
            <w:vAlign w:val="bottom"/>
          </w:tcPr>
          <w:p>
            <w:pPr>
              <w:spacing w:after="0"/>
              <w:rPr>
                <w:sz w:val="18"/>
                <w:szCs w:val="18"/>
                <w:color w:val="auto"/>
              </w:rPr>
            </w:pPr>
          </w:p>
        </w:tc>
        <w:tc>
          <w:tcPr>
            <w:tcW w:w="194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31, 2015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2015</w:t>
            </w:r>
          </w:p>
        </w:tc>
      </w:tr>
      <w:tr>
        <w:trPr>
          <w:trHeight w:val="33"/>
        </w:trPr>
        <w:tc>
          <w:tcPr>
            <w:tcW w:w="2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5"/>
          </w:tcPr>
          <w:p>
            <w:pPr>
              <w:ind w:left="146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34,373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Asset impairments &amp; net loss on sale or</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disposal</w:t>
            </w:r>
          </w:p>
        </w:tc>
        <w:tc>
          <w:tcPr>
            <w:tcW w:w="160" w:type="dxa"/>
            <w:vAlign w:val="bottom"/>
          </w:tcPr>
          <w:p>
            <w:pPr>
              <w:spacing w:after="0"/>
              <w:rPr>
                <w:sz w:val="17"/>
                <w:szCs w:val="17"/>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8,880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7,904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6,983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3,054</w:t>
            </w:r>
          </w:p>
        </w:tc>
      </w:tr>
      <w:tr>
        <w:trPr>
          <w:trHeight w:val="297"/>
        </w:trPr>
        <w:tc>
          <w:tcPr>
            <w:tcW w:w="28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50,236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54,445</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(7,263)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3,054</w:t>
            </w:r>
          </w:p>
        </w:tc>
      </w:tr>
      <w:tr>
        <w:trPr>
          <w:trHeight w:val="257"/>
        </w:trPr>
        <w:tc>
          <w:tcPr>
            <w:tcW w:w="2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24,615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2,872</w:t>
            </w:r>
          </w:p>
        </w:tc>
      </w:tr>
      <w:tr>
        <w:trPr>
          <w:trHeight w:val="237"/>
        </w:trPr>
        <w:tc>
          <w:tcPr>
            <w:tcW w:w="2880" w:type="dxa"/>
            <w:vAlign w:val="bottom"/>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11,936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12,142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81</w:t>
            </w: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288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11,732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12,145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88</w:t>
            </w:r>
          </w:p>
        </w:tc>
      </w:tr>
      <w:tr>
        <w:trPr>
          <w:trHeight w:val="33"/>
        </w:trPr>
        <w:tc>
          <w:tcPr>
            <w:tcW w:w="2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50,236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54,445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3,054</w:t>
            </w: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Assets held for sale are classified within other current assets and are reported at the lower of the carrying amount or the fair value, less costs to sell, and are no longer depreciated or amortized.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During 2015, our restructuring activities related to the closure of certain facilities resulted in approximately $1.1 million of inventory write-downs.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Projects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2013, our management approved projects (the 2013 Projects) to restructure our operations to improve profitability and increase efficiencies. We began implementing these projects in the third quarter of 2013, and we expect to substantially complete project activities by the third quarter of 2016 and begin recognizing full savings in 2017. While project activities are expected to continue through September 2016, no further costs are expected to be recognized.</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2013 Projects resulted in approximately $26.2 million of restructuring expense, which was recognized from the third quarter of 2013 through the fourth quarter of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within the restructuring related balance sheet accounts, for the 2014 and 2013 Projects: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Asset Impairments &amp;</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Net Loss on Sale or</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Disposal</w:t>
            </w:r>
          </w:p>
        </w:tc>
        <w:tc>
          <w:tcPr>
            <w:tcW w:w="10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Accrued Costs</w:t>
            </w:r>
          </w:p>
        </w:tc>
        <w:tc>
          <w:tcPr>
            <w:tcW w:w="38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5"/>
          </w:tcPr>
          <w:p>
            <w:pPr>
              <w:ind w:left="11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61,929</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Costs incurred (released) and charged to expense</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(12,151)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976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3,912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(7,263)</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(18,764)</w:t>
            </w:r>
          </w:p>
        </w:tc>
      </w:tr>
      <w:tr>
        <w:trPr>
          <w:trHeight w:val="237"/>
        </w:trPr>
        <w:tc>
          <w:tcPr>
            <w:tcW w:w="4240" w:type="dxa"/>
            <w:vAlign w:val="bottom"/>
          </w:tcPr>
          <w:p>
            <w:pPr>
              <w:ind w:left="200"/>
              <w:spacing w:after="0"/>
              <w:rPr>
                <w:sz w:val="20"/>
                <w:szCs w:val="20"/>
                <w:color w:val="auto"/>
              </w:rPr>
            </w:pPr>
            <w:r>
              <w:rPr>
                <w:rFonts w:ascii="Arial" w:cs="Arial" w:eastAsia="Arial" w:hAnsi="Arial"/>
                <w:sz w:val="16"/>
                <w:szCs w:val="16"/>
                <w:color w:val="auto"/>
              </w:rPr>
              <w:t>Non-cash items</w:t>
            </w: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(976)</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(5,345)</w:t>
            </w:r>
          </w:p>
        </w:tc>
      </w:tr>
      <w:tr>
        <w:trPr>
          <w:trHeight w:val="244"/>
        </w:trPr>
        <w:tc>
          <w:tcPr>
            <w:tcW w:w="4240" w:type="dxa"/>
            <w:vAlign w:val="bottom"/>
          </w:tcPr>
          <w:p>
            <w:pPr>
              <w:ind w:left="40"/>
              <w:spacing w:after="0"/>
              <w:rPr>
                <w:sz w:val="20"/>
                <w:szCs w:val="20"/>
                <w:color w:val="auto"/>
              </w:rPr>
            </w:pPr>
            <w:r>
              <w:rPr>
                <w:rFonts w:ascii="Arial" w:cs="Arial" w:eastAsia="Arial" w:hAnsi="Arial"/>
                <w:sz w:val="16"/>
                <w:szCs w:val="16"/>
                <w:color w:val="auto"/>
              </w:rPr>
              <w:t>Ending balance, December 31, 2015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26,533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3,048</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29,581</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portions of the restructuring related liability balances were $25.2 million and $48.5 million as of December 31, 2015 and 2014, respectively. The current portion of the liability is classified within “Other current liabilities” on the Consolidated Balance Sheets. The long-term portions of the restructuring related liability related balances were $4.4 million and $13.5 million as of December 31, 2015 and 2014, respectively. The long-term portion of the restructuring liability is classified within “Other long-term obligations” on the Consolidated Balance Sheets.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includes long-lived assets held and used that were measured at fair value on a nonrecurring basis as of December 31, 2015 and 2014, and the related recognized losses for the years ended December 31, 2015 and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jc w:val="center"/>
              <w:ind w:right="179"/>
              <w:spacing w:after="0"/>
              <w:rPr>
                <w:sz w:val="20"/>
                <w:szCs w:val="20"/>
                <w:color w:val="auto"/>
              </w:rPr>
            </w:pPr>
            <w:r>
              <w:rPr>
                <w:rFonts w:ascii="Arial" w:cs="Arial" w:eastAsia="Arial" w:hAnsi="Arial"/>
                <w:sz w:val="16"/>
                <w:szCs w:val="16"/>
                <w:b w:val="1"/>
                <w:bCs w:val="1"/>
                <w:color w:val="auto"/>
                <w:w w:val="96"/>
              </w:rPr>
              <w:t>Fair Value</w:t>
            </w: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Net Carrying Value</w:t>
            </w:r>
          </w:p>
        </w:tc>
        <w:tc>
          <w:tcPr>
            <w:tcW w:w="18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Measurement (Level 3)</w:t>
            </w: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Total Loss Recognized</w:t>
            </w:r>
          </w:p>
        </w:tc>
      </w:tr>
      <w:tr>
        <w:trPr>
          <w:trHeight w:val="33"/>
        </w:trPr>
        <w:tc>
          <w:tcPr>
            <w:tcW w:w="6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(in thousands)</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0"/>
        </w:trPr>
        <w:tc>
          <w:tcPr>
            <w:tcW w:w="6060" w:type="dxa"/>
            <w:vAlign w:val="bottom"/>
          </w:tcPr>
          <w:p>
            <w:pPr>
              <w:jc w:val="right"/>
              <w:ind w:right="5619"/>
              <w:spacing w:after="0"/>
              <w:rPr>
                <w:sz w:val="20"/>
                <w:szCs w:val="20"/>
                <w:color w:val="auto"/>
              </w:rPr>
            </w:pPr>
            <w:r>
              <w:rPr>
                <w:rFonts w:ascii="Arial" w:cs="Arial" w:eastAsia="Arial" w:hAnsi="Arial"/>
                <w:sz w:val="16"/>
                <w:szCs w:val="16"/>
                <w:i w:val="1"/>
                <w:iCs w:val="1"/>
                <w:color w:val="auto"/>
                <w:w w:val="95"/>
              </w:rPr>
              <w:t>2015</w:t>
            </w: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jc w:val="right"/>
              <w:ind w:right="3559"/>
              <w:spacing w:after="0"/>
              <w:rPr>
                <w:sz w:val="20"/>
                <w:szCs w:val="20"/>
                <w:color w:val="auto"/>
              </w:rPr>
            </w:pPr>
            <w:r>
              <w:rPr>
                <w:rFonts w:ascii="Arial" w:cs="Arial" w:eastAsia="Arial" w:hAnsi="Arial"/>
                <w:sz w:val="16"/>
                <w:szCs w:val="16"/>
                <w:color w:val="auto"/>
              </w:rPr>
              <w:t>Long-lived assets held and used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jc w:val="right"/>
              <w:ind w:right="5619"/>
              <w:spacing w:after="0"/>
              <w:rPr>
                <w:sz w:val="20"/>
                <w:szCs w:val="20"/>
                <w:color w:val="auto"/>
              </w:rPr>
            </w:pPr>
            <w:r>
              <w:rPr>
                <w:rFonts w:ascii="Arial" w:cs="Arial" w:eastAsia="Arial" w:hAnsi="Arial"/>
                <w:sz w:val="16"/>
                <w:szCs w:val="16"/>
                <w:i w:val="1"/>
                <w:iCs w:val="1"/>
                <w:color w:val="auto"/>
                <w:w w:val="95"/>
              </w:rPr>
              <w:t>2014</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jc w:val="right"/>
              <w:ind w:right="3559"/>
              <w:spacing w:after="0"/>
              <w:rPr>
                <w:sz w:val="20"/>
                <w:szCs w:val="20"/>
                <w:color w:val="auto"/>
              </w:rPr>
            </w:pPr>
            <w:r>
              <w:rPr>
                <w:rFonts w:ascii="Arial" w:cs="Arial" w:eastAsia="Arial" w:hAnsi="Arial"/>
                <w:sz w:val="16"/>
                <w:szCs w:val="16"/>
                <w:color w:val="auto"/>
              </w:rPr>
              <w:t>Long-lived assets held and used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1,930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1,930</w:t>
            </w:r>
          </w:p>
        </w:tc>
        <w:tc>
          <w:tcPr>
            <w:tcW w:w="7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7,952</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asset group included in long-lived assets held and used were determined based primarily on their appraised fair value.</w:t>
      </w:r>
    </w:p>
    <w:p>
      <w:pPr>
        <w:spacing w:after="0" w:line="27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our Board of Directors prior to any payment to holders of common stock. There was no preferred stock issued or outstanding at December 31, 2015, 2014, and 2013.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Plan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8, 2013, our Board authorized a 12-month repurchase program of up to $50 million in shares of our common stock. The March 8, 2013 authorization expired on March 7, 2014. From January 1, 2014 through March 7, 2014, we repurchased 75,203 shares of our common stock, totaling $2.9 million.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7, 2014, our Board authorized a 12-month repurchase program of up to $50 million in shares of our common stock, to begin on March 8, 2014, upon the expiration of the previous stock repurchase program. From March 8, 2014 through December 31, 2014, we repurchased 910,990 shares of our common stock, totaling $36.7 million. From January 1, 2015 through February 2015, we repurchased 335,251 shares of our common stock which fully utilized the remaining $13.3 million authorized under the program.</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19, 2015, our Board authorized a new repurchase program of up to $50 million of our common stock over a 12-month period, beginning February 19, 2015. From February 19, 2015 through December 31, 2015, we repurchased 743,444 shares of our common stock, totaling $25.0 million. This program expired on February 19, 2016 with no share repurchases made subsequent to December 31, 2015.</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comprehensive income (loss) is reflected as a net increase (decrease) to shareholders’ equity and is not reflected in our results of operations. The changes in the components of accumulated other comprehensive income (loss), net of tax,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Foreign Currency</w:t>
            </w:r>
          </w:p>
        </w:tc>
        <w:tc>
          <w:tcPr>
            <w:tcW w:w="14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Net Unrealized Gain</w:t>
            </w:r>
          </w:p>
        </w:tc>
        <w:tc>
          <w:tcPr>
            <w:tcW w:w="12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Net Unrealized Gain</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Accumulated Other</w:t>
            </w:r>
          </w:p>
        </w:tc>
      </w:tr>
      <w:tr>
        <w:trPr>
          <w:trHeight w:val="203"/>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(Loss) on Derivative</w:t>
            </w:r>
          </w:p>
        </w:tc>
        <w:tc>
          <w:tcPr>
            <w:tcW w:w="182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(Loss) on Nonderivative</w:t>
            </w:r>
          </w:p>
        </w:tc>
        <w:tc>
          <w:tcPr>
            <w:tcW w:w="12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Pension Plan Benefit</w:t>
            </w: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Comprehensive Income</w:t>
            </w:r>
          </w:p>
        </w:tc>
      </w:tr>
      <w:tr>
        <w:trPr>
          <w:trHeight w:val="210"/>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Instruments</w:t>
            </w:r>
          </w:p>
        </w:tc>
        <w:tc>
          <w:tcPr>
            <w:tcW w:w="18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Liability Adjustments</w:t>
            </w:r>
          </w:p>
        </w:tc>
        <w:tc>
          <w:tcPr>
            <w:tcW w:w="120" w:type="dxa"/>
            <w:vAlign w:val="bottom"/>
          </w:tcPr>
          <w:p>
            <w:pPr>
              <w:spacing w:after="0"/>
              <w:rPr>
                <w:sz w:val="18"/>
                <w:szCs w:val="18"/>
                <w:color w:val="auto"/>
              </w:rPr>
            </w:pPr>
          </w:p>
        </w:tc>
        <w:tc>
          <w:tcPr>
            <w:tcW w:w="1560" w:type="dxa"/>
            <w:vAlign w:val="bottom"/>
          </w:tcPr>
          <w:p>
            <w:pPr>
              <w:jc w:val="right"/>
              <w:ind w:right="559"/>
              <w:spacing w:after="0"/>
              <w:rPr>
                <w:sz w:val="20"/>
                <w:szCs w:val="20"/>
                <w:color w:val="auto"/>
              </w:rPr>
            </w:pPr>
            <w:r>
              <w:rPr>
                <w:rFonts w:ascii="Arial" w:cs="Arial" w:eastAsia="Arial" w:hAnsi="Arial"/>
                <w:sz w:val="16"/>
                <w:szCs w:val="16"/>
                <w:b w:val="1"/>
                <w:bCs w:val="1"/>
                <w:color w:val="auto"/>
              </w:rPr>
              <w:t>(Loss)</w:t>
            </w:r>
          </w:p>
        </w:tc>
      </w:tr>
      <w:tr>
        <w:trPr>
          <w:trHeight w:val="33"/>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(34,793)</w:t>
            </w:r>
          </w:p>
        </w:tc>
      </w:tr>
      <w:tr>
        <w:trPr>
          <w:trHeight w:val="237"/>
        </w:trPr>
        <w:tc>
          <w:tcPr>
            <w:tcW w:w="242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7,939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3,738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11,679</w:t>
            </w: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6"/>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1,810</w:t>
            </w:r>
          </w:p>
        </w:tc>
      </w:tr>
      <w:tr>
        <w:trPr>
          <w:trHeight w:val="200"/>
        </w:trPr>
        <w:tc>
          <w:tcPr>
            <w:tcW w:w="2420" w:type="dxa"/>
            <w:vAlign w:val="bottom"/>
          </w:tcPr>
          <w:p>
            <w:pPr>
              <w:ind w:left="40"/>
              <w:spacing w:after="0"/>
              <w:rPr>
                <w:sz w:val="20"/>
                <w:szCs w:val="20"/>
                <w:color w:val="auto"/>
              </w:rPr>
            </w:pPr>
            <w:r>
              <w:rPr>
                <w:rFonts w:ascii="Arial" w:cs="Arial" w:eastAsia="Arial" w:hAnsi="Arial"/>
                <w:sz w:val="16"/>
                <w:szCs w:val="16"/>
                <w:color w:val="auto"/>
                <w:w w:val="92"/>
              </w:rPr>
              <w:t>Current period other comprehensive</w:t>
            </w: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income (loss)</w:t>
            </w:r>
          </w:p>
        </w:tc>
        <w:tc>
          <w:tcPr>
            <w:tcW w:w="16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7,939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5,117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13,489</w:t>
            </w:r>
          </w:p>
        </w:tc>
      </w:tr>
      <w:tr>
        <w:trPr>
          <w:trHeight w:val="33"/>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(21,304)</w:t>
            </w:r>
          </w:p>
        </w:tc>
      </w:tr>
      <w:tr>
        <w:trPr>
          <w:trHeight w:val="217"/>
        </w:trPr>
        <w:tc>
          <w:tcPr>
            <w:tcW w:w="242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(89,297)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(25,702)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(115,565)</w:t>
            </w: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6"/>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w:t>
            </w:r>
          </w:p>
        </w:tc>
      </w:tr>
      <w:tr>
        <w:trPr>
          <w:trHeight w:val="200"/>
        </w:trPr>
        <w:tc>
          <w:tcPr>
            <w:tcW w:w="2420" w:type="dxa"/>
            <w:vAlign w:val="bottom"/>
          </w:tcPr>
          <w:p>
            <w:pPr>
              <w:ind w:left="40"/>
              <w:spacing w:after="0"/>
              <w:rPr>
                <w:sz w:val="20"/>
                <w:szCs w:val="20"/>
                <w:color w:val="auto"/>
              </w:rPr>
            </w:pPr>
            <w:r>
              <w:rPr>
                <w:rFonts w:ascii="Arial" w:cs="Arial" w:eastAsia="Arial" w:hAnsi="Arial"/>
                <w:sz w:val="16"/>
                <w:szCs w:val="16"/>
                <w:color w:val="auto"/>
                <w:w w:val="92"/>
              </w:rPr>
              <w:t>Current period other comprehensive</w:t>
            </w: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income (loss)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(89,297)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(24,947)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(113,756)</w:t>
            </w:r>
          </w:p>
        </w:tc>
      </w:tr>
      <w:tr>
        <w:trPr>
          <w:trHeight w:val="33"/>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(135,060)</w:t>
            </w:r>
          </w:p>
        </w:tc>
      </w:tr>
      <w:tr>
        <w:trPr>
          <w:trHeight w:val="217"/>
        </w:trPr>
        <w:tc>
          <w:tcPr>
            <w:tcW w:w="242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(73,891)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4,570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(69,245)</w:t>
            </w: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6"/>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3,698</w:t>
            </w:r>
          </w:p>
        </w:tc>
      </w:tr>
      <w:tr>
        <w:trPr>
          <w:trHeight w:val="200"/>
        </w:trPr>
        <w:tc>
          <w:tcPr>
            <w:tcW w:w="2420" w:type="dxa"/>
            <w:vAlign w:val="bottom"/>
          </w:tcPr>
          <w:p>
            <w:pPr>
              <w:ind w:left="40"/>
              <w:spacing w:after="0"/>
              <w:rPr>
                <w:sz w:val="20"/>
                <w:szCs w:val="20"/>
                <w:color w:val="auto"/>
              </w:rPr>
            </w:pPr>
            <w:r>
              <w:rPr>
                <w:rFonts w:ascii="Arial" w:cs="Arial" w:eastAsia="Arial" w:hAnsi="Arial"/>
                <w:sz w:val="16"/>
                <w:szCs w:val="16"/>
                <w:color w:val="auto"/>
                <w:w w:val="92"/>
              </w:rPr>
              <w:t>Current period other comprehensive</w:t>
            </w: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income (loss)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(72,929)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6,296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(65,547)</w:t>
            </w:r>
          </w:p>
        </w:tc>
      </w:tr>
      <w:tr>
        <w:trPr>
          <w:trHeight w:val="33"/>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December 31,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(158,009)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(200,607)</w:t>
            </w: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before-tax amount, income tax (provision) benefit, and net-of-tax amount related to each component of other comprehensive income (loss) during the reporting periods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(74,219)</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8,953</w:t>
            </w:r>
          </w:p>
        </w:tc>
        <w:tc>
          <w:tcPr>
            <w:tcW w:w="0" w:type="dxa"/>
            <w:vAlign w:val="bottom"/>
          </w:tcPr>
          <w:p>
            <w:pPr>
              <w:spacing w:after="0"/>
              <w:rPr>
                <w:sz w:val="1"/>
                <w:szCs w:val="1"/>
                <w:color w:val="auto"/>
              </w:rPr>
            </w:pP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 reclassified into net income on disposal</w:t>
            </w:r>
          </w:p>
        </w:tc>
        <w:tc>
          <w:tcPr>
            <w:tcW w:w="1060" w:type="dxa"/>
            <w:vAlign w:val="bottom"/>
          </w:tcPr>
          <w:p>
            <w:pPr>
              <w:spacing w:after="0"/>
              <w:rPr>
                <w:sz w:val="20"/>
                <w:szCs w:val="20"/>
                <w:color w:val="auto"/>
              </w:rPr>
            </w:pPr>
          </w:p>
        </w:tc>
        <w:tc>
          <w:tcPr>
            <w:tcW w:w="660" w:type="dxa"/>
            <w:vAlign w:val="bottom"/>
          </w:tcPr>
          <w:p>
            <w:pPr>
              <w:jc w:val="right"/>
              <w:ind w:right="38"/>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8"/>
              </w:rPr>
              <w:t>Net unrealized gain (loss) on derivative instruments designated as cash flow hedges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 (loss)</w:t>
            </w:r>
          </w:p>
        </w:tc>
        <w:tc>
          <w:tcPr>
            <w:tcW w:w="1060" w:type="dxa"/>
            <w:vAlign w:val="bottom"/>
          </w:tcPr>
          <w:p>
            <w:pPr>
              <w:spacing w:after="0"/>
              <w:rPr>
                <w:sz w:val="20"/>
                <w:szCs w:val="20"/>
                <w:color w:val="auto"/>
              </w:rPr>
            </w:pPr>
          </w:p>
        </w:tc>
        <w:tc>
          <w:tcPr>
            <w:tcW w:w="660" w:type="dxa"/>
            <w:vAlign w:val="bottom"/>
          </w:tcPr>
          <w:p>
            <w:pPr>
              <w:jc w:val="right"/>
              <w:ind w:right="38"/>
              <w:spacing w:after="0"/>
              <w:rPr>
                <w:sz w:val="20"/>
                <w:szCs w:val="20"/>
                <w:color w:val="auto"/>
              </w:rPr>
            </w:pPr>
            <w:r>
              <w:rPr>
                <w:rFonts w:ascii="Arial" w:cs="Arial" w:eastAsia="Arial" w:hAnsi="Arial"/>
                <w:sz w:val="16"/>
                <w:szCs w:val="16"/>
                <w:color w:val="auto"/>
              </w:rPr>
              <w:t>1,639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8,971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(25,270)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7,344</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(62,524)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(113,810)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16,991</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1"/>
        </w:trPr>
        <w:tc>
          <w:tcPr>
            <w:tcW w:w="60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 reclassified into net income on disposal</w:t>
            </w:r>
          </w:p>
        </w:tc>
        <w:tc>
          <w:tcPr>
            <w:tcW w:w="1060" w:type="dxa"/>
            <w:vAlign w:val="bottom"/>
          </w:tcPr>
          <w:p>
            <w:pPr>
              <w:spacing w:after="0"/>
              <w:rPr>
                <w:sz w:val="21"/>
                <w:szCs w:val="21"/>
                <w:color w:val="auto"/>
              </w:rPr>
            </w:pPr>
          </w:p>
        </w:tc>
        <w:tc>
          <w:tcPr>
            <w:tcW w:w="6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8"/>
              </w:rPr>
              <w:t>Net unrealized gain (loss) on derivative instruments designated as cash flow hedges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 (loss)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tax (provision) benefit</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(3,502)</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(73,891)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7,939</w:t>
            </w:r>
          </w:p>
        </w:tc>
        <w:tc>
          <w:tcPr>
            <w:tcW w:w="0" w:type="dxa"/>
            <w:vAlign w:val="bottom"/>
          </w:tcPr>
          <w:p>
            <w:pPr>
              <w:spacing w:after="0"/>
              <w:rPr>
                <w:sz w:val="1"/>
                <w:szCs w:val="1"/>
                <w:color w:val="auto"/>
              </w:rPr>
            </w:pP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 reclassified into net income on disposal</w:t>
            </w:r>
          </w:p>
        </w:tc>
        <w:tc>
          <w:tcPr>
            <w:tcW w:w="1060" w:type="dxa"/>
            <w:vAlign w:val="bottom"/>
          </w:tcPr>
          <w:p>
            <w:pPr>
              <w:spacing w:after="0"/>
              <w:rPr>
                <w:sz w:val="20"/>
                <w:szCs w:val="20"/>
                <w:color w:val="auto"/>
              </w:rPr>
            </w:pPr>
          </w:p>
        </w:tc>
        <w:tc>
          <w:tcPr>
            <w:tcW w:w="660" w:type="dxa"/>
            <w:vAlign w:val="bottom"/>
          </w:tcPr>
          <w:p>
            <w:pPr>
              <w:jc w:val="right"/>
              <w:ind w:right="38"/>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8"/>
              </w:rPr>
              <w:t>Net unrealized gain (loss) on derivative instruments designated as cash flow hedges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 (loss)</w:t>
            </w:r>
          </w:p>
        </w:tc>
        <w:tc>
          <w:tcPr>
            <w:tcW w:w="1060" w:type="dxa"/>
            <w:vAlign w:val="bottom"/>
          </w:tcPr>
          <w:p>
            <w:pPr>
              <w:spacing w:after="0"/>
              <w:rPr>
                <w:sz w:val="20"/>
                <w:szCs w:val="20"/>
                <w:color w:val="auto"/>
              </w:rPr>
            </w:pPr>
          </w:p>
        </w:tc>
        <w:tc>
          <w:tcPr>
            <w:tcW w:w="660" w:type="dxa"/>
            <w:vAlign w:val="bottom"/>
          </w:tcPr>
          <w:p>
            <w:pPr>
              <w:jc w:val="right"/>
              <w:ind w:right="38"/>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6,296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(24,947)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5,117</w:t>
            </w:r>
          </w:p>
        </w:tc>
        <w:tc>
          <w:tcPr>
            <w:tcW w:w="0" w:type="dxa"/>
            <w:vAlign w:val="bottom"/>
          </w:tcPr>
          <w:p>
            <w:pPr>
              <w:spacing w:after="0"/>
              <w:rPr>
                <w:sz w:val="1"/>
                <w:szCs w:val="1"/>
                <w:color w:val="auto"/>
              </w:rPr>
            </w:pP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(65,547)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(113,756)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13,489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Details about the AOCI components reclassified to the Consolidated Statements of Operations during the reporting periods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7"/>
          </w:tcPr>
          <w:p>
            <w:pPr>
              <w:jc w:val="center"/>
              <w:ind w:left="19"/>
              <w:spacing w:after="0"/>
              <w:rPr>
                <w:sz w:val="20"/>
                <w:szCs w:val="20"/>
                <w:color w:val="auto"/>
              </w:rPr>
            </w:pPr>
            <w:r>
              <w:rPr>
                <w:rFonts w:ascii="Arial" w:cs="Arial" w:eastAsia="Arial" w:hAnsi="Arial"/>
                <w:sz w:val="16"/>
                <w:szCs w:val="16"/>
                <w:b w:val="1"/>
                <w:bCs w:val="1"/>
                <w:color w:val="auto"/>
                <w:w w:val="92"/>
              </w:rPr>
              <w:t>Amount Reclassified from AOCI</w:t>
            </w:r>
            <w:r>
              <w:rPr>
                <w:rFonts w:ascii="Arial" w:cs="Arial" w:eastAsia="Arial" w:hAnsi="Arial"/>
                <w:sz w:val="21"/>
                <w:szCs w:val="21"/>
                <w:b w:val="1"/>
                <w:bCs w:val="1"/>
                <w:color w:val="auto"/>
                <w:w w:val="92"/>
                <w:vertAlign w:val="superscript"/>
              </w:rPr>
              <w:t>(1)</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Arial" w:cs="Arial" w:eastAsia="Arial" w:hAnsi="Arial"/>
                <w:sz w:val="16"/>
                <w:szCs w:val="16"/>
                <w:b w:val="1"/>
                <w:bCs w:val="1"/>
                <w:color w:val="auto"/>
                <w:w w:val="94"/>
              </w:rPr>
              <w:t>Affected Line Item in the Income</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40" w:type="dxa"/>
            <w:vAlign w:val="bottom"/>
            <w:gridSpan w:val="6"/>
          </w:tcPr>
          <w:p>
            <w:pPr>
              <w:jc w:val="center"/>
              <w:ind w:right="319"/>
              <w:spacing w:after="0"/>
              <w:rPr>
                <w:sz w:val="20"/>
                <w:szCs w:val="20"/>
                <w:color w:val="auto"/>
              </w:rPr>
            </w:pPr>
            <w:r>
              <w:rPr>
                <w:rFonts w:ascii="Arial" w:cs="Arial" w:eastAsia="Arial" w:hAnsi="Arial"/>
                <w:sz w:val="16"/>
                <w:szCs w:val="16"/>
                <w:b w:val="1"/>
                <w:bCs w:val="1"/>
                <w:color w:val="auto"/>
                <w:w w:val="91"/>
              </w:rPr>
              <w:t>Year Ended December 31,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ind w:left="860"/>
              <w:spacing w:after="0"/>
              <w:rPr>
                <w:sz w:val="20"/>
                <w:szCs w:val="20"/>
                <w:color w:val="auto"/>
              </w:rPr>
            </w:pPr>
            <w:r>
              <w:rPr>
                <w:rFonts w:ascii="Arial" w:cs="Arial" w:eastAsia="Arial" w:hAnsi="Arial"/>
                <w:sz w:val="16"/>
                <w:szCs w:val="16"/>
                <w:b w:val="1"/>
                <w:bCs w:val="1"/>
                <w:color w:val="auto"/>
              </w:rPr>
              <w:t>Statement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thousands)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Amortization of defined benefit pension items</w:t>
            </w: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24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Prior-service costs</w:t>
            </w:r>
          </w:p>
        </w:tc>
        <w:tc>
          <w:tcPr>
            <w:tcW w:w="940" w:type="dxa"/>
            <w:vAlign w:val="bottom"/>
            <w:vMerge w:val="restart"/>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3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5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83"/>
        </w:trPr>
        <w:tc>
          <w:tcPr>
            <w:tcW w:w="4240" w:type="dxa"/>
            <w:vAlign w:val="bottom"/>
            <w:tcBorders>
              <w:bottom w:val="single" w:sz="8" w:color="CCEEFF"/>
            </w:tcBorders>
            <w:vMerge w:val="continue"/>
            <w:shd w:val="clear" w:color="auto" w:fill="CCEEFF"/>
          </w:tcPr>
          <w:p>
            <w:pPr>
              <w:spacing w:after="0"/>
              <w:rPr>
                <w:sz w:val="7"/>
                <w:szCs w:val="7"/>
                <w:color w:val="auto"/>
              </w:rPr>
            </w:pPr>
          </w:p>
        </w:tc>
        <w:tc>
          <w:tcPr>
            <w:tcW w:w="940" w:type="dxa"/>
            <w:vAlign w:val="bottom"/>
            <w:tcBorders>
              <w:bottom w:val="single" w:sz="8" w:color="CCEEFF"/>
            </w:tcBorders>
            <w:vMerge w:val="continue"/>
            <w:shd w:val="clear" w:color="auto" w:fill="CCEEFF"/>
          </w:tcPr>
          <w:p>
            <w:pPr>
              <w:spacing w:after="0"/>
              <w:rPr>
                <w:sz w:val="7"/>
                <w:szCs w:val="7"/>
                <w:color w:val="auto"/>
              </w:rPr>
            </w:pPr>
          </w:p>
        </w:tc>
        <w:tc>
          <w:tcPr>
            <w:tcW w:w="500" w:type="dxa"/>
            <w:vAlign w:val="bottom"/>
            <w:tcBorders>
              <w:bottom w:val="single" w:sz="8" w:color="CCEEFF"/>
            </w:tcBorders>
            <w:vMerge w:val="continue"/>
            <w:shd w:val="clear" w:color="auto" w:fill="CCEEFF"/>
          </w:tcPr>
          <w:p>
            <w:pPr>
              <w:spacing w:after="0"/>
              <w:rPr>
                <w:sz w:val="7"/>
                <w:szCs w:val="7"/>
                <w:color w:val="auto"/>
              </w:rPr>
            </w:pPr>
          </w:p>
        </w:tc>
        <w:tc>
          <w:tcPr>
            <w:tcW w:w="360" w:type="dxa"/>
            <w:vAlign w:val="bottom"/>
            <w:tcBorders>
              <w:bottom w:val="single" w:sz="8" w:color="CCEEFF"/>
            </w:tcBorders>
            <w:gridSpan w:val="3"/>
            <w:vMerge w:val="continue"/>
            <w:shd w:val="clear" w:color="auto" w:fill="CCEEFF"/>
          </w:tcPr>
          <w:p>
            <w:pPr>
              <w:spacing w:after="0"/>
              <w:rPr>
                <w:sz w:val="7"/>
                <w:szCs w:val="7"/>
                <w:color w:val="auto"/>
              </w:rPr>
            </w:pPr>
          </w:p>
        </w:tc>
        <w:tc>
          <w:tcPr>
            <w:tcW w:w="13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vMerge w:val="continue"/>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240" w:type="dxa"/>
            <w:vAlign w:val="bottom"/>
            <w:vMerge w:val="restart"/>
          </w:tcPr>
          <w:p>
            <w:pPr>
              <w:ind w:left="200"/>
              <w:spacing w:after="0"/>
              <w:rPr>
                <w:sz w:val="20"/>
                <w:szCs w:val="20"/>
                <w:color w:val="auto"/>
              </w:rPr>
            </w:pPr>
            <w:r>
              <w:rPr>
                <w:rFonts w:ascii="Arial" w:cs="Arial" w:eastAsia="Arial" w:hAnsi="Arial"/>
                <w:sz w:val="16"/>
                <w:szCs w:val="16"/>
                <w:color w:val="auto"/>
              </w:rPr>
              <w:t>Actuarial losses</w:t>
            </w:r>
          </w:p>
        </w:tc>
        <w:tc>
          <w:tcPr>
            <w:tcW w:w="9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w w:val="94"/>
              </w:rPr>
              <w:t>(1,979)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(926)</w:t>
            </w:r>
          </w:p>
        </w:tc>
        <w:tc>
          <w:tcPr>
            <w:tcW w:w="2500" w:type="dxa"/>
            <w:vAlign w:val="bottom"/>
            <w:gridSpan w:val="2"/>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0"/>
        </w:trPr>
        <w:tc>
          <w:tcPr>
            <w:tcW w:w="424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24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Loss on settlement</w:t>
            </w:r>
          </w:p>
        </w:tc>
        <w:tc>
          <w:tcPr>
            <w:tcW w:w="94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25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83"/>
        </w:trPr>
        <w:tc>
          <w:tcPr>
            <w:tcW w:w="4240" w:type="dxa"/>
            <w:vAlign w:val="bottom"/>
            <w:tcBorders>
              <w:bottom w:val="single" w:sz="8" w:color="CCEEFF"/>
            </w:tcBorders>
            <w:vMerge w:val="continue"/>
            <w:shd w:val="clear" w:color="auto" w:fill="CCEEFF"/>
          </w:tcPr>
          <w:p>
            <w:pPr>
              <w:spacing w:after="0"/>
              <w:rPr>
                <w:sz w:val="7"/>
                <w:szCs w:val="7"/>
                <w:color w:val="auto"/>
              </w:rPr>
            </w:pPr>
          </w:p>
        </w:tc>
        <w:tc>
          <w:tcPr>
            <w:tcW w:w="94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vMerge w:val="continue"/>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3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240" w:type="dxa"/>
            <w:vAlign w:val="bottom"/>
            <w:vMerge w:val="restart"/>
          </w:tcPr>
          <w:p>
            <w:pPr>
              <w:ind w:left="20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(658)</w:t>
            </w:r>
          </w:p>
        </w:tc>
        <w:tc>
          <w:tcPr>
            <w:tcW w:w="2500" w:type="dxa"/>
            <w:vAlign w:val="bottom"/>
            <w:gridSpan w:val="2"/>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0"/>
        </w:trPr>
        <w:tc>
          <w:tcPr>
            <w:tcW w:w="424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jc w:val="center"/>
              <w:ind w:right="2379"/>
              <w:spacing w:after="0"/>
              <w:rPr>
                <w:sz w:val="20"/>
                <w:szCs w:val="20"/>
                <w:color w:val="auto"/>
              </w:rPr>
            </w:pPr>
            <w:r>
              <w:rPr>
                <w:rFonts w:ascii="Arial" w:cs="Arial" w:eastAsia="Arial" w:hAnsi="Arial"/>
                <w:sz w:val="16"/>
                <w:szCs w:val="16"/>
                <w:color w:val="auto"/>
                <w:w w:val="91"/>
              </w:rPr>
              <w:t>Total, before tax</w:t>
            </w: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(2,459)</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(1,979)</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237"/>
        </w:trPr>
        <w:tc>
          <w:tcPr>
            <w:tcW w:w="4240" w:type="dxa"/>
            <w:vAlign w:val="bottom"/>
          </w:tcPr>
          <w:p>
            <w:pPr>
              <w:jc w:val="center"/>
              <w:ind w:right="2379"/>
              <w:spacing w:after="0"/>
              <w:rPr>
                <w:sz w:val="20"/>
                <w:szCs w:val="20"/>
                <w:color w:val="auto"/>
              </w:rPr>
            </w:pPr>
            <w:r>
              <w:rPr>
                <w:rFonts w:ascii="Arial" w:cs="Arial" w:eastAsia="Arial" w:hAnsi="Arial"/>
                <w:sz w:val="16"/>
                <w:szCs w:val="16"/>
                <w:color w:val="auto"/>
                <w:w w:val="93"/>
              </w:rPr>
              <w:t>Tax benefit</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733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Income tax provision</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jc w:val="center"/>
              <w:ind w:right="2419"/>
              <w:spacing w:after="0"/>
              <w:rPr>
                <w:sz w:val="20"/>
                <w:szCs w:val="20"/>
                <w:color w:val="auto"/>
              </w:rPr>
            </w:pPr>
            <w:r>
              <w:rPr>
                <w:rFonts w:ascii="Arial" w:cs="Arial" w:eastAsia="Arial" w:hAnsi="Arial"/>
                <w:sz w:val="16"/>
                <w:szCs w:val="16"/>
                <w:color w:val="auto"/>
                <w:w w:val="92"/>
              </w:rPr>
              <w:t>Total, net of tax</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(1,726)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reclassifications for the period, net of tax</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(1,726)</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Amounts in parenthesis indicate debits to the Consolidated Statements of Operations.</w:t>
      </w:r>
    </w:p>
    <w:p>
      <w:pPr>
        <w:ind w:left="340" w:hanging="332"/>
        <w:spacing w:after="0" w:line="182" w:lineRule="auto"/>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These AOCI components are included in the computation of net periodic pension cost. Refer to Note 8 for additional details.</w:t>
      </w:r>
    </w:p>
    <w:p>
      <w:pPr>
        <w:sectPr>
          <w:pgSz w:w="11900" w:h="16838" w:orient="portrait"/>
          <w:cols w:equalWidth="0" w:num="1">
            <w:col w:w="11420"/>
          </w:cols>
          <w:pgMar w:left="240" w:top="125"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Reclassification of amounts related to foreign currency translation adjustment relate to the sale of a small subsidiary and are included in restructuring expense in the Consolidated Statements of Operations for the years ended December 31 2015, 2014, and 2013.</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Refer to Note 8 for additional details related to derivative activities that resulted in reclassification of AOCI to the Consolidated Statements of Operations.</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at December 31, 2015 and 2014 do not reflect subsequent changes in the economy, interest rates, tax rates, and other variables that may affect the determination of fair value.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5"/>
          </w:tcPr>
          <w:p>
            <w:pPr>
              <w:ind w:left="880"/>
              <w:spacing w:after="0"/>
              <w:rPr>
                <w:sz w:val="20"/>
                <w:szCs w:val="20"/>
                <w:color w:val="auto"/>
              </w:rPr>
            </w:pPr>
            <w:r>
              <w:rPr>
                <w:rFonts w:ascii="Arial" w:cs="Arial" w:eastAsia="Arial" w:hAnsi="Arial"/>
                <w:sz w:val="16"/>
                <w:szCs w:val="16"/>
                <w:b w:val="1"/>
                <w:bCs w:val="1"/>
                <w:color w:val="auto"/>
              </w:rPr>
              <w:t>December 31, 2015</w:t>
            </w:r>
          </w:p>
        </w:tc>
        <w:tc>
          <w:tcPr>
            <w:tcW w:w="140" w:type="dxa"/>
            <w:vAlign w:val="bottom"/>
          </w:tcPr>
          <w:p>
            <w:pPr>
              <w:spacing w:after="0"/>
              <w:rPr>
                <w:sz w:val="18"/>
                <w:szCs w:val="18"/>
                <w:color w:val="auto"/>
              </w:rPr>
            </w:pPr>
          </w:p>
        </w:tc>
        <w:tc>
          <w:tcPr>
            <w:tcW w:w="310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December 31, 2014</w:t>
            </w:r>
          </w:p>
        </w:tc>
      </w:tr>
      <w:tr>
        <w:trPr>
          <w:trHeight w:val="33"/>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Carrying Amount</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Carrying Amount</w:t>
            </w:r>
          </w:p>
        </w:tc>
        <w:tc>
          <w:tcPr>
            <w:tcW w:w="260" w:type="dxa"/>
            <w:vAlign w:val="bottom"/>
          </w:tcPr>
          <w:p>
            <w:pPr>
              <w:spacing w:after="0"/>
              <w:rPr>
                <w:sz w:val="20"/>
                <w:szCs w:val="20"/>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gridSpan w:val="5"/>
          </w:tcPr>
          <w:p>
            <w:pPr>
              <w:ind w:left="88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4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131,018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112,371</w:t>
            </w:r>
          </w:p>
        </w:tc>
      </w:tr>
      <w:tr>
        <w:trPr>
          <w:trHeight w:val="237"/>
        </w:trPr>
        <w:tc>
          <w:tcPr>
            <w:tcW w:w="466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1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107</w:t>
            </w: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rate swaps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37"/>
        </w:trPr>
        <w:tc>
          <w:tcPr>
            <w:tcW w:w="4660" w:type="dxa"/>
            <w:vAlign w:val="bottom"/>
          </w:tcPr>
          <w:p>
            <w:pPr>
              <w:ind w:left="380"/>
              <w:spacing w:after="0"/>
              <w:rPr>
                <w:sz w:val="20"/>
                <w:szCs w:val="20"/>
                <w:color w:val="auto"/>
              </w:rPr>
            </w:pPr>
            <w:r>
              <w:rPr>
                <w:rFonts w:ascii="Arial" w:cs="Arial" w:eastAsia="Arial" w:hAnsi="Arial"/>
                <w:sz w:val="16"/>
                <w:szCs w:val="16"/>
                <w:color w:val="auto"/>
              </w:rPr>
              <w:t>Interest rate caps</w:t>
            </w:r>
          </w:p>
        </w:tc>
        <w:tc>
          <w:tcPr>
            <w:tcW w:w="1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4"/>
        </w:trPr>
        <w:tc>
          <w:tcPr>
            <w:tcW w:w="466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4660" w:type="dxa"/>
            <w:vAlign w:val="bottom"/>
          </w:tcPr>
          <w:p>
            <w:pPr>
              <w:ind w:left="620"/>
              <w:spacing w:after="0"/>
              <w:rPr>
                <w:sz w:val="20"/>
                <w:szCs w:val="20"/>
                <w:color w:val="auto"/>
              </w:rPr>
            </w:pPr>
            <w:r>
              <w:rPr>
                <w:rFonts w:ascii="Arial" w:cs="Arial" w:eastAsia="Arial" w:hAnsi="Arial"/>
                <w:sz w:val="16"/>
                <w:szCs w:val="16"/>
                <w:color w:val="auto"/>
              </w:rPr>
              <w:t>USD denominated term loan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219,375</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217,830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232,500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231,645</w:t>
            </w: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151,837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150,570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91,469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91,124</w:t>
            </w:r>
          </w:p>
        </w:tc>
      </w:tr>
      <w:tr>
        <w:trPr>
          <w:trHeight w:val="224"/>
        </w:trPr>
        <w:tc>
          <w:tcPr>
            <w:tcW w:w="466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1,317</w:t>
            </w:r>
          </w:p>
        </w:tc>
      </w:tr>
      <w:tr>
        <w:trPr>
          <w:trHeight w:val="47"/>
        </w:trPr>
        <w:tc>
          <w:tcPr>
            <w:tcW w:w="4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r>
      <w:tr>
        <w:trPr>
          <w:trHeight w:val="47"/>
        </w:trPr>
        <w:tc>
          <w:tcPr>
            <w:tcW w:w="46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 (Level 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revolver are not traded publicly. The fair values,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based upon a hypothetical market participant, are calculated using a discounted cash flow model with Level 2 inputs, including estimates of incremental borrowing rates for debt with similar terms, maturities, and credit profiles. Refer to Note 7 for a further discussion of our debt.</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8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three measures of segment performance: revenue, gross profit (margin), and operating income (margin). Our operating segments have distinct products, and, therefore, intersegment revenues are minimal. Corporate operating expenses, interest income, interest expense, other income (expense), and income tax provision (benefit) are not allocated to the segments nor are included in the measure of segment profit or loss. In addition, we allocate only certain production assets and intangible assets to our operating segments. We do not manage the performance of the segments on a balance sheet basis.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Table of Contents</w:t>
              </w:r>
            </w:hyperlink>
          </w:p>
        </w:tc>
        <w:tc>
          <w:tcPr>
            <w:tcW w:w="2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0"/>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86"/>
              </w:rPr>
              <w:t>Segment Products</w:t>
            </w:r>
          </w:p>
        </w:tc>
        <w:tc>
          <w:tcPr>
            <w:tcW w:w="24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4"/>
        </w:trPr>
        <w:tc>
          <w:tcPr>
            <w:tcW w:w="1400" w:type="dxa"/>
            <w:vAlign w:val="bottom"/>
            <w:gridSpan w:val="2"/>
          </w:tcPr>
          <w:p>
            <w:pPr>
              <w:ind w:left="40"/>
              <w:spacing w:after="0"/>
              <w:rPr>
                <w:sz w:val="20"/>
                <w:szCs w:val="20"/>
                <w:color w:val="auto"/>
              </w:rPr>
            </w:pPr>
            <w:r>
              <w:rPr>
                <w:rFonts w:ascii="Arial" w:cs="Arial" w:eastAsia="Arial" w:hAnsi="Arial"/>
                <w:sz w:val="18"/>
                <w:szCs w:val="18"/>
                <w:i w:val="1"/>
                <w:iCs w:val="1"/>
                <w:color w:val="auto"/>
              </w:rPr>
              <w:t>Electricity</w:t>
            </w:r>
          </w:p>
        </w:tc>
        <w:tc>
          <w:tcPr>
            <w:tcW w:w="10020" w:type="dxa"/>
            <w:vAlign w:val="bottom"/>
            <w:gridSpan w:val="10"/>
          </w:tcPr>
          <w:p>
            <w:pPr>
              <w:ind w:left="20"/>
              <w:spacing w:after="0"/>
              <w:rPr>
                <w:sz w:val="20"/>
                <w:szCs w:val="20"/>
                <w:color w:val="auto"/>
              </w:rPr>
            </w:pPr>
            <w:r>
              <w:rPr>
                <w:rFonts w:ascii="Arial" w:cs="Arial" w:eastAsia="Arial" w:hAnsi="Arial"/>
                <w:sz w:val="18"/>
                <w:szCs w:val="18"/>
                <w:color w:val="auto"/>
                <w:w w:val="91"/>
              </w:rPr>
              <w:t>Standard electricity (electromechanical and electronic) meters; advanced electricity meters and communication modules; smart electricity</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10"/>
          </w:tcPr>
          <w:p>
            <w:pPr>
              <w:ind w:left="20"/>
              <w:spacing w:after="0"/>
              <w:rPr>
                <w:sz w:val="20"/>
                <w:szCs w:val="20"/>
                <w:color w:val="auto"/>
              </w:rPr>
            </w:pPr>
            <w:r>
              <w:rPr>
                <w:rFonts w:ascii="Arial" w:cs="Arial" w:eastAsia="Arial" w:hAnsi="Arial"/>
                <w:sz w:val="18"/>
                <w:szCs w:val="18"/>
                <w:color w:val="auto"/>
                <w:w w:val="94"/>
              </w:rPr>
              <w:t>meters; smart electricity communication modules; prepayment systems, including smart key, keypad, and smart card communication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10"/>
          </w:tcPr>
          <w:p>
            <w:pPr>
              <w:ind w:left="20"/>
              <w:spacing w:after="0"/>
              <w:rPr>
                <w:sz w:val="20"/>
                <w:szCs w:val="20"/>
                <w:color w:val="auto"/>
              </w:rPr>
            </w:pPr>
            <w:r>
              <w:rPr>
                <w:rFonts w:ascii="Arial" w:cs="Arial" w:eastAsia="Arial" w:hAnsi="Arial"/>
                <w:sz w:val="18"/>
                <w:szCs w:val="18"/>
                <w:color w:val="auto"/>
                <w:w w:val="94"/>
              </w:rPr>
              <w:t>technologies; advanced systems, including handheld, mobile, and fixed network collection technologies; smart network technologies;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10"/>
          </w:tcPr>
          <w:p>
            <w:pPr>
              <w:ind w:left="20"/>
              <w:spacing w:after="0"/>
              <w:rPr>
                <w:sz w:val="20"/>
                <w:szCs w:val="20"/>
                <w:color w:val="auto"/>
              </w:rPr>
            </w:pPr>
            <w:r>
              <w:rPr>
                <w:rFonts w:ascii="Arial" w:cs="Arial" w:eastAsia="Arial" w:hAnsi="Arial"/>
                <w:sz w:val="18"/>
                <w:szCs w:val="18"/>
                <w:color w:val="auto"/>
                <w:w w:val="94"/>
              </w:rPr>
              <w:t>meter data management software; knowledge application solutions; installation; implementation; and professional services, including</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consulting, and analysis.</w:t>
            </w:r>
          </w:p>
        </w:tc>
        <w:tc>
          <w:tcPr>
            <w:tcW w:w="2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8"/>
        </w:trPr>
        <w:tc>
          <w:tcPr>
            <w:tcW w:w="1400" w:type="dxa"/>
            <w:vAlign w:val="bottom"/>
            <w:gridSpan w:val="2"/>
          </w:tcPr>
          <w:p>
            <w:pPr>
              <w:ind w:left="40"/>
              <w:spacing w:after="0"/>
              <w:rPr>
                <w:sz w:val="20"/>
                <w:szCs w:val="20"/>
                <w:color w:val="auto"/>
              </w:rPr>
            </w:pPr>
            <w:r>
              <w:rPr>
                <w:rFonts w:ascii="Arial" w:cs="Arial" w:eastAsia="Arial" w:hAnsi="Arial"/>
                <w:sz w:val="18"/>
                <w:szCs w:val="18"/>
                <w:i w:val="1"/>
                <w:iCs w:val="1"/>
                <w:color w:val="auto"/>
              </w:rPr>
              <w:t>Gas</w:t>
            </w:r>
          </w:p>
        </w:tc>
        <w:tc>
          <w:tcPr>
            <w:tcW w:w="2460" w:type="dxa"/>
            <w:vAlign w:val="bottom"/>
          </w:tcPr>
          <w:p>
            <w:pPr>
              <w:ind w:left="20"/>
              <w:spacing w:after="0"/>
              <w:rPr>
                <w:sz w:val="20"/>
                <w:szCs w:val="20"/>
                <w:color w:val="auto"/>
              </w:rPr>
            </w:pPr>
            <w:r>
              <w:rPr>
                <w:rFonts w:ascii="Arial" w:cs="Arial" w:eastAsia="Arial" w:hAnsi="Arial"/>
                <w:sz w:val="18"/>
                <w:szCs w:val="18"/>
                <w:color w:val="auto"/>
                <w:w w:val="94"/>
              </w:rPr>
              <w:t>Standard gas meters; advanced</w:t>
            </w:r>
          </w:p>
        </w:tc>
        <w:tc>
          <w:tcPr>
            <w:tcW w:w="4160" w:type="dxa"/>
            <w:vAlign w:val="bottom"/>
            <w:gridSpan w:val="5"/>
          </w:tcPr>
          <w:p>
            <w:pPr>
              <w:jc w:val="right"/>
              <w:ind w:right="19"/>
              <w:spacing w:after="0"/>
              <w:rPr>
                <w:sz w:val="20"/>
                <w:szCs w:val="20"/>
                <w:color w:val="auto"/>
              </w:rPr>
            </w:pPr>
            <w:r>
              <w:rPr>
                <w:rFonts w:ascii="Arial" w:cs="Arial" w:eastAsia="Arial" w:hAnsi="Arial"/>
                <w:sz w:val="18"/>
                <w:szCs w:val="18"/>
                <w:color w:val="auto"/>
                <w:w w:val="98"/>
              </w:rPr>
              <w:t>gas meters and communication modules; smart gas</w:t>
            </w:r>
          </w:p>
        </w:tc>
        <w:tc>
          <w:tcPr>
            <w:tcW w:w="3400" w:type="dxa"/>
            <w:vAlign w:val="bottom"/>
            <w:gridSpan w:val="4"/>
          </w:tcPr>
          <w:p>
            <w:pPr>
              <w:jc w:val="right"/>
              <w:spacing w:after="0"/>
              <w:rPr>
                <w:sz w:val="20"/>
                <w:szCs w:val="20"/>
                <w:color w:val="auto"/>
              </w:rPr>
            </w:pPr>
            <w:r>
              <w:rPr>
                <w:rFonts w:ascii="Arial" w:cs="Arial" w:eastAsia="Arial" w:hAnsi="Arial"/>
                <w:sz w:val="18"/>
                <w:szCs w:val="18"/>
                <w:color w:val="auto"/>
                <w:w w:val="95"/>
              </w:rPr>
              <w:t>meters; smart gas communication modules;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10"/>
          </w:tcPr>
          <w:p>
            <w:pPr>
              <w:ind w:left="20"/>
              <w:spacing w:after="0"/>
              <w:rPr>
                <w:sz w:val="20"/>
                <w:szCs w:val="20"/>
                <w:color w:val="auto"/>
              </w:rPr>
            </w:pPr>
            <w:r>
              <w:rPr>
                <w:rFonts w:ascii="Arial" w:cs="Arial" w:eastAsia="Arial" w:hAnsi="Arial"/>
                <w:sz w:val="18"/>
                <w:szCs w:val="18"/>
                <w:color w:val="auto"/>
                <w:w w:val="92"/>
              </w:rPr>
              <w:t>prepayment systems, including smart key, keypad, and smart card communication technologies; advanced systems, including handheld,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10"/>
          </w:tcPr>
          <w:p>
            <w:pPr>
              <w:ind w:left="20"/>
              <w:spacing w:after="0"/>
              <w:rPr>
                <w:sz w:val="20"/>
                <w:szCs w:val="20"/>
                <w:color w:val="auto"/>
              </w:rPr>
            </w:pPr>
            <w:r>
              <w:rPr>
                <w:rFonts w:ascii="Arial" w:cs="Arial" w:eastAsia="Arial" w:hAnsi="Arial"/>
                <w:sz w:val="18"/>
                <w:szCs w:val="18"/>
                <w:color w:val="auto"/>
                <w:w w:val="91"/>
              </w:rPr>
              <w:t>mobile, and fixed network collection technologies; smart network technologies; meter data management software; knowledge application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40" w:type="dxa"/>
            <w:vAlign w:val="bottom"/>
            <w:gridSpan w:val="8"/>
          </w:tcPr>
          <w:p>
            <w:pPr>
              <w:ind w:left="20"/>
              <w:spacing w:after="0"/>
              <w:rPr>
                <w:sz w:val="20"/>
                <w:szCs w:val="20"/>
                <w:color w:val="auto"/>
              </w:rPr>
            </w:pPr>
            <w:r>
              <w:rPr>
                <w:rFonts w:ascii="Arial" w:cs="Arial" w:eastAsia="Arial" w:hAnsi="Arial"/>
                <w:sz w:val="18"/>
                <w:szCs w:val="18"/>
                <w:color w:val="auto"/>
              </w:rPr>
              <w:t>solutions installation; implementation; and professional services, including consulting, and analysis.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8"/>
        </w:trPr>
        <w:tc>
          <w:tcPr>
            <w:tcW w:w="1400" w:type="dxa"/>
            <w:vAlign w:val="bottom"/>
            <w:gridSpan w:val="2"/>
          </w:tcPr>
          <w:p>
            <w:pPr>
              <w:ind w:left="40"/>
              <w:spacing w:after="0"/>
              <w:rPr>
                <w:sz w:val="20"/>
                <w:szCs w:val="20"/>
                <w:color w:val="auto"/>
              </w:rPr>
            </w:pPr>
            <w:r>
              <w:rPr>
                <w:rFonts w:ascii="Arial" w:cs="Arial" w:eastAsia="Arial" w:hAnsi="Arial"/>
                <w:sz w:val="18"/>
                <w:szCs w:val="18"/>
                <w:i w:val="1"/>
                <w:iCs w:val="1"/>
                <w:color w:val="auto"/>
              </w:rPr>
              <w:t>Water</w:t>
            </w:r>
          </w:p>
        </w:tc>
        <w:tc>
          <w:tcPr>
            <w:tcW w:w="10020" w:type="dxa"/>
            <w:vAlign w:val="bottom"/>
            <w:gridSpan w:val="10"/>
          </w:tcPr>
          <w:p>
            <w:pPr>
              <w:ind w:left="20"/>
              <w:spacing w:after="0"/>
              <w:rPr>
                <w:sz w:val="20"/>
                <w:szCs w:val="20"/>
                <w:color w:val="auto"/>
              </w:rPr>
            </w:pPr>
            <w:r>
              <w:rPr>
                <w:rFonts w:ascii="Arial" w:cs="Arial" w:eastAsia="Arial" w:hAnsi="Arial"/>
                <w:sz w:val="18"/>
                <w:szCs w:val="18"/>
                <w:color w:val="auto"/>
                <w:w w:val="91"/>
              </w:rPr>
              <w:t>Standard water and heat meters; advanced and smart water meters and communication modules; advanced systems including handheld,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10"/>
          </w:tcPr>
          <w:p>
            <w:pPr>
              <w:ind w:left="20"/>
              <w:spacing w:after="0"/>
              <w:rPr>
                <w:sz w:val="20"/>
                <w:szCs w:val="20"/>
                <w:color w:val="auto"/>
              </w:rPr>
            </w:pPr>
            <w:r>
              <w:rPr>
                <w:rFonts w:ascii="Arial" w:cs="Arial" w:eastAsia="Arial" w:hAnsi="Arial"/>
                <w:sz w:val="18"/>
                <w:szCs w:val="18"/>
                <w:color w:val="auto"/>
                <w:w w:val="96"/>
              </w:rPr>
              <w:t>mobile, and fixed network collection technologies; meter data management software; knowledge application solutions; installation;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80" w:type="dxa"/>
            <w:vAlign w:val="bottom"/>
            <w:gridSpan w:val="4"/>
          </w:tcPr>
          <w:p>
            <w:pPr>
              <w:ind w:left="20"/>
              <w:spacing w:after="0"/>
              <w:rPr>
                <w:sz w:val="20"/>
                <w:szCs w:val="20"/>
                <w:color w:val="auto"/>
              </w:rPr>
            </w:pPr>
            <w:r>
              <w:rPr>
                <w:rFonts w:ascii="Arial" w:cs="Arial" w:eastAsia="Arial" w:hAnsi="Arial"/>
                <w:sz w:val="18"/>
                <w:szCs w:val="18"/>
                <w:color w:val="auto"/>
              </w:rPr>
              <w:t>implementation; and professional services, including consulting, and analysis.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9"/>
        </w:trPr>
        <w:tc>
          <w:tcPr>
            <w:tcW w:w="6700" w:type="dxa"/>
            <w:vAlign w:val="bottom"/>
            <w:gridSpan w:val="5"/>
          </w:tcPr>
          <w:p>
            <w:pPr>
              <w:spacing w:after="0"/>
              <w:rPr>
                <w:sz w:val="20"/>
                <w:szCs w:val="20"/>
                <w:color w:val="auto"/>
              </w:rPr>
            </w:pPr>
            <w:r>
              <w:rPr>
                <w:rFonts w:ascii="Arial" w:cs="Arial" w:eastAsia="Arial" w:hAnsi="Arial"/>
                <w:sz w:val="18"/>
                <w:szCs w:val="18"/>
                <w:color w:val="auto"/>
                <w:w w:val="90"/>
              </w:rPr>
              <w:t>Revenues, gross profit, and operating income associated with our segments were as follows: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75"/>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center"/>
              <w:ind w:right="38"/>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Revenues</w:t>
            </w:r>
          </w:p>
        </w:tc>
        <w:tc>
          <w:tcPr>
            <w:tcW w:w="24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2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820,306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771,857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825,391</w:t>
            </w:r>
          </w:p>
        </w:tc>
      </w:tr>
      <w:tr>
        <w:trPr>
          <w:trHeight w:val="237"/>
        </w:trPr>
        <w:tc>
          <w:tcPr>
            <w:tcW w:w="1400" w:type="dxa"/>
            <w:vAlign w:val="bottom"/>
            <w:gridSpan w:val="2"/>
          </w:tcPr>
          <w:p>
            <w:pPr>
              <w:ind w:left="380"/>
              <w:spacing w:after="0"/>
              <w:rPr>
                <w:sz w:val="20"/>
                <w:szCs w:val="20"/>
                <w:color w:val="auto"/>
              </w:rPr>
            </w:pPr>
            <w:r>
              <w:rPr>
                <w:rFonts w:ascii="Arial" w:cs="Arial" w:eastAsia="Arial" w:hAnsi="Arial"/>
                <w:sz w:val="16"/>
                <w:szCs w:val="16"/>
                <w:color w:val="auto"/>
              </w:rPr>
              <w:t>Gas</w:t>
            </w:r>
          </w:p>
        </w:tc>
        <w:tc>
          <w:tcPr>
            <w:tcW w:w="2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543,805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18"/>
              <w:spacing w:after="0"/>
              <w:rPr>
                <w:sz w:val="20"/>
                <w:szCs w:val="20"/>
                <w:color w:val="auto"/>
              </w:rPr>
            </w:pPr>
            <w:r>
              <w:rPr>
                <w:rFonts w:ascii="Arial" w:cs="Arial" w:eastAsia="Arial" w:hAnsi="Arial"/>
                <w:sz w:val="16"/>
                <w:szCs w:val="16"/>
                <w:color w:val="auto"/>
              </w:rPr>
              <w:t>599,091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570,450</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246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519,422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576,668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542,184</w:t>
            </w:r>
          </w:p>
        </w:tc>
      </w:tr>
      <w:tr>
        <w:trPr>
          <w:trHeight w:val="217"/>
        </w:trPr>
        <w:tc>
          <w:tcPr>
            <w:tcW w:w="3860" w:type="dxa"/>
            <w:vAlign w:val="bottom"/>
            <w:gridSpan w:val="3"/>
          </w:tcPr>
          <w:p>
            <w:pPr>
              <w:ind w:left="720"/>
              <w:spacing w:after="0"/>
              <w:rPr>
                <w:sz w:val="20"/>
                <w:szCs w:val="20"/>
                <w:color w:val="auto"/>
              </w:rPr>
            </w:pPr>
            <w:r>
              <w:rPr>
                <w:rFonts w:ascii="Arial" w:cs="Arial" w:eastAsia="Arial" w:hAnsi="Arial"/>
                <w:sz w:val="16"/>
                <w:szCs w:val="16"/>
                <w:color w:val="auto"/>
              </w:rPr>
              <w:t>Total Company</w:t>
            </w:r>
          </w:p>
        </w:tc>
        <w:tc>
          <w:tcPr>
            <w:tcW w:w="2200" w:type="dxa"/>
            <w:vAlign w:val="bottom"/>
          </w:tcPr>
          <w:p>
            <w:pPr>
              <w:spacing w:after="0"/>
              <w:rPr>
                <w:sz w:val="18"/>
                <w:szCs w:val="18"/>
                <w:color w:val="auto"/>
              </w:rPr>
            </w:pP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1,883,533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1,947,616</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1,938,025</w:t>
            </w:r>
          </w:p>
        </w:tc>
      </w:tr>
      <w:tr>
        <w:trPr>
          <w:trHeight w:val="73"/>
        </w:trPr>
        <w:tc>
          <w:tcPr>
            <w:tcW w:w="12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60" w:type="dxa"/>
            <w:vAlign w:val="bottom"/>
            <w:tcBorders>
              <w:bottom w:val="single" w:sz="8" w:color="CCEEFF"/>
            </w:tcBorders>
          </w:tcPr>
          <w:p>
            <w:pPr>
              <w:spacing w:after="0"/>
              <w:rPr>
                <w:sz w:val="6"/>
                <w:szCs w:val="6"/>
                <w:color w:val="auto"/>
              </w:rPr>
            </w:pPr>
          </w:p>
        </w:tc>
        <w:tc>
          <w:tcPr>
            <w:tcW w:w="22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Gross profit</w:t>
            </w:r>
          </w:p>
        </w:tc>
        <w:tc>
          <w:tcPr>
            <w:tcW w:w="2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2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225,446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200,249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219,852</w:t>
            </w:r>
          </w:p>
        </w:tc>
      </w:tr>
      <w:tr>
        <w:trPr>
          <w:trHeight w:val="237"/>
        </w:trPr>
        <w:tc>
          <w:tcPr>
            <w:tcW w:w="1400" w:type="dxa"/>
            <w:vAlign w:val="bottom"/>
            <w:gridSpan w:val="2"/>
          </w:tcPr>
          <w:p>
            <w:pPr>
              <w:ind w:left="380"/>
              <w:spacing w:after="0"/>
              <w:rPr>
                <w:sz w:val="20"/>
                <w:szCs w:val="20"/>
                <w:color w:val="auto"/>
              </w:rPr>
            </w:pPr>
            <w:r>
              <w:rPr>
                <w:rFonts w:ascii="Arial" w:cs="Arial" w:eastAsia="Arial" w:hAnsi="Arial"/>
                <w:sz w:val="16"/>
                <w:szCs w:val="16"/>
                <w:color w:val="auto"/>
              </w:rPr>
              <w:t>Gas</w:t>
            </w:r>
          </w:p>
        </w:tc>
        <w:tc>
          <w:tcPr>
            <w:tcW w:w="2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185,559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18"/>
              <w:spacing w:after="0"/>
              <w:rPr>
                <w:sz w:val="20"/>
                <w:szCs w:val="20"/>
                <w:color w:val="auto"/>
              </w:rPr>
            </w:pPr>
            <w:r>
              <w:rPr>
                <w:rFonts w:ascii="Arial" w:cs="Arial" w:eastAsia="Arial" w:hAnsi="Arial"/>
                <w:sz w:val="16"/>
                <w:szCs w:val="16"/>
                <w:color w:val="auto"/>
              </w:rPr>
              <w:t>211,623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207,577</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246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145,680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202,178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187,339</w:t>
            </w:r>
          </w:p>
        </w:tc>
      </w:tr>
      <w:tr>
        <w:trPr>
          <w:trHeight w:val="217"/>
        </w:trPr>
        <w:tc>
          <w:tcPr>
            <w:tcW w:w="3860" w:type="dxa"/>
            <w:vAlign w:val="bottom"/>
            <w:gridSpan w:val="3"/>
          </w:tcPr>
          <w:p>
            <w:pPr>
              <w:ind w:left="720"/>
              <w:spacing w:after="0"/>
              <w:rPr>
                <w:sz w:val="20"/>
                <w:szCs w:val="20"/>
                <w:color w:val="auto"/>
              </w:rPr>
            </w:pPr>
            <w:r>
              <w:rPr>
                <w:rFonts w:ascii="Arial" w:cs="Arial" w:eastAsia="Arial" w:hAnsi="Arial"/>
                <w:sz w:val="16"/>
                <w:szCs w:val="16"/>
                <w:color w:val="auto"/>
              </w:rPr>
              <w:t>Total Company</w:t>
            </w:r>
          </w:p>
        </w:tc>
        <w:tc>
          <w:tcPr>
            <w:tcW w:w="2200" w:type="dxa"/>
            <w:vAlign w:val="bottom"/>
          </w:tcPr>
          <w:p>
            <w:pPr>
              <w:spacing w:after="0"/>
              <w:rPr>
                <w:sz w:val="18"/>
                <w:szCs w:val="18"/>
                <w:color w:val="auto"/>
              </w:rPr>
            </w:pP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556,685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614,050</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614,768</w:t>
            </w:r>
          </w:p>
        </w:tc>
      </w:tr>
      <w:tr>
        <w:trPr>
          <w:trHeight w:val="73"/>
        </w:trPr>
        <w:tc>
          <w:tcPr>
            <w:tcW w:w="1280" w:type="dxa"/>
            <w:vAlign w:val="bottom"/>
            <w:tcBorders>
              <w:bottom w:val="single" w:sz="8" w:color="CCEEFF"/>
            </w:tcBorders>
          </w:tcPr>
          <w:p>
            <w:pPr>
              <w:spacing w:after="0"/>
              <w:rPr>
                <w:sz w:val="6"/>
                <w:szCs w:val="6"/>
                <w:color w:val="auto"/>
              </w:rPr>
            </w:pPr>
          </w:p>
        </w:tc>
        <w:tc>
          <w:tcPr>
            <w:tcW w:w="2580" w:type="dxa"/>
            <w:vAlign w:val="bottom"/>
            <w:tcBorders>
              <w:bottom w:val="single" w:sz="8" w:color="CCEEFF"/>
            </w:tcBorders>
            <w:gridSpan w:val="2"/>
          </w:tcPr>
          <w:p>
            <w:pPr>
              <w:spacing w:after="0"/>
              <w:rPr>
                <w:sz w:val="6"/>
                <w:szCs w:val="6"/>
                <w:color w:val="auto"/>
              </w:rPr>
            </w:pPr>
          </w:p>
        </w:tc>
        <w:tc>
          <w:tcPr>
            <w:tcW w:w="22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386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24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31,104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(237,279)</w:t>
            </w:r>
          </w:p>
        </w:tc>
      </w:tr>
      <w:tr>
        <w:trPr>
          <w:trHeight w:val="237"/>
        </w:trPr>
        <w:tc>
          <w:tcPr>
            <w:tcW w:w="1400" w:type="dxa"/>
            <w:vAlign w:val="bottom"/>
            <w:gridSpan w:val="2"/>
          </w:tcPr>
          <w:p>
            <w:pPr>
              <w:ind w:left="380"/>
              <w:spacing w:after="0"/>
              <w:rPr>
                <w:sz w:val="20"/>
                <w:szCs w:val="20"/>
                <w:color w:val="auto"/>
              </w:rPr>
            </w:pPr>
            <w:r>
              <w:rPr>
                <w:rFonts w:ascii="Arial" w:cs="Arial" w:eastAsia="Arial" w:hAnsi="Arial"/>
                <w:sz w:val="16"/>
                <w:szCs w:val="16"/>
                <w:color w:val="auto"/>
              </w:rPr>
              <w:t>Gas</w:t>
            </w:r>
          </w:p>
        </w:tc>
        <w:tc>
          <w:tcPr>
            <w:tcW w:w="2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67,471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18"/>
              <w:spacing w:after="0"/>
              <w:rPr>
                <w:sz w:val="20"/>
                <w:szCs w:val="20"/>
                <w:color w:val="auto"/>
              </w:rPr>
            </w:pPr>
            <w:r>
              <w:rPr>
                <w:rFonts w:ascii="Arial" w:cs="Arial" w:eastAsia="Arial" w:hAnsi="Arial"/>
                <w:sz w:val="16"/>
                <w:szCs w:val="16"/>
                <w:color w:val="auto"/>
              </w:rPr>
              <w:t>76,101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82,176</w:t>
            </w: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2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71,356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62,015</w:t>
            </w:r>
          </w:p>
        </w:tc>
      </w:tr>
      <w:tr>
        <w:trPr>
          <w:trHeight w:val="237"/>
        </w:trPr>
        <w:tc>
          <w:tcPr>
            <w:tcW w:w="3860" w:type="dxa"/>
            <w:vAlign w:val="bottom"/>
            <w:gridSpan w:val="3"/>
          </w:tcPr>
          <w:p>
            <w:pPr>
              <w:ind w:left="380"/>
              <w:spacing w:after="0"/>
              <w:rPr>
                <w:sz w:val="20"/>
                <w:szCs w:val="20"/>
                <w:color w:val="auto"/>
              </w:rPr>
            </w:pPr>
            <w:r>
              <w:rPr>
                <w:rFonts w:ascii="Arial" w:cs="Arial" w:eastAsia="Arial" w:hAnsi="Arial"/>
                <w:sz w:val="16"/>
                <w:szCs w:val="16"/>
                <w:color w:val="auto"/>
              </w:rPr>
              <w:t>Corporate unallocated</w:t>
            </w:r>
          </w:p>
        </w:tc>
        <w:tc>
          <w:tcPr>
            <w:tcW w:w="2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(65,593)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(69,226)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(46,775)</w:t>
            </w:r>
          </w:p>
        </w:tc>
      </w:tr>
      <w:tr>
        <w:trPr>
          <w:trHeight w:val="33"/>
        </w:trPr>
        <w:tc>
          <w:tcPr>
            <w:tcW w:w="12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gridSpan w:val="2"/>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386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2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(139,863)</w:t>
            </w:r>
          </w:p>
        </w:tc>
      </w:tr>
      <w:tr>
        <w:trPr>
          <w:trHeight w:val="237"/>
        </w:trPr>
        <w:tc>
          <w:tcPr>
            <w:tcW w:w="3860" w:type="dxa"/>
            <w:vAlign w:val="bottom"/>
            <w:gridSpan w:val="3"/>
          </w:tcPr>
          <w:p>
            <w:pPr>
              <w:ind w:left="40"/>
              <w:spacing w:after="0"/>
              <w:rPr>
                <w:sz w:val="20"/>
                <w:szCs w:val="20"/>
                <w:color w:val="auto"/>
              </w:rPr>
            </w:pPr>
            <w:r>
              <w:rPr>
                <w:rFonts w:ascii="Arial" w:cs="Arial" w:eastAsia="Arial" w:hAnsi="Arial"/>
                <w:sz w:val="16"/>
                <w:szCs w:val="16"/>
                <w:color w:val="auto"/>
              </w:rPr>
              <w:t>Total other income (expense)</w:t>
            </w:r>
          </w:p>
        </w:tc>
        <w:tc>
          <w:tcPr>
            <w:tcW w:w="2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(18,745)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(13,537)</w:t>
            </w:r>
          </w:p>
        </w:tc>
      </w:tr>
      <w:tr>
        <w:trPr>
          <w:trHeight w:val="33"/>
        </w:trPr>
        <w:tc>
          <w:tcPr>
            <w:tcW w:w="12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gridSpan w:val="2"/>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840" w:type="dxa"/>
            <w:vAlign w:val="bottom"/>
            <w:tcBorders>
              <w:bottom w:val="single" w:sz="8" w:color="CCEEFF"/>
            </w:tcBorders>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37,102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(153,400)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second quarter of 2015, we concluded it was necessary to issue a product replacement notification to customers of our Water segment who had purchased certain communication modules manufactured between July 2013 and December 2014. We determined that a component of the modules was failing prematurely. This resulted in a decrease to gross profit of $29.4 million for the year ended December 31, 2015. After adjusting for the tax impact, this charge resulted in a decrease to basic and diluted earnings per share of $0.47 for the year ended December 31, 2015.</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in our Electricity segment, we revised our estimate of the cost to complete an OpenWay project in North America. This resulted in a decrease to gross profit of $15.9 million, which decreased basic and diluted earnings per share by $0.25 for the year ended December 31, 2014. We previously recorded additional costs on this contract in 2013, which decreased gross profit by $14.5 million and decreased basic and diluted earnings per share by $0.23 for the year ended December 31, 2013. The per share amounts are shown net of tax.</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years ended December 31, 2015, 2014, and 2013, no single customer represented more than 10% of total Company or the Electricity, Gas or Water operating segment revenues.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08"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997,293</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875,796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848,951</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Europe, Middle East, and Africa (EMEA)</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701,301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849,841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849,464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184,939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221,979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239,610</w:t>
            </w:r>
          </w:p>
        </w:tc>
        <w:tc>
          <w:tcPr>
            <w:tcW w:w="0" w:type="dxa"/>
            <w:vAlign w:val="bottom"/>
          </w:tcPr>
          <w:p>
            <w:pPr>
              <w:spacing w:after="0"/>
              <w:rPr>
                <w:sz w:val="1"/>
                <w:szCs w:val="1"/>
                <w:color w:val="auto"/>
              </w:rPr>
            </w:pPr>
          </w:p>
        </w:tc>
      </w:tr>
      <w:tr>
        <w:trPr>
          <w:trHeight w:val="244"/>
        </w:trPr>
        <w:tc>
          <w:tcPr>
            <w:tcW w:w="60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1,883,533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1,947,616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1,938,025</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Property, plant, and equipment, net, by geographic area were as follows:</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At December 31,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72,179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76,130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Outside United States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118,077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131,022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190,256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207,152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9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60" w:type="dxa"/>
            <w:vAlign w:val="bottom"/>
          </w:tcPr>
          <w:p>
            <w:pPr>
              <w:spacing w:after="0"/>
              <w:rPr>
                <w:sz w:val="20"/>
                <w:szCs w:val="20"/>
                <w:color w:val="auto"/>
              </w:rPr>
            </w:pPr>
          </w:p>
        </w:tc>
        <w:tc>
          <w:tcPr>
            <w:tcW w:w="36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3600" w:type="dxa"/>
            <w:vAlign w:val="bottom"/>
            <w:tcBorders>
              <w:bottom w:val="single" w:sz="8" w:color="CCEEFF"/>
            </w:tcBorders>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35,896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46,510</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Gas</w:t>
            </w:r>
          </w:p>
        </w:tc>
        <w:tc>
          <w:tcPr>
            <w:tcW w:w="2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20,288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25,706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27,671</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Water</w:t>
            </w:r>
          </w:p>
        </w:tc>
        <w:tc>
          <w:tcPr>
            <w:tcW w:w="2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19,459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24,818</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Corporate Unallocated</w:t>
            </w:r>
          </w:p>
        </w:tc>
        <w:tc>
          <w:tcPr>
            <w:tcW w:w="2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3600" w:type="dxa"/>
            <w:vAlign w:val="bottom"/>
            <w:tcBorders>
              <w:bottom w:val="single" w:sz="8" w:color="CCEEFF"/>
            </w:tcBorders>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75,993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99,246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177"/>
              <w:spacing w:after="0"/>
              <w:rPr>
                <w:sz w:val="20"/>
                <w:szCs w:val="20"/>
                <w:color w:val="auto"/>
              </w:rPr>
            </w:pPr>
            <w:r>
              <w:rPr>
                <w:rFonts w:ascii="Arial" w:cs="Arial" w:eastAsia="Arial" w:hAnsi="Arial"/>
                <w:sz w:val="18"/>
                <w:szCs w:val="18"/>
                <w:color w:val="auto"/>
              </w:rPr>
              <w:t>95</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Results (Unaudited)</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discussed in greater detail in Note 2 - Revision of Prior Period Financial Statements, we revised our previously issued condensed consolidated financial information for the first three quarters of fiscal 2015 and each of the quarterly periods in the year ended December 31, 2014. The revision resulted from a correction of certain errors relating to timing of revenue and cost recognition associated with contracts involving certain software products that we were unable to demonstrate VSOE of fair value for certain undelivered elements and the determination of whether software was essential to the functionality of certain hardware and certain other errors that were considered immaterial but have now been reflected in the quarterly results.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2015</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Statement of operations data (unaudited):</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Revenues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Gross profit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income (loss) attributable to Itron, Inc.</w:t>
      </w:r>
    </w:p>
    <w:p>
      <w:pPr>
        <w:spacing w:after="0" w:line="3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Earnings (loss) per common share - Basic</w:t>
      </w:r>
      <w:r>
        <w:rPr>
          <w:rFonts w:ascii="Arial" w:cs="Arial" w:eastAsia="Arial" w:hAnsi="Arial"/>
          <w:sz w:val="8"/>
          <w:szCs w:val="8"/>
          <w:color w:val="auto"/>
        </w:rPr>
        <w:t>(1)</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Earnings (loss) per common share - Diluted</w:t>
      </w:r>
      <w:r>
        <w:rPr>
          <w:rFonts w:ascii="Arial" w:cs="Arial" w:eastAsia="Arial" w:hAnsi="Arial"/>
          <w:sz w:val="8"/>
          <w:szCs w:val="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2014</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Statement of operations data (unaudited):</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Revenues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Gross profit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income (loss) attributable to Itron, Inc.</w:t>
      </w:r>
    </w:p>
    <w:p>
      <w:pPr>
        <w:spacing w:after="0" w:line="3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Earnings (loss) per common share - Basic</w:t>
      </w:r>
      <w:r>
        <w:rPr>
          <w:rFonts w:ascii="Arial" w:cs="Arial" w:eastAsia="Arial" w:hAnsi="Arial"/>
          <w:sz w:val="8"/>
          <w:szCs w:val="8"/>
          <w:color w:val="auto"/>
        </w:rPr>
        <w:t>(1)</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Earnings (loss) per common share - Diluted</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First Quarter</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Second Quarter</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Third Quarter</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Fourth Quarter</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 Year</w:t>
            </w:r>
          </w:p>
        </w:tc>
      </w:tr>
      <w:tr>
        <w:trPr>
          <w:trHeight w:val="244"/>
        </w:trPr>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80" w:type="dxa"/>
            <w:vAlign w:val="bottom"/>
            <w:gridSpan w:val="8"/>
          </w:tcPr>
          <w:p>
            <w:pPr>
              <w:ind w:left="960"/>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013"/>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446,746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470,811</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469,528</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496,448</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1,883,533</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138,422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118,554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147,290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152,419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556,685</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5,398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(14,346)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12,640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8,986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12,678</w:t>
            </w:r>
          </w:p>
        </w:tc>
      </w:tr>
      <w:tr>
        <w:trPr>
          <w:trHeight w:val="513"/>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0.14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0.23</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0.33</w:t>
            </w:r>
          </w:p>
        </w:tc>
      </w:tr>
      <w:tr>
        <w:trPr>
          <w:trHeight w:val="27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0.14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0.23</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0.33</w:t>
            </w:r>
          </w:p>
        </w:tc>
      </w:tr>
      <w:tr>
        <w:trPr>
          <w:trHeight w:val="498"/>
        </w:trPr>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44"/>
        </w:trPr>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First Quarter</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Second Quarter</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Third Quarter</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Fourth Quarter</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 Year</w:t>
            </w:r>
          </w:p>
        </w:tc>
      </w:tr>
      <w:tr>
        <w:trPr>
          <w:trHeight w:val="244"/>
        </w:trPr>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80" w:type="dxa"/>
            <w:vAlign w:val="bottom"/>
            <w:gridSpan w:val="8"/>
          </w:tcPr>
          <w:p>
            <w:pPr>
              <w:ind w:left="960"/>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013"/>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472,429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482,314</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482,352</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510,521</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1,947,616</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152,823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160,687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145,299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155,241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614,050</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(1,050)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20,836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3,585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(47,041)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(23,670)</w:t>
            </w:r>
          </w:p>
        </w:tc>
      </w:tr>
      <w:tr>
        <w:trPr>
          <w:trHeight w:val="513"/>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0.53</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(0.60)</w:t>
            </w:r>
          </w:p>
        </w:tc>
      </w:tr>
      <w:tr>
        <w:trPr>
          <w:trHeight w:val="27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0.53</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-3138805</wp:posOffset>
            </wp:positionV>
            <wp:extent cx="721233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-2313940</wp:posOffset>
            </wp:positionH>
            <wp:positionV relativeFrom="paragraph">
              <wp:posOffset>-2795905</wp:posOffset>
            </wp:positionV>
            <wp:extent cx="721233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-2313940</wp:posOffset>
            </wp:positionH>
            <wp:positionV relativeFrom="paragraph">
              <wp:posOffset>-2470150</wp:posOffset>
            </wp:positionV>
            <wp:extent cx="721233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-2313940</wp:posOffset>
            </wp:positionH>
            <wp:positionV relativeFrom="paragraph">
              <wp:posOffset>-1003935</wp:posOffset>
            </wp:positionV>
            <wp:extent cx="721233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-2313940</wp:posOffset>
            </wp:positionH>
            <wp:positionV relativeFrom="paragraph">
              <wp:posOffset>-660400</wp:posOffset>
            </wp:positionV>
            <wp:extent cx="721233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-2313940</wp:posOffset>
            </wp:positionH>
            <wp:positionV relativeFrom="paragraph">
              <wp:posOffset>-334645</wp:posOffset>
            </wp:positionV>
            <wp:extent cx="721233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3040" w:space="640"/>
            <w:col w:w="7740"/>
          </w:cols>
          <w:pgMar w:left="240" w:top="125" w:right="239" w:bottom="1440" w:gutter="0" w:footer="0" w:header="0"/>
          <w:type w:val="continuous"/>
        </w:sectPr>
      </w:pPr>
    </w:p>
    <w:p>
      <w:pPr>
        <w:ind w:left="340" w:hanging="332"/>
        <w:spacing w:after="0" w:line="217" w:lineRule="auto"/>
        <w:tabs>
          <w:tab w:leader="none" w:pos="34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The sum of the quarterly earnings per share data presented in the table may not equal the annual results due to rounding and the impact of dilutive securities on the annual versus the quarterly earnings per share calculations.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2015, management concluded earnings fell below the threshold at which incentive compensation was appropriate. As a result, $13.3 million of previously accrued compensation expense was reversed in the fourth quarter of 2015.</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second quarter of 2015, we concluded it was necessary to issue a product replacement notification to customers of our Water segment who had purchased certain communication modules manufactured between July 2013 and December 2014. We determined that a component of the modules was failing prematurely. As a result, we recognized a warranty charge of $23.6 million during the second quarter of 2015.</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restructuring projects were approved to increase efficiency and lower our cost of manufacturing, for which we incurred costs of $54.4 million in the fourth quarter of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effects of the adjustments made to our previously reported unaudited quarterly financial information for the first three quarters of the years ended December 31, 2015 and 2014: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ind w:left="40"/>
              <w:spacing w:after="0"/>
              <w:rPr>
                <w:sz w:val="20"/>
                <w:szCs w:val="20"/>
                <w:color w:val="auto"/>
              </w:rPr>
            </w:pPr>
            <w:r>
              <w:rPr>
                <w:rFonts w:ascii="Arial" w:cs="Arial" w:eastAsia="Arial" w:hAnsi="Arial"/>
                <w:sz w:val="16"/>
                <w:szCs w:val="16"/>
                <w:i w:val="1"/>
                <w:iCs w:val="1"/>
                <w:color w:val="auto"/>
              </w:rPr>
              <w:t>Statement of operations data (unaudited):</w:t>
            </w:r>
          </w:p>
        </w:tc>
        <w:tc>
          <w:tcPr>
            <w:tcW w:w="600" w:type="dxa"/>
            <w:vAlign w:val="bottom"/>
          </w:tcPr>
          <w:p>
            <w:pPr>
              <w:spacing w:after="0"/>
              <w:rPr>
                <w:sz w:val="18"/>
                <w:szCs w:val="18"/>
                <w:color w:val="auto"/>
              </w:rPr>
            </w:pPr>
          </w:p>
        </w:tc>
        <w:tc>
          <w:tcPr>
            <w:tcW w:w="3460" w:type="dxa"/>
            <w:vAlign w:val="bottom"/>
            <w:gridSpan w:val="6"/>
          </w:tcPr>
          <w:p>
            <w:pPr>
              <w:jc w:val="center"/>
              <w:ind w:left="639"/>
              <w:spacing w:after="0"/>
              <w:rPr>
                <w:sz w:val="20"/>
                <w:szCs w:val="20"/>
                <w:color w:val="auto"/>
              </w:rPr>
            </w:pPr>
            <w:r>
              <w:rPr>
                <w:rFonts w:ascii="Arial" w:cs="Arial" w:eastAsia="Arial" w:hAnsi="Arial"/>
                <w:sz w:val="16"/>
                <w:szCs w:val="16"/>
                <w:b w:val="1"/>
                <w:bCs w:val="1"/>
                <w:color w:val="auto"/>
                <w:w w:val="93"/>
              </w:rPr>
              <w:t>Three Months Ended March 31, 2015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As Previously Reported</w:t>
            </w:r>
          </w:p>
        </w:tc>
        <w:tc>
          <w:tcPr>
            <w:tcW w:w="280" w:type="dxa"/>
            <w:vAlign w:val="bottom"/>
          </w:tcPr>
          <w:p>
            <w:pPr>
              <w:spacing w:after="0"/>
              <w:rPr>
                <w:sz w:val="20"/>
                <w:szCs w:val="20"/>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Adjustments</w:t>
            </w:r>
          </w:p>
        </w:tc>
        <w:tc>
          <w:tcPr>
            <w:tcW w:w="380" w:type="dxa"/>
            <w:vAlign w:val="bottom"/>
          </w:tcPr>
          <w:p>
            <w:pPr>
              <w:spacing w:after="0"/>
              <w:rPr>
                <w:sz w:val="20"/>
                <w:szCs w:val="20"/>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w w:val="95"/>
              </w:rPr>
              <w:t>As Revised</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6"/>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gridSpan w:val="6"/>
          </w:tcPr>
          <w:p>
            <w:pPr>
              <w:jc w:val="center"/>
              <w:ind w:left="639"/>
              <w:spacing w:after="0"/>
              <w:rPr>
                <w:sz w:val="20"/>
                <w:szCs w:val="20"/>
                <w:color w:val="auto"/>
              </w:rPr>
            </w:pPr>
            <w:r>
              <w:rPr>
                <w:rFonts w:ascii="Arial" w:cs="Arial" w:eastAsia="Arial" w:hAnsi="Arial"/>
                <w:sz w:val="16"/>
                <w:szCs w:val="16"/>
                <w:b w:val="1"/>
                <w:bCs w:val="1"/>
                <w:color w:val="auto"/>
                <w:w w:val="89"/>
              </w:rPr>
              <w:t>(in thousands, except per share data)</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448,247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446,746</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revenues</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310,048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308,324</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6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138,199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138,422</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41,027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41,027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Product development</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41,522</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39,585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39,585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business acquisition-related intangible assets</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7,973</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Restructuring expense</w:t>
            </w: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(5,181)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impairment</w:t>
            </w:r>
          </w:p>
        </w:tc>
        <w:tc>
          <w:tcPr>
            <w:tcW w:w="6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6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124,660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124,926</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13,539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13,496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(2,682)</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Other income (expense), net</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other income (expense)</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10,883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Income tax (provision) benefit</w:t>
            </w: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(5,030)</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6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5,365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5,853</w:t>
            </w:r>
          </w:p>
        </w:tc>
        <w:tc>
          <w:tcPr>
            <w:tcW w:w="0" w:type="dxa"/>
            <w:vAlign w:val="bottom"/>
          </w:tcPr>
          <w:p>
            <w:pPr>
              <w:spacing w:after="0"/>
              <w:rPr>
                <w:sz w:val="1"/>
                <w:szCs w:val="1"/>
                <w:color w:val="auto"/>
              </w:rPr>
            </w:pPr>
          </w:p>
        </w:tc>
      </w:tr>
      <w:tr>
        <w:trPr>
          <w:trHeight w:val="237"/>
        </w:trPr>
        <w:tc>
          <w:tcPr>
            <w:tcW w:w="6060" w:type="dxa"/>
            <w:vAlign w:val="bottom"/>
          </w:tcPr>
          <w:p>
            <w:pPr>
              <w:ind w:left="360"/>
              <w:spacing w:after="0"/>
              <w:rPr>
                <w:sz w:val="20"/>
                <w:szCs w:val="20"/>
                <w:color w:val="auto"/>
              </w:rPr>
            </w:pPr>
            <w:r>
              <w:rPr>
                <w:rFonts w:ascii="Arial" w:cs="Arial" w:eastAsia="Arial" w:hAnsi="Arial"/>
                <w:sz w:val="16"/>
                <w:szCs w:val="16"/>
                <w:color w:val="auto"/>
              </w:rPr>
              <w:t>Net income attributable to noncontrolling interests</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 attributable to Itron, Inc.</w:t>
            </w: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5,398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common share - Basic</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Earnings (loss) per common share - Diluted</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0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38,442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38,442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38,758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38,758</w:t>
            </w:r>
          </w:p>
        </w:tc>
        <w:tc>
          <w:tcPr>
            <w:tcW w:w="0" w:type="dxa"/>
            <w:vAlign w:val="bottom"/>
          </w:tcPr>
          <w:p>
            <w:pPr>
              <w:spacing w:after="0"/>
              <w:rPr>
                <w:sz w:val="1"/>
                <w:szCs w:val="1"/>
                <w:color w:val="auto"/>
              </w:rPr>
            </w:pPr>
          </w:p>
        </w:tc>
      </w:tr>
      <w:tr>
        <w:trPr>
          <w:trHeight w:val="33"/>
        </w:trPr>
        <w:tc>
          <w:tcPr>
            <w:tcW w:w="6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980" w:type="dxa"/>
            <w:vAlign w:val="bottom"/>
          </w:tcPr>
          <w:p>
            <w:pPr>
              <w:spacing w:after="0"/>
              <w:rPr>
                <w:sz w:val="20"/>
                <w:szCs w:val="20"/>
                <w:color w:val="auto"/>
              </w:rPr>
            </w:pPr>
            <w:r>
              <w:rPr>
                <w:rFonts w:ascii="Arial" w:cs="Arial" w:eastAsia="Arial" w:hAnsi="Arial"/>
                <w:sz w:val="14"/>
                <w:szCs w:val="14"/>
                <w:i w:val="1"/>
                <w:iCs w:val="1"/>
                <w:color w:val="auto"/>
              </w:rPr>
              <w:t>Statement of operations data (unaudited):</w:t>
            </w:r>
          </w:p>
        </w:tc>
        <w:tc>
          <w:tcPr>
            <w:tcW w:w="3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Three Months Ended June 30, 2015</w:t>
            </w:r>
          </w:p>
        </w:tc>
        <w:tc>
          <w:tcPr>
            <w:tcW w:w="100" w:type="dxa"/>
            <w:vAlign w:val="bottom"/>
            <w:vMerge w:val="restart"/>
          </w:tcPr>
          <w:p>
            <w:pPr>
              <w:spacing w:after="0"/>
              <w:rPr>
                <w:sz w:val="15"/>
                <w:szCs w:val="15"/>
                <w:color w:val="auto"/>
              </w:rPr>
            </w:pPr>
          </w:p>
        </w:tc>
        <w:tc>
          <w:tcPr>
            <w:tcW w:w="3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Six Months Ended June 30, 2015</w:t>
            </w:r>
          </w:p>
        </w:tc>
        <w:tc>
          <w:tcPr>
            <w:tcW w:w="0" w:type="dxa"/>
            <w:vAlign w:val="bottom"/>
          </w:tcPr>
          <w:p>
            <w:pPr>
              <w:spacing w:after="0"/>
              <w:rPr>
                <w:sz w:val="1"/>
                <w:szCs w:val="1"/>
                <w:color w:val="auto"/>
              </w:rPr>
            </w:pPr>
          </w:p>
        </w:tc>
      </w:tr>
      <w:tr>
        <w:trPr>
          <w:trHeight w:val="79"/>
        </w:trPr>
        <w:tc>
          <w:tcPr>
            <w:tcW w:w="3980" w:type="dxa"/>
            <w:vAlign w:val="bottom"/>
          </w:tcPr>
          <w:p>
            <w:pPr>
              <w:spacing w:after="0"/>
              <w:rPr>
                <w:sz w:val="6"/>
                <w:szCs w:val="6"/>
                <w:color w:val="auto"/>
              </w:rPr>
            </w:pPr>
          </w:p>
        </w:tc>
        <w:tc>
          <w:tcPr>
            <w:tcW w:w="3700" w:type="dxa"/>
            <w:vAlign w:val="bottom"/>
            <w:tcBorders>
              <w:bottom w:val="single" w:sz="8" w:color="auto"/>
            </w:tcBorders>
            <w:gridSpan w:val="3"/>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3580" w:type="dxa"/>
            <w:vAlign w:val="bottom"/>
            <w:tcBorders>
              <w:bottom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3980" w:type="dxa"/>
            <w:vAlign w:val="bottom"/>
          </w:tcPr>
          <w:p>
            <w:pPr>
              <w:spacing w:after="0"/>
              <w:rPr>
                <w:sz w:val="13"/>
                <w:szCs w:val="13"/>
                <w:color w:val="auto"/>
              </w:rPr>
            </w:pPr>
          </w:p>
        </w:tc>
        <w:tc>
          <w:tcPr>
            <w:tcW w:w="124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2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As Revised</w:t>
            </w:r>
          </w:p>
        </w:tc>
        <w:tc>
          <w:tcPr>
            <w:tcW w:w="120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12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Reported</w:t>
            </w:r>
          </w:p>
        </w:tc>
        <w:tc>
          <w:tcPr>
            <w:tcW w:w="12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12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960" w:type="dxa"/>
            <w:vAlign w:val="bottom"/>
          </w:tcPr>
          <w:p>
            <w:pPr>
              <w:spacing w:after="0"/>
              <w:rPr>
                <w:sz w:val="20"/>
                <w:szCs w:val="20"/>
                <w:color w:val="auto"/>
              </w:rPr>
            </w:pPr>
            <w:r>
              <w:rPr>
                <w:rFonts w:ascii="Arial" w:cs="Arial" w:eastAsia="Arial" w:hAnsi="Arial"/>
                <w:sz w:val="14"/>
                <w:szCs w:val="14"/>
                <w:color w:val="auto"/>
              </w:rPr>
              <w:t>Revenues</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9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4"/>
                <w:szCs w:val="14"/>
                <w:color w:val="auto"/>
              </w:rPr>
              <w:t>Cost of revenues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0"/>
                <w:szCs w:val="20"/>
                <w:color w:val="auto"/>
              </w:rPr>
            </w:pPr>
            <w:r>
              <w:rPr>
                <w:rFonts w:ascii="Arial" w:cs="Arial" w:eastAsia="Arial" w:hAnsi="Arial"/>
                <w:sz w:val="14"/>
                <w:szCs w:val="14"/>
                <w:color w:val="auto"/>
              </w:rPr>
              <w:t>Gross profit</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960" w:type="dxa"/>
            <w:vAlign w:val="bottom"/>
          </w:tcPr>
          <w:p>
            <w:pPr>
              <w:spacing w:after="0"/>
              <w:rPr>
                <w:sz w:val="20"/>
                <w:szCs w:val="20"/>
                <w:color w:val="auto"/>
              </w:rPr>
            </w:pPr>
            <w:r>
              <w:rPr>
                <w:rFonts w:ascii="Arial" w:cs="Arial" w:eastAsia="Arial" w:hAnsi="Arial"/>
                <w:sz w:val="14"/>
                <w:szCs w:val="14"/>
                <w:color w:val="auto"/>
              </w:rPr>
              <w:t>Operating expenses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360"/>
              <w:spacing w:after="0"/>
              <w:rPr>
                <w:sz w:val="20"/>
                <w:szCs w:val="20"/>
                <w:color w:val="auto"/>
              </w:rPr>
            </w:pPr>
            <w:r>
              <w:rPr>
                <w:rFonts w:ascii="Arial" w:cs="Arial" w:eastAsia="Arial" w:hAnsi="Arial"/>
                <w:sz w:val="14"/>
                <w:szCs w:val="14"/>
                <w:color w:val="auto"/>
              </w:rPr>
              <w:t>Product development</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360"/>
              <w:spacing w:after="0"/>
              <w:rPr>
                <w:sz w:val="20"/>
                <w:szCs w:val="20"/>
                <w:color w:val="auto"/>
              </w:rPr>
            </w:pPr>
            <w:r>
              <w:rPr>
                <w:rFonts w:ascii="Arial" w:cs="Arial" w:eastAsia="Arial" w:hAnsi="Arial"/>
                <w:sz w:val="14"/>
                <w:szCs w:val="14"/>
                <w:color w:val="auto"/>
              </w:rPr>
              <w:t>General and administrative</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Amortization of business acquisition-related intangible assets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Restructuring expense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Goodwill impairment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operating expenses</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 (loss)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Interest income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640" w:type="dxa"/>
            <w:vAlign w:val="bottom"/>
          </w:tcPr>
          <w:p>
            <w:pPr>
              <w:ind w:left="700"/>
              <w:spacing w:after="0"/>
              <w:rPr>
                <w:sz w:val="20"/>
                <w:szCs w:val="20"/>
                <w:color w:val="auto"/>
              </w:rPr>
            </w:pPr>
            <w:r>
              <w:rPr>
                <w:rFonts w:ascii="Arial" w:cs="Arial" w:eastAsia="Arial" w:hAnsi="Arial"/>
                <w:sz w:val="14"/>
                <w:szCs w:val="14"/>
                <w:color w:val="auto"/>
              </w:rPr>
              <w:t>Total other income (expense)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1"/>
        </w:trPr>
        <w:tc>
          <w:tcPr>
            <w:tcW w:w="364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20"/>
              <w:spacing w:after="0"/>
              <w:rPr>
                <w:sz w:val="20"/>
                <w:szCs w:val="20"/>
                <w:color w:val="auto"/>
              </w:rPr>
            </w:pPr>
            <w:r>
              <w:rPr>
                <w:rFonts w:ascii="Arial" w:cs="Arial" w:eastAsia="Arial" w:hAnsi="Arial"/>
                <w:sz w:val="14"/>
                <w:szCs w:val="14"/>
                <w:color w:val="auto"/>
              </w:rPr>
              <w:t>Income tax (provision) benefit</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360"/>
              <w:spacing w:after="0"/>
              <w:rPr>
                <w:sz w:val="20"/>
                <w:szCs w:val="20"/>
                <w:color w:val="auto"/>
              </w:rPr>
            </w:pPr>
            <w:r>
              <w:rPr>
                <w:rFonts w:ascii="Arial" w:cs="Arial" w:eastAsia="Arial" w:hAnsi="Arial"/>
                <w:sz w:val="14"/>
                <w:szCs w:val="14"/>
                <w:color w:val="auto"/>
              </w:rPr>
              <w:t>Net income attributable to noncontrolling interests</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3640" w:type="dxa"/>
            <w:vAlign w:val="bottom"/>
          </w:tcPr>
          <w:p>
            <w:pPr>
              <w:spacing w:after="0"/>
              <w:rPr>
                <w:sz w:val="20"/>
                <w:szCs w:val="20"/>
                <w:color w:val="auto"/>
              </w:rPr>
            </w:pPr>
            <w:r>
              <w:rPr>
                <w:rFonts w:ascii="Arial" w:cs="Arial" w:eastAsia="Arial" w:hAnsi="Arial"/>
                <w:sz w:val="14"/>
                <w:szCs w:val="14"/>
                <w:color w:val="auto"/>
              </w:rPr>
              <w:t>Net income (loss) attributable to Itron, Inc.</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00"/>
        </w:trPr>
        <w:tc>
          <w:tcPr>
            <w:tcW w:w="3640" w:type="dxa"/>
            <w:vAlign w:val="bottom"/>
          </w:tcPr>
          <w:p>
            <w:pPr>
              <w:ind w:left="20"/>
              <w:spacing w:after="0"/>
              <w:rPr>
                <w:sz w:val="20"/>
                <w:szCs w:val="20"/>
                <w:color w:val="auto"/>
              </w:rPr>
            </w:pPr>
            <w:r>
              <w:rPr>
                <w:rFonts w:ascii="Arial" w:cs="Arial" w:eastAsia="Arial" w:hAnsi="Arial"/>
                <w:sz w:val="14"/>
                <w:szCs w:val="14"/>
                <w:color w:val="auto"/>
              </w:rPr>
              <w:t>Earnings (loss) per common share - Basic</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6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4"/>
                <w:szCs w:val="14"/>
                <w:color w:val="auto"/>
              </w:rPr>
              <w:t>Earnings (loss) per common share - Diluted</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6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3"/>
        </w:trPr>
        <w:tc>
          <w:tcPr>
            <w:tcW w:w="36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 Basic</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 Diluted</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470,103</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470,811</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918,350</w:t>
            </w:r>
          </w:p>
        </w:tc>
        <w:tc>
          <w:tcPr>
            <w:tcW w:w="12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(793)</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917,557</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351,532</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352,257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661,580</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660,581</w:t>
            </w:r>
          </w:p>
        </w:tc>
      </w:tr>
      <w:tr>
        <w:trPr>
          <w:trHeight w:val="244"/>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118,571</w:t>
            </w: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118,554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256,770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256,976</w:t>
            </w:r>
          </w:p>
        </w:tc>
      </w:tr>
      <w:tr>
        <w:trPr>
          <w:trHeight w:val="81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43,058</w:t>
            </w:r>
          </w:p>
        </w:tc>
        <w:tc>
          <w:tcPr>
            <w:tcW w:w="4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43,058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84,085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84,085</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43,318</w:t>
            </w:r>
          </w:p>
        </w:tc>
        <w:tc>
          <w:tcPr>
            <w:tcW w:w="4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43,318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84,840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84,840</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32,492</w:t>
            </w:r>
          </w:p>
        </w:tc>
        <w:tc>
          <w:tcPr>
            <w:tcW w:w="4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32,492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72,077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72,077</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7,888</w:t>
            </w:r>
          </w:p>
        </w:tc>
        <w:tc>
          <w:tcPr>
            <w:tcW w:w="4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7,888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15,861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15,861</w:t>
            </w:r>
          </w:p>
        </w:tc>
      </w:tr>
      <w:tr>
        <w:trPr>
          <w:trHeight w:val="270"/>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(4,234)</w:t>
            </w:r>
          </w:p>
        </w:tc>
        <w:tc>
          <w:tcPr>
            <w:tcW w:w="4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(9,681)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(9,415)</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122,522</w:t>
            </w:r>
          </w:p>
        </w:tc>
        <w:tc>
          <w:tcPr>
            <w:tcW w:w="4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122,522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247,182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247,448</w:t>
            </w:r>
          </w:p>
        </w:tc>
      </w:tr>
      <w:tr>
        <w:trPr>
          <w:trHeight w:val="528"/>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(3,951)</w:t>
            </w:r>
          </w:p>
        </w:tc>
        <w:tc>
          <w:tcPr>
            <w:tcW w:w="4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(3,968)</w:t>
            </w: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9,588</w:t>
            </w: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9,528</w:t>
            </w:r>
          </w:p>
        </w:tc>
      </w:tr>
      <w:tr>
        <w:trPr>
          <w:trHeight w:val="54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213</w:t>
            </w: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260</w:t>
            </w:r>
          </w:p>
        </w:tc>
      </w:tr>
      <w:tr>
        <w:trPr>
          <w:trHeight w:val="270"/>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(3,855)</w:t>
            </w:r>
          </w:p>
        </w:tc>
        <w:tc>
          <w:tcPr>
            <w:tcW w:w="4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(6,537)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(6,537)</w:t>
            </w:r>
          </w:p>
        </w:tc>
      </w:tr>
      <w:tr>
        <w:trPr>
          <w:trHeight w:val="276"/>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(1,907)</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(1,884)</w:t>
            </w:r>
          </w:p>
        </w:tc>
      </w:tr>
      <w:tr>
        <w:trPr>
          <w:trHeight w:val="250"/>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(5,549)</w:t>
            </w:r>
          </w:p>
        </w:tc>
        <w:tc>
          <w:tcPr>
            <w:tcW w:w="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(8,160)</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(8,161)</w:t>
            </w:r>
          </w:p>
        </w:tc>
      </w:tr>
      <w:tr>
        <w:trPr>
          <w:trHeight w:val="528"/>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(9,500)</w:t>
            </w: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1,428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1,367</w:t>
            </w:r>
          </w:p>
        </w:tc>
      </w:tr>
      <w:tr>
        <w:trPr>
          <w:trHeight w:val="276"/>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(3,966)</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(9,529)</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(9,128)</w:t>
            </w:r>
          </w:p>
        </w:tc>
      </w:tr>
      <w:tr>
        <w:trPr>
          <w:trHeight w:val="244"/>
        </w:trPr>
        <w:tc>
          <w:tcPr>
            <w:tcW w:w="700" w:type="dxa"/>
            <w:vAlign w:val="bottom"/>
          </w:tcPr>
          <w:p>
            <w:pPr>
              <w:jc w:val="right"/>
              <w:ind w:right="128"/>
              <w:spacing w:after="0"/>
              <w:rPr>
                <w:sz w:val="20"/>
                <w:szCs w:val="20"/>
                <w:color w:val="auto"/>
              </w:rPr>
            </w:pPr>
            <w:r>
              <w:rPr>
                <w:rFonts w:ascii="Arial" w:cs="Arial" w:eastAsia="Arial" w:hAnsi="Arial"/>
                <w:sz w:val="14"/>
                <w:szCs w:val="14"/>
                <w:color w:val="auto"/>
                <w:w w:val="91"/>
              </w:rPr>
              <w:t>(13,466)</w:t>
            </w: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(13,614)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(7,761)</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732</w:t>
            </w:r>
          </w:p>
        </w:tc>
        <w:tc>
          <w:tcPr>
            <w:tcW w:w="4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1,187</w:t>
            </w:r>
          </w:p>
        </w:tc>
      </w:tr>
      <w:tr>
        <w:trPr>
          <w:trHeight w:val="237"/>
        </w:trPr>
        <w:tc>
          <w:tcPr>
            <w:tcW w:w="700" w:type="dxa"/>
            <w:vAlign w:val="bottom"/>
          </w:tcPr>
          <w:p>
            <w:pPr>
              <w:jc w:val="right"/>
              <w:ind w:right="128"/>
              <w:spacing w:after="0"/>
              <w:rPr>
                <w:sz w:val="20"/>
                <w:szCs w:val="20"/>
                <w:color w:val="auto"/>
              </w:rPr>
            </w:pPr>
            <w:r>
              <w:rPr>
                <w:rFonts w:ascii="Arial" w:cs="Arial" w:eastAsia="Arial" w:hAnsi="Arial"/>
                <w:sz w:val="14"/>
                <w:szCs w:val="14"/>
                <w:color w:val="auto"/>
                <w:w w:val="91"/>
              </w:rPr>
              <w:t>(14,198)</w:t>
            </w: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(14,346)</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(9,288)</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(8,948)</w:t>
            </w:r>
          </w:p>
        </w:tc>
      </w:tr>
      <w:tr>
        <w:trPr>
          <w:trHeight w:val="20"/>
        </w:trPr>
        <w:tc>
          <w:tcPr>
            <w:tcW w:w="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07"/>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(0.37)</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(0.23)</w:t>
            </w:r>
          </w:p>
        </w:tc>
      </w:tr>
      <w:tr>
        <w:trPr>
          <w:trHeight w:val="20"/>
        </w:trPr>
        <w:tc>
          <w:tcPr>
            <w:tcW w:w="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0"/>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(0.37)</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(0.24)</w:t>
            </w:r>
          </w:p>
        </w:tc>
        <w:tc>
          <w:tcPr>
            <w:tcW w:w="12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(0.23)</w:t>
            </w:r>
          </w:p>
        </w:tc>
      </w:tr>
      <w:tr>
        <w:trPr>
          <w:trHeight w:val="20"/>
        </w:trPr>
        <w:tc>
          <w:tcPr>
            <w:tcW w:w="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515"/>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38,434</w:t>
            </w:r>
          </w:p>
        </w:tc>
        <w:tc>
          <w:tcPr>
            <w:tcW w:w="4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38,434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38,438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38,438</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38,434</w:t>
            </w:r>
          </w:p>
        </w:tc>
        <w:tc>
          <w:tcPr>
            <w:tcW w:w="4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38,434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38,438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38,438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-4674235</wp:posOffset>
            </wp:positionV>
            <wp:extent cx="722947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-4331335</wp:posOffset>
            </wp:positionV>
            <wp:extent cx="722947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-3987800</wp:posOffset>
            </wp:positionV>
            <wp:extent cx="722947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-3644900</wp:posOffset>
            </wp:positionV>
            <wp:extent cx="7229475" cy="36531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9475" cy="365315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-5017135</wp:posOffset>
            </wp:positionV>
            <wp:extent cx="722947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480"/>
            <w:col w:w="6800"/>
          </w:cols>
          <w:pgMar w:left="240" w:top="125" w:right="259" w:bottom="1440" w:gutter="0" w:footer="0" w:header="0"/>
          <w:type w:val="continuous"/>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00"/>
          </w:cols>
          <w:pgMar w:left="240" w:top="125" w:right="25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980" w:type="dxa"/>
            <w:vAlign w:val="bottom"/>
          </w:tcPr>
          <w:p>
            <w:pPr>
              <w:spacing w:after="0"/>
              <w:rPr>
                <w:sz w:val="20"/>
                <w:szCs w:val="20"/>
                <w:color w:val="auto"/>
              </w:rPr>
            </w:pPr>
            <w:r>
              <w:rPr>
                <w:rFonts w:ascii="Arial" w:cs="Arial" w:eastAsia="Arial" w:hAnsi="Arial"/>
                <w:sz w:val="14"/>
                <w:szCs w:val="14"/>
                <w:i w:val="1"/>
                <w:iCs w:val="1"/>
                <w:color w:val="auto"/>
              </w:rPr>
              <w:t>Statement of operations data (unaudited):</w:t>
            </w:r>
          </w:p>
        </w:tc>
        <w:tc>
          <w:tcPr>
            <w:tcW w:w="3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Three Months Ended September 30, 2015</w:t>
            </w:r>
          </w:p>
        </w:tc>
        <w:tc>
          <w:tcPr>
            <w:tcW w:w="3680" w:type="dxa"/>
            <w:vAlign w:val="bottom"/>
            <w:gridSpan w:val="3"/>
            <w:vMerge w:val="restart"/>
          </w:tcPr>
          <w:p>
            <w:pPr>
              <w:jc w:val="center"/>
              <w:ind w:left="68"/>
              <w:spacing w:after="0"/>
              <w:rPr>
                <w:sz w:val="20"/>
                <w:szCs w:val="20"/>
                <w:color w:val="auto"/>
              </w:rPr>
            </w:pPr>
            <w:r>
              <w:rPr>
                <w:rFonts w:ascii="Arial" w:cs="Arial" w:eastAsia="Arial" w:hAnsi="Arial"/>
                <w:sz w:val="14"/>
                <w:szCs w:val="14"/>
                <w:b w:val="1"/>
                <w:bCs w:val="1"/>
                <w:color w:val="auto"/>
                <w:w w:val="92"/>
              </w:rPr>
              <w:t>Nine Months Ended September 30, 2015</w:t>
            </w:r>
          </w:p>
        </w:tc>
        <w:tc>
          <w:tcPr>
            <w:tcW w:w="0" w:type="dxa"/>
            <w:vAlign w:val="bottom"/>
          </w:tcPr>
          <w:p>
            <w:pPr>
              <w:spacing w:after="0"/>
              <w:rPr>
                <w:sz w:val="1"/>
                <w:szCs w:val="1"/>
                <w:color w:val="auto"/>
              </w:rPr>
            </w:pPr>
          </w:p>
        </w:tc>
      </w:tr>
      <w:tr>
        <w:trPr>
          <w:trHeight w:val="79"/>
        </w:trPr>
        <w:tc>
          <w:tcPr>
            <w:tcW w:w="3980" w:type="dxa"/>
            <w:vAlign w:val="bottom"/>
          </w:tcPr>
          <w:p>
            <w:pPr>
              <w:spacing w:after="0"/>
              <w:rPr>
                <w:sz w:val="6"/>
                <w:szCs w:val="6"/>
                <w:color w:val="auto"/>
              </w:rPr>
            </w:pPr>
          </w:p>
        </w:tc>
        <w:tc>
          <w:tcPr>
            <w:tcW w:w="3700" w:type="dxa"/>
            <w:vAlign w:val="bottom"/>
            <w:tcBorders>
              <w:bottom w:val="single" w:sz="8" w:color="auto"/>
            </w:tcBorders>
            <w:gridSpan w:val="3"/>
            <w:vMerge w:val="continue"/>
          </w:tcPr>
          <w:p>
            <w:pPr>
              <w:spacing w:after="0"/>
              <w:rPr>
                <w:sz w:val="6"/>
                <w:szCs w:val="6"/>
                <w:color w:val="auto"/>
              </w:rPr>
            </w:pPr>
          </w:p>
        </w:tc>
        <w:tc>
          <w:tcPr>
            <w:tcW w:w="3680" w:type="dxa"/>
            <w:vAlign w:val="bottom"/>
            <w:tcBorders>
              <w:bottom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3980" w:type="dxa"/>
            <w:vAlign w:val="bottom"/>
          </w:tcPr>
          <w:p>
            <w:pPr>
              <w:spacing w:after="0"/>
              <w:rPr>
                <w:sz w:val="13"/>
                <w:szCs w:val="13"/>
                <w:color w:val="auto"/>
              </w:rPr>
            </w:pPr>
          </w:p>
        </w:tc>
        <w:tc>
          <w:tcPr>
            <w:tcW w:w="124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1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As Revised</w:t>
            </w: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12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Reported</w:t>
            </w:r>
          </w:p>
        </w:tc>
        <w:tc>
          <w:tcPr>
            <w:tcW w:w="12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12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960" w:type="dxa"/>
            <w:vAlign w:val="bottom"/>
          </w:tcPr>
          <w:p>
            <w:pPr>
              <w:spacing w:after="0"/>
              <w:rPr>
                <w:sz w:val="20"/>
                <w:szCs w:val="20"/>
                <w:color w:val="auto"/>
              </w:rPr>
            </w:pPr>
            <w:r>
              <w:rPr>
                <w:rFonts w:ascii="Arial" w:cs="Arial" w:eastAsia="Arial" w:hAnsi="Arial"/>
                <w:sz w:val="14"/>
                <w:szCs w:val="14"/>
                <w:color w:val="auto"/>
              </w:rPr>
              <w:t>Revenues</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9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4"/>
                <w:szCs w:val="14"/>
                <w:color w:val="auto"/>
              </w:rPr>
              <w:t>Cost of revenues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0"/>
                <w:szCs w:val="20"/>
                <w:color w:val="auto"/>
              </w:rPr>
            </w:pPr>
            <w:r>
              <w:rPr>
                <w:rFonts w:ascii="Arial" w:cs="Arial" w:eastAsia="Arial" w:hAnsi="Arial"/>
                <w:sz w:val="14"/>
                <w:szCs w:val="14"/>
                <w:color w:val="auto"/>
              </w:rPr>
              <w:t>Gross profit</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2960" w:type="dxa"/>
            <w:vAlign w:val="bottom"/>
          </w:tcPr>
          <w:p>
            <w:pPr>
              <w:spacing w:after="0"/>
              <w:rPr>
                <w:sz w:val="20"/>
                <w:szCs w:val="20"/>
                <w:color w:val="auto"/>
              </w:rPr>
            </w:pPr>
            <w:r>
              <w:rPr>
                <w:rFonts w:ascii="Arial" w:cs="Arial" w:eastAsia="Arial" w:hAnsi="Arial"/>
                <w:sz w:val="14"/>
                <w:szCs w:val="14"/>
                <w:color w:val="auto"/>
              </w:rPr>
              <w:t>Operating expenses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360"/>
              <w:spacing w:after="0"/>
              <w:rPr>
                <w:sz w:val="20"/>
                <w:szCs w:val="20"/>
                <w:color w:val="auto"/>
              </w:rPr>
            </w:pPr>
            <w:r>
              <w:rPr>
                <w:rFonts w:ascii="Arial" w:cs="Arial" w:eastAsia="Arial" w:hAnsi="Arial"/>
                <w:sz w:val="14"/>
                <w:szCs w:val="14"/>
                <w:color w:val="auto"/>
              </w:rPr>
              <w:t>Product development</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360"/>
              <w:spacing w:after="0"/>
              <w:rPr>
                <w:sz w:val="20"/>
                <w:szCs w:val="20"/>
                <w:color w:val="auto"/>
              </w:rPr>
            </w:pPr>
            <w:r>
              <w:rPr>
                <w:rFonts w:ascii="Arial" w:cs="Arial" w:eastAsia="Arial" w:hAnsi="Arial"/>
                <w:sz w:val="14"/>
                <w:szCs w:val="14"/>
                <w:color w:val="auto"/>
              </w:rPr>
              <w:t>General and administrative</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Amortization of business acquisition-related intangible assets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Restructuring expense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Goodwill impairment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operating expenses</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 (loss)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Interest income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640" w:type="dxa"/>
            <w:vAlign w:val="bottom"/>
          </w:tcPr>
          <w:p>
            <w:pPr>
              <w:ind w:left="700"/>
              <w:spacing w:after="0"/>
              <w:rPr>
                <w:sz w:val="20"/>
                <w:szCs w:val="20"/>
                <w:color w:val="auto"/>
              </w:rPr>
            </w:pPr>
            <w:r>
              <w:rPr>
                <w:rFonts w:ascii="Arial" w:cs="Arial" w:eastAsia="Arial" w:hAnsi="Arial"/>
                <w:sz w:val="14"/>
                <w:szCs w:val="14"/>
                <w:color w:val="auto"/>
              </w:rPr>
              <w:t>Total other income (expense)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5"/>
        </w:trPr>
        <w:tc>
          <w:tcPr>
            <w:tcW w:w="364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20"/>
              <w:spacing w:after="0"/>
              <w:rPr>
                <w:sz w:val="20"/>
                <w:szCs w:val="20"/>
                <w:color w:val="auto"/>
              </w:rPr>
            </w:pPr>
            <w:r>
              <w:rPr>
                <w:rFonts w:ascii="Arial" w:cs="Arial" w:eastAsia="Arial" w:hAnsi="Arial"/>
                <w:sz w:val="14"/>
                <w:szCs w:val="14"/>
                <w:color w:val="auto"/>
              </w:rPr>
              <w:t>Income tax (provision) benefit</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640" w:type="dxa"/>
            <w:vAlign w:val="bottom"/>
          </w:tcPr>
          <w:p>
            <w:pPr>
              <w:ind w:left="360"/>
              <w:spacing w:after="0"/>
              <w:rPr>
                <w:sz w:val="20"/>
                <w:szCs w:val="20"/>
                <w:color w:val="auto"/>
              </w:rPr>
            </w:pPr>
            <w:r>
              <w:rPr>
                <w:rFonts w:ascii="Arial" w:cs="Arial" w:eastAsia="Arial" w:hAnsi="Arial"/>
                <w:sz w:val="14"/>
                <w:szCs w:val="14"/>
                <w:color w:val="auto"/>
              </w:rPr>
              <w:t>Net income attributable to noncontrolling interests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40" w:type="dxa"/>
            <w:vAlign w:val="bottom"/>
          </w:tcPr>
          <w:p>
            <w:pPr>
              <w:spacing w:after="0"/>
              <w:rPr>
                <w:sz w:val="20"/>
                <w:szCs w:val="20"/>
                <w:color w:val="auto"/>
              </w:rPr>
            </w:pPr>
            <w:r>
              <w:rPr>
                <w:rFonts w:ascii="Arial" w:cs="Arial" w:eastAsia="Arial" w:hAnsi="Arial"/>
                <w:sz w:val="14"/>
                <w:szCs w:val="14"/>
                <w:color w:val="auto"/>
              </w:rPr>
              <w:t>Net income (loss) attributable to Itron, Inc.</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00"/>
        </w:trPr>
        <w:tc>
          <w:tcPr>
            <w:tcW w:w="3640" w:type="dxa"/>
            <w:vAlign w:val="bottom"/>
          </w:tcPr>
          <w:p>
            <w:pPr>
              <w:ind w:left="20"/>
              <w:spacing w:after="0"/>
              <w:rPr>
                <w:sz w:val="20"/>
                <w:szCs w:val="20"/>
                <w:color w:val="auto"/>
              </w:rPr>
            </w:pPr>
            <w:r>
              <w:rPr>
                <w:rFonts w:ascii="Arial" w:cs="Arial" w:eastAsia="Arial" w:hAnsi="Arial"/>
                <w:sz w:val="14"/>
                <w:szCs w:val="14"/>
                <w:color w:val="auto"/>
              </w:rPr>
              <w:t>Earnings (loss) per common share - Basic</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36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4"/>
                <w:szCs w:val="14"/>
                <w:color w:val="auto"/>
              </w:rPr>
              <w:t>Earnings (loss) per common share - Diluted</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36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3"/>
        </w:trPr>
        <w:tc>
          <w:tcPr>
            <w:tcW w:w="36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 Basic</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 Diluted</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469,092</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469,528</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1,387,442</w:t>
            </w:r>
          </w:p>
        </w:tc>
        <w:tc>
          <w:tcPr>
            <w:tcW w:w="12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1,387,085</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322,126</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322,238</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983,706</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982,819</w:t>
            </w:r>
          </w:p>
        </w:tc>
      </w:tr>
      <w:tr>
        <w:trPr>
          <w:trHeight w:val="258"/>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146,966</w:t>
            </w:r>
          </w:p>
        </w:tc>
        <w:tc>
          <w:tcPr>
            <w:tcW w:w="44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147,290</w:t>
            </w:r>
          </w:p>
        </w:tc>
        <w:tc>
          <w:tcPr>
            <w:tcW w:w="3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403,736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404,266</w:t>
            </w:r>
          </w:p>
        </w:tc>
      </w:tr>
      <w:tr>
        <w:trPr>
          <w:trHeight w:val="81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39,217</w:t>
            </w:r>
          </w:p>
        </w:tc>
        <w:tc>
          <w:tcPr>
            <w:tcW w:w="4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39,217</w:t>
            </w:r>
          </w:p>
        </w:tc>
        <w:tc>
          <w:tcPr>
            <w:tcW w:w="34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123,302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123,302</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41,559</w:t>
            </w:r>
          </w:p>
        </w:tc>
        <w:tc>
          <w:tcPr>
            <w:tcW w:w="4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41,559</w:t>
            </w:r>
          </w:p>
        </w:tc>
        <w:tc>
          <w:tcPr>
            <w:tcW w:w="3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126,399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126,399</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31,118</w:t>
            </w:r>
          </w:p>
        </w:tc>
        <w:tc>
          <w:tcPr>
            <w:tcW w:w="4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31,118</w:t>
            </w:r>
          </w:p>
        </w:tc>
        <w:tc>
          <w:tcPr>
            <w:tcW w:w="3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103,195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103,195</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7,869</w:t>
            </w:r>
          </w:p>
        </w:tc>
        <w:tc>
          <w:tcPr>
            <w:tcW w:w="4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7,869</w:t>
            </w:r>
          </w:p>
        </w:tc>
        <w:tc>
          <w:tcPr>
            <w:tcW w:w="3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23,730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23,730</w:t>
            </w:r>
          </w:p>
        </w:tc>
      </w:tr>
      <w:tr>
        <w:trPr>
          <w:trHeight w:val="270"/>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4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587</w:t>
            </w: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(9,686)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(8,828)</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119,758</w:t>
            </w:r>
          </w:p>
        </w:tc>
        <w:tc>
          <w:tcPr>
            <w:tcW w:w="4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120,350</w:t>
            </w:r>
          </w:p>
        </w:tc>
        <w:tc>
          <w:tcPr>
            <w:tcW w:w="3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366,940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858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367,798</w:t>
            </w:r>
          </w:p>
        </w:tc>
      </w:tr>
      <w:tr>
        <w:trPr>
          <w:trHeight w:val="528"/>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27,208</w:t>
            </w: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26,940</w:t>
            </w:r>
          </w:p>
        </w:tc>
        <w:tc>
          <w:tcPr>
            <w:tcW w:w="34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36,796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36,468</w:t>
            </w:r>
          </w:p>
        </w:tc>
      </w:tr>
      <w:tr>
        <w:trPr>
          <w:trHeight w:val="54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180</w:t>
            </w:r>
          </w:p>
        </w:tc>
        <w:tc>
          <w:tcPr>
            <w:tcW w:w="4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180</w:t>
            </w:r>
          </w:p>
        </w:tc>
        <w:tc>
          <w:tcPr>
            <w:tcW w:w="34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440</w:t>
            </w:r>
          </w:p>
        </w:tc>
      </w:tr>
      <w:tr>
        <w:trPr>
          <w:trHeight w:val="270"/>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(2,799)</w:t>
            </w:r>
          </w:p>
        </w:tc>
        <w:tc>
          <w:tcPr>
            <w:tcW w:w="4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(2,799)</w:t>
            </w: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(9,336)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(9,336)</w:t>
            </w:r>
          </w:p>
        </w:tc>
      </w:tr>
      <w:tr>
        <w:trPr>
          <w:trHeight w:val="276"/>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(1,120)</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(1,119)</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(3,003)</w:t>
            </w:r>
          </w:p>
        </w:tc>
      </w:tr>
      <w:tr>
        <w:trPr>
          <w:trHeight w:val="264"/>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(3,739)</w:t>
            </w:r>
          </w:p>
        </w:tc>
        <w:tc>
          <w:tcPr>
            <w:tcW w:w="44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(3,738)</w:t>
            </w: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(11,899)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(11,899)</w:t>
            </w:r>
          </w:p>
        </w:tc>
      </w:tr>
      <w:tr>
        <w:trPr>
          <w:trHeight w:val="528"/>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23,469</w:t>
            </w:r>
          </w:p>
        </w:tc>
        <w:tc>
          <w:tcPr>
            <w:tcW w:w="4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23,202</w:t>
            </w:r>
          </w:p>
        </w:tc>
        <w:tc>
          <w:tcPr>
            <w:tcW w:w="3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24,897</w:t>
            </w: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24,569</w:t>
            </w:r>
          </w:p>
        </w:tc>
      </w:tr>
      <w:tr>
        <w:trPr>
          <w:trHeight w:val="276"/>
        </w:trPr>
        <w:tc>
          <w:tcPr>
            <w:tcW w:w="700" w:type="dxa"/>
            <w:vAlign w:val="bottom"/>
          </w:tcPr>
          <w:p>
            <w:pPr>
              <w:jc w:val="right"/>
              <w:ind w:right="128"/>
              <w:spacing w:after="0"/>
              <w:rPr>
                <w:sz w:val="20"/>
                <w:szCs w:val="20"/>
                <w:color w:val="auto"/>
              </w:rPr>
            </w:pPr>
            <w:r>
              <w:rPr>
                <w:rFonts w:ascii="Arial" w:cs="Arial" w:eastAsia="Arial" w:hAnsi="Arial"/>
                <w:sz w:val="14"/>
                <w:szCs w:val="14"/>
                <w:color w:val="auto"/>
                <w:w w:val="91"/>
              </w:rPr>
              <w:t>(10,144)</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(9,932)</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(19,673)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(19,060)</w:t>
            </w:r>
          </w:p>
        </w:tc>
      </w:tr>
      <w:tr>
        <w:trPr>
          <w:trHeight w:val="258"/>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13,325</w:t>
            </w: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13,270</w:t>
            </w:r>
          </w:p>
        </w:tc>
        <w:tc>
          <w:tcPr>
            <w:tcW w:w="3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5,224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5,509</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630</w:t>
            </w:r>
          </w:p>
        </w:tc>
        <w:tc>
          <w:tcPr>
            <w:tcW w:w="4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630</w:t>
            </w:r>
          </w:p>
        </w:tc>
        <w:tc>
          <w:tcPr>
            <w:tcW w:w="34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1,817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1,817</w:t>
            </w:r>
          </w:p>
        </w:tc>
      </w:tr>
      <w:tr>
        <w:trPr>
          <w:trHeight w:val="264"/>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12,695</w:t>
            </w: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12,640</w:t>
            </w:r>
          </w:p>
        </w:tc>
        <w:tc>
          <w:tcPr>
            <w:tcW w:w="3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3,407</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3,692</w:t>
            </w:r>
          </w:p>
        </w:tc>
      </w:tr>
      <w:tr>
        <w:trPr>
          <w:trHeight w:val="20"/>
        </w:trPr>
        <w:tc>
          <w:tcPr>
            <w:tcW w:w="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2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0.33</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0.33</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0.10</w:t>
            </w:r>
          </w:p>
        </w:tc>
      </w:tr>
      <w:tr>
        <w:trPr>
          <w:trHeight w:val="20"/>
        </w:trPr>
        <w:tc>
          <w:tcPr>
            <w:tcW w:w="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0.33</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0.33</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0.10</w:t>
            </w:r>
          </w:p>
        </w:tc>
      </w:tr>
      <w:tr>
        <w:trPr>
          <w:trHeight w:val="20"/>
        </w:trPr>
        <w:tc>
          <w:tcPr>
            <w:tcW w:w="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515"/>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38,114</w:t>
            </w:r>
          </w:p>
        </w:tc>
        <w:tc>
          <w:tcPr>
            <w:tcW w:w="4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38,114</w:t>
            </w:r>
          </w:p>
        </w:tc>
        <w:tc>
          <w:tcPr>
            <w:tcW w:w="34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38,329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38,329</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38,358</w:t>
            </w:r>
          </w:p>
        </w:tc>
        <w:tc>
          <w:tcPr>
            <w:tcW w:w="4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38,358</w:t>
            </w:r>
          </w:p>
        </w:tc>
        <w:tc>
          <w:tcPr>
            <w:tcW w:w="3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38,591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-4751070</wp:posOffset>
            </wp:positionV>
            <wp:extent cx="722947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-4408170</wp:posOffset>
            </wp:positionV>
            <wp:extent cx="722947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-4065270</wp:posOffset>
            </wp:positionV>
            <wp:extent cx="722947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-3722370</wp:posOffset>
            </wp:positionV>
            <wp:extent cx="7229475" cy="37306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9475" cy="373062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-5102860</wp:posOffset>
            </wp:positionV>
            <wp:extent cx="7229475"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480"/>
            <w:col w:w="6800"/>
          </w:cols>
          <w:pgMar w:left="240" w:top="125" w:right="259" w:bottom="1440" w:gutter="0" w:footer="0" w:header="0"/>
          <w:type w:val="continuous"/>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00"/>
          </w:cols>
          <w:pgMar w:left="240" w:top="125" w:right="25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040" w:type="dxa"/>
            <w:vAlign w:val="bottom"/>
          </w:tcPr>
          <w:p>
            <w:pPr>
              <w:ind w:left="20"/>
              <w:spacing w:after="0"/>
              <w:rPr>
                <w:sz w:val="20"/>
                <w:szCs w:val="20"/>
                <w:color w:val="auto"/>
              </w:rPr>
            </w:pPr>
            <w:r>
              <w:rPr>
                <w:rFonts w:ascii="Arial" w:cs="Arial" w:eastAsia="Arial" w:hAnsi="Arial"/>
                <w:sz w:val="16"/>
                <w:szCs w:val="16"/>
                <w:i w:val="1"/>
                <w:iCs w:val="1"/>
                <w:color w:val="auto"/>
              </w:rPr>
              <w:t>Statement of operations data (unaudited):</w:t>
            </w:r>
          </w:p>
        </w:tc>
        <w:tc>
          <w:tcPr>
            <w:tcW w:w="600" w:type="dxa"/>
            <w:vAlign w:val="bottom"/>
          </w:tcPr>
          <w:p>
            <w:pPr>
              <w:spacing w:after="0"/>
              <w:rPr>
                <w:sz w:val="18"/>
                <w:szCs w:val="18"/>
                <w:color w:val="auto"/>
              </w:rPr>
            </w:pPr>
          </w:p>
        </w:tc>
        <w:tc>
          <w:tcPr>
            <w:tcW w:w="3460" w:type="dxa"/>
            <w:vAlign w:val="bottom"/>
            <w:gridSpan w:val="6"/>
          </w:tcPr>
          <w:p>
            <w:pPr>
              <w:jc w:val="center"/>
              <w:ind w:left="639"/>
              <w:spacing w:after="0"/>
              <w:rPr>
                <w:sz w:val="20"/>
                <w:szCs w:val="20"/>
                <w:color w:val="auto"/>
              </w:rPr>
            </w:pPr>
            <w:r>
              <w:rPr>
                <w:rFonts w:ascii="Arial" w:cs="Arial" w:eastAsia="Arial" w:hAnsi="Arial"/>
                <w:sz w:val="16"/>
                <w:szCs w:val="16"/>
                <w:b w:val="1"/>
                <w:bCs w:val="1"/>
                <w:color w:val="auto"/>
                <w:w w:val="93"/>
              </w:rPr>
              <w:t>Three Months Ended March 31, 2014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4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As Previously Reported</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Adjustments</w:t>
            </w:r>
          </w:p>
        </w:tc>
        <w:tc>
          <w:tcPr>
            <w:tcW w:w="400" w:type="dxa"/>
            <w:vAlign w:val="bottom"/>
          </w:tcPr>
          <w:p>
            <w:pPr>
              <w:spacing w:after="0"/>
              <w:rPr>
                <w:sz w:val="20"/>
                <w:szCs w:val="20"/>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b w:val="1"/>
                <w:bCs w:val="1"/>
                <w:color w:val="auto"/>
                <w:w w:val="92"/>
              </w:rPr>
              <w:t>As Revised</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6"/>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gridSpan w:val="6"/>
          </w:tcPr>
          <w:p>
            <w:pPr>
              <w:jc w:val="center"/>
              <w:ind w:left="639"/>
              <w:spacing w:after="0"/>
              <w:rPr>
                <w:sz w:val="20"/>
                <w:szCs w:val="20"/>
                <w:color w:val="auto"/>
              </w:rPr>
            </w:pPr>
            <w:r>
              <w:rPr>
                <w:rFonts w:ascii="Arial" w:cs="Arial" w:eastAsia="Arial" w:hAnsi="Arial"/>
                <w:sz w:val="16"/>
                <w:szCs w:val="16"/>
                <w:b w:val="1"/>
                <w:bCs w:val="1"/>
                <w:color w:val="auto"/>
                <w:w w:val="89"/>
              </w:rPr>
              <w:t>(in thousands, except per share data)</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474,795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472,429</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320,260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319,606</w:t>
            </w:r>
          </w:p>
        </w:tc>
        <w:tc>
          <w:tcPr>
            <w:tcW w:w="0" w:type="dxa"/>
            <w:vAlign w:val="bottom"/>
          </w:tcPr>
          <w:p>
            <w:pPr>
              <w:spacing w:after="0"/>
              <w:rPr>
                <w:sz w:val="1"/>
                <w:szCs w:val="1"/>
                <w:color w:val="auto"/>
              </w:rPr>
            </w:pPr>
          </w:p>
        </w:tc>
      </w:tr>
      <w:tr>
        <w:trPr>
          <w:trHeight w:val="33"/>
        </w:trPr>
        <w:tc>
          <w:tcPr>
            <w:tcW w:w="60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6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154,535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152,823</w:t>
            </w: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47,609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45,609</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Product development</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44,434</w:t>
            </w:r>
          </w:p>
        </w:tc>
        <w:tc>
          <w:tcPr>
            <w:tcW w:w="0" w:type="dxa"/>
            <w:vAlign w:val="bottom"/>
          </w:tcPr>
          <w:p>
            <w:pPr>
              <w:spacing w:after="0"/>
              <w:rPr>
                <w:sz w:val="1"/>
                <w:szCs w:val="1"/>
                <w:color w:val="auto"/>
              </w:rPr>
            </w:pP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40,407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39,864</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business acquisition-related intangible assets</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11,070</w:t>
            </w:r>
          </w:p>
        </w:tc>
        <w:tc>
          <w:tcPr>
            <w:tcW w:w="0" w:type="dxa"/>
            <w:vAlign w:val="bottom"/>
          </w:tcPr>
          <w:p>
            <w:pPr>
              <w:spacing w:after="0"/>
              <w:rPr>
                <w:sz w:val="1"/>
                <w:szCs w:val="1"/>
                <w:color w:val="auto"/>
              </w:rPr>
            </w:pP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Restructuring expense</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5,524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6,383</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impairment</w:t>
            </w: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Total operating expenses</w:t>
            </w:r>
          </w:p>
        </w:tc>
        <w:tc>
          <w:tcPr>
            <w:tcW w:w="6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149,996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(2,636)</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147,360</w:t>
            </w:r>
          </w:p>
        </w:tc>
        <w:tc>
          <w:tcPr>
            <w:tcW w:w="0" w:type="dxa"/>
            <w:vAlign w:val="bottom"/>
          </w:tcPr>
          <w:p>
            <w:pPr>
              <w:spacing w:after="0"/>
              <w:rPr>
                <w:sz w:val="1"/>
                <w:szCs w:val="1"/>
                <w:color w:val="auto"/>
              </w:rPr>
            </w:pPr>
          </w:p>
        </w:tc>
      </w:tr>
      <w:tr>
        <w:trPr>
          <w:trHeight w:val="33"/>
        </w:trPr>
        <w:tc>
          <w:tcPr>
            <w:tcW w:w="60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4,539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5,463</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0" w:type="dxa"/>
            <w:vAlign w:val="bottom"/>
          </w:tcPr>
          <w:p>
            <w:pPr>
              <w:spacing w:after="0"/>
              <w:rPr>
                <w:sz w:val="1"/>
                <w:szCs w:val="1"/>
                <w:color w:val="auto"/>
              </w:rPr>
            </w:pP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Other income (expense), net</w:t>
            </w: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(2,503)</w:t>
            </w:r>
          </w:p>
        </w:tc>
        <w:tc>
          <w:tcPr>
            <w:tcW w:w="0" w:type="dxa"/>
            <w:vAlign w:val="bottom"/>
          </w:tcPr>
          <w:p>
            <w:pPr>
              <w:spacing w:after="0"/>
              <w:rPr>
                <w:sz w:val="1"/>
                <w:szCs w:val="1"/>
                <w:color w:val="auto"/>
              </w:rPr>
            </w:pPr>
          </w:p>
        </w:tc>
      </w:tr>
      <w:tr>
        <w:trPr>
          <w:trHeight w:val="33"/>
        </w:trPr>
        <w:tc>
          <w:tcPr>
            <w:tcW w:w="60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other income (expense)</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(5,316)</w:t>
            </w:r>
          </w:p>
        </w:tc>
        <w:tc>
          <w:tcPr>
            <w:tcW w:w="0" w:type="dxa"/>
            <w:vAlign w:val="bottom"/>
          </w:tcPr>
          <w:p>
            <w:pPr>
              <w:spacing w:after="0"/>
              <w:rPr>
                <w:sz w:val="1"/>
                <w:szCs w:val="1"/>
                <w:color w:val="auto"/>
              </w:rPr>
            </w:pPr>
          </w:p>
        </w:tc>
      </w:tr>
      <w:tr>
        <w:trPr>
          <w:trHeight w:val="264"/>
        </w:trPr>
        <w:tc>
          <w:tcPr>
            <w:tcW w:w="604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33"/>
        </w:trPr>
        <w:tc>
          <w:tcPr>
            <w:tcW w:w="60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6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237"/>
        </w:trPr>
        <w:tc>
          <w:tcPr>
            <w:tcW w:w="6040" w:type="dxa"/>
            <w:vAlign w:val="bottom"/>
          </w:tcPr>
          <w:p>
            <w:pPr>
              <w:ind w:left="360"/>
              <w:spacing w:after="0"/>
              <w:rPr>
                <w:sz w:val="20"/>
                <w:szCs w:val="20"/>
                <w:color w:val="auto"/>
              </w:rPr>
            </w:pPr>
            <w:r>
              <w:rPr>
                <w:rFonts w:ascii="Arial" w:cs="Arial" w:eastAsia="Arial" w:hAnsi="Arial"/>
                <w:sz w:val="16"/>
                <w:szCs w:val="16"/>
                <w:color w:val="auto"/>
              </w:rPr>
              <w:t>Net income attributable to noncontrolling interests</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60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 attributable to Itron, Inc.</w:t>
            </w: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(loss) per common share - Basic</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(loss) per common share - Diluted</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40" w:type="dxa"/>
            <w:vAlign w:val="bottom"/>
            <w:vMerge w:val="continue"/>
          </w:tcPr>
          <w:p>
            <w:pPr>
              <w:spacing w:after="0"/>
              <w:rPr>
                <w:sz w:val="17"/>
                <w:szCs w:val="17"/>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73"/>
        </w:trPr>
        <w:tc>
          <w:tcPr>
            <w:tcW w:w="604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0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39,235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39,235</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39,235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39,235</w:t>
            </w:r>
          </w:p>
        </w:tc>
        <w:tc>
          <w:tcPr>
            <w:tcW w:w="0" w:type="dxa"/>
            <w:vAlign w:val="bottom"/>
          </w:tcPr>
          <w:p>
            <w:pPr>
              <w:spacing w:after="0"/>
              <w:rPr>
                <w:sz w:val="1"/>
                <w:szCs w:val="1"/>
                <w:color w:val="auto"/>
              </w:rPr>
            </w:pPr>
          </w:p>
        </w:tc>
      </w:tr>
      <w:tr>
        <w:trPr>
          <w:trHeight w:val="33"/>
        </w:trPr>
        <w:tc>
          <w:tcPr>
            <w:tcW w:w="60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125"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980" w:type="dxa"/>
            <w:vAlign w:val="bottom"/>
          </w:tcPr>
          <w:p>
            <w:pPr>
              <w:spacing w:after="0"/>
              <w:rPr>
                <w:sz w:val="20"/>
                <w:szCs w:val="20"/>
                <w:color w:val="auto"/>
              </w:rPr>
            </w:pPr>
            <w:r>
              <w:rPr>
                <w:rFonts w:ascii="Arial" w:cs="Arial" w:eastAsia="Arial" w:hAnsi="Arial"/>
                <w:sz w:val="14"/>
                <w:szCs w:val="14"/>
                <w:i w:val="1"/>
                <w:iCs w:val="1"/>
                <w:color w:val="auto"/>
              </w:rPr>
              <w:t>Statement of operations data (unaudited):</w:t>
            </w:r>
          </w:p>
        </w:tc>
        <w:tc>
          <w:tcPr>
            <w:tcW w:w="3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Three Months Ended June 30, 2014</w:t>
            </w:r>
          </w:p>
        </w:tc>
        <w:tc>
          <w:tcPr>
            <w:tcW w:w="3680" w:type="dxa"/>
            <w:vAlign w:val="bottom"/>
            <w:gridSpan w:val="3"/>
            <w:vMerge w:val="restart"/>
          </w:tcPr>
          <w:p>
            <w:pPr>
              <w:jc w:val="center"/>
              <w:ind w:left="68"/>
              <w:spacing w:after="0"/>
              <w:rPr>
                <w:sz w:val="20"/>
                <w:szCs w:val="20"/>
                <w:color w:val="auto"/>
              </w:rPr>
            </w:pPr>
            <w:r>
              <w:rPr>
                <w:rFonts w:ascii="Arial" w:cs="Arial" w:eastAsia="Arial" w:hAnsi="Arial"/>
                <w:sz w:val="14"/>
                <w:szCs w:val="14"/>
                <w:b w:val="1"/>
                <w:bCs w:val="1"/>
                <w:color w:val="auto"/>
                <w:w w:val="93"/>
              </w:rPr>
              <w:t>Six Months Ended June 30, 2014</w:t>
            </w:r>
          </w:p>
        </w:tc>
        <w:tc>
          <w:tcPr>
            <w:tcW w:w="0" w:type="dxa"/>
            <w:vAlign w:val="bottom"/>
          </w:tcPr>
          <w:p>
            <w:pPr>
              <w:spacing w:after="0"/>
              <w:rPr>
                <w:sz w:val="1"/>
                <w:szCs w:val="1"/>
                <w:color w:val="auto"/>
              </w:rPr>
            </w:pPr>
          </w:p>
        </w:tc>
      </w:tr>
      <w:tr>
        <w:trPr>
          <w:trHeight w:val="79"/>
        </w:trPr>
        <w:tc>
          <w:tcPr>
            <w:tcW w:w="3980" w:type="dxa"/>
            <w:vAlign w:val="bottom"/>
          </w:tcPr>
          <w:p>
            <w:pPr>
              <w:spacing w:after="0"/>
              <w:rPr>
                <w:sz w:val="6"/>
                <w:szCs w:val="6"/>
                <w:color w:val="auto"/>
              </w:rPr>
            </w:pPr>
          </w:p>
        </w:tc>
        <w:tc>
          <w:tcPr>
            <w:tcW w:w="3700" w:type="dxa"/>
            <w:vAlign w:val="bottom"/>
            <w:tcBorders>
              <w:bottom w:val="single" w:sz="8" w:color="auto"/>
            </w:tcBorders>
            <w:gridSpan w:val="3"/>
            <w:vMerge w:val="continue"/>
          </w:tcPr>
          <w:p>
            <w:pPr>
              <w:spacing w:after="0"/>
              <w:rPr>
                <w:sz w:val="6"/>
                <w:szCs w:val="6"/>
                <w:color w:val="auto"/>
              </w:rPr>
            </w:pPr>
          </w:p>
        </w:tc>
        <w:tc>
          <w:tcPr>
            <w:tcW w:w="3680" w:type="dxa"/>
            <w:vAlign w:val="bottom"/>
            <w:tcBorders>
              <w:bottom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3980" w:type="dxa"/>
            <w:vAlign w:val="bottom"/>
          </w:tcPr>
          <w:p>
            <w:pPr>
              <w:spacing w:after="0"/>
              <w:rPr>
                <w:sz w:val="13"/>
                <w:szCs w:val="13"/>
                <w:color w:val="auto"/>
              </w:rPr>
            </w:pPr>
          </w:p>
        </w:tc>
        <w:tc>
          <w:tcPr>
            <w:tcW w:w="124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1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As Revised</w:t>
            </w: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12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Reported</w:t>
            </w:r>
          </w:p>
        </w:tc>
        <w:tc>
          <w:tcPr>
            <w:tcW w:w="12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12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960" w:type="dxa"/>
            <w:vAlign w:val="bottom"/>
          </w:tcPr>
          <w:p>
            <w:pPr>
              <w:spacing w:after="0"/>
              <w:rPr>
                <w:sz w:val="20"/>
                <w:szCs w:val="20"/>
                <w:color w:val="auto"/>
              </w:rPr>
            </w:pPr>
            <w:r>
              <w:rPr>
                <w:rFonts w:ascii="Arial" w:cs="Arial" w:eastAsia="Arial" w:hAnsi="Arial"/>
                <w:sz w:val="14"/>
                <w:szCs w:val="14"/>
                <w:color w:val="auto"/>
              </w:rPr>
              <w:t>Revenues</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9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4"/>
                <w:szCs w:val="14"/>
                <w:color w:val="auto"/>
              </w:rPr>
              <w:t>Cost of revenues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0"/>
                <w:szCs w:val="20"/>
                <w:color w:val="auto"/>
              </w:rPr>
            </w:pPr>
            <w:r>
              <w:rPr>
                <w:rFonts w:ascii="Arial" w:cs="Arial" w:eastAsia="Arial" w:hAnsi="Arial"/>
                <w:sz w:val="14"/>
                <w:szCs w:val="14"/>
                <w:color w:val="auto"/>
              </w:rPr>
              <w:t>Gross profit</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2960" w:type="dxa"/>
            <w:vAlign w:val="bottom"/>
          </w:tcPr>
          <w:p>
            <w:pPr>
              <w:spacing w:after="0"/>
              <w:rPr>
                <w:sz w:val="20"/>
                <w:szCs w:val="20"/>
                <w:color w:val="auto"/>
              </w:rPr>
            </w:pPr>
            <w:r>
              <w:rPr>
                <w:rFonts w:ascii="Arial" w:cs="Arial" w:eastAsia="Arial" w:hAnsi="Arial"/>
                <w:sz w:val="14"/>
                <w:szCs w:val="14"/>
                <w:color w:val="auto"/>
              </w:rPr>
              <w:t>Operating expenses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360"/>
              <w:spacing w:after="0"/>
              <w:rPr>
                <w:sz w:val="20"/>
                <w:szCs w:val="20"/>
                <w:color w:val="auto"/>
              </w:rPr>
            </w:pPr>
            <w:r>
              <w:rPr>
                <w:rFonts w:ascii="Arial" w:cs="Arial" w:eastAsia="Arial" w:hAnsi="Arial"/>
                <w:sz w:val="14"/>
                <w:szCs w:val="14"/>
                <w:color w:val="auto"/>
              </w:rPr>
              <w:t>Product development</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360"/>
              <w:spacing w:after="0"/>
              <w:rPr>
                <w:sz w:val="20"/>
                <w:szCs w:val="20"/>
                <w:color w:val="auto"/>
              </w:rPr>
            </w:pPr>
            <w:r>
              <w:rPr>
                <w:rFonts w:ascii="Arial" w:cs="Arial" w:eastAsia="Arial" w:hAnsi="Arial"/>
                <w:sz w:val="14"/>
                <w:szCs w:val="14"/>
                <w:color w:val="auto"/>
              </w:rPr>
              <w:t>General and administrative</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Amortization of business acquisition-related intangible assets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Restructuring expense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Goodwill impairment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operating expenses</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 (loss)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Interest income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640" w:type="dxa"/>
            <w:vAlign w:val="bottom"/>
          </w:tcPr>
          <w:p>
            <w:pPr>
              <w:ind w:left="700"/>
              <w:spacing w:after="0"/>
              <w:rPr>
                <w:sz w:val="20"/>
                <w:szCs w:val="20"/>
                <w:color w:val="auto"/>
              </w:rPr>
            </w:pPr>
            <w:r>
              <w:rPr>
                <w:rFonts w:ascii="Arial" w:cs="Arial" w:eastAsia="Arial" w:hAnsi="Arial"/>
                <w:sz w:val="14"/>
                <w:szCs w:val="14"/>
                <w:color w:val="auto"/>
              </w:rPr>
              <w:t>Total other income (expense)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5"/>
        </w:trPr>
        <w:tc>
          <w:tcPr>
            <w:tcW w:w="364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20"/>
              <w:spacing w:after="0"/>
              <w:rPr>
                <w:sz w:val="20"/>
                <w:szCs w:val="20"/>
                <w:color w:val="auto"/>
              </w:rPr>
            </w:pPr>
            <w:r>
              <w:rPr>
                <w:rFonts w:ascii="Arial" w:cs="Arial" w:eastAsia="Arial" w:hAnsi="Arial"/>
                <w:sz w:val="14"/>
                <w:szCs w:val="14"/>
                <w:color w:val="auto"/>
              </w:rPr>
              <w:t>Income tax (provision) benefit</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640" w:type="dxa"/>
            <w:vAlign w:val="bottom"/>
          </w:tcPr>
          <w:p>
            <w:pPr>
              <w:ind w:left="360"/>
              <w:spacing w:after="0"/>
              <w:rPr>
                <w:sz w:val="20"/>
                <w:szCs w:val="20"/>
                <w:color w:val="auto"/>
              </w:rPr>
            </w:pPr>
            <w:r>
              <w:rPr>
                <w:rFonts w:ascii="Arial" w:cs="Arial" w:eastAsia="Arial" w:hAnsi="Arial"/>
                <w:sz w:val="14"/>
                <w:szCs w:val="14"/>
                <w:color w:val="auto"/>
              </w:rPr>
              <w:t>Net income attributable to noncontrolling interests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40" w:type="dxa"/>
            <w:vAlign w:val="bottom"/>
          </w:tcPr>
          <w:p>
            <w:pPr>
              <w:spacing w:after="0"/>
              <w:rPr>
                <w:sz w:val="20"/>
                <w:szCs w:val="20"/>
                <w:color w:val="auto"/>
              </w:rPr>
            </w:pPr>
            <w:r>
              <w:rPr>
                <w:rFonts w:ascii="Arial" w:cs="Arial" w:eastAsia="Arial" w:hAnsi="Arial"/>
                <w:sz w:val="14"/>
                <w:szCs w:val="14"/>
                <w:color w:val="auto"/>
              </w:rPr>
              <w:t>Net income (loss) attributable to Itron, Inc.</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00"/>
        </w:trPr>
        <w:tc>
          <w:tcPr>
            <w:tcW w:w="3640" w:type="dxa"/>
            <w:vAlign w:val="bottom"/>
          </w:tcPr>
          <w:p>
            <w:pPr>
              <w:ind w:left="20"/>
              <w:spacing w:after="0"/>
              <w:rPr>
                <w:sz w:val="20"/>
                <w:szCs w:val="20"/>
                <w:color w:val="auto"/>
              </w:rPr>
            </w:pPr>
            <w:r>
              <w:rPr>
                <w:rFonts w:ascii="Arial" w:cs="Arial" w:eastAsia="Arial" w:hAnsi="Arial"/>
                <w:sz w:val="14"/>
                <w:szCs w:val="14"/>
                <w:color w:val="auto"/>
              </w:rPr>
              <w:t>Earnings (loss) per common share - Basic</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36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4"/>
                <w:szCs w:val="14"/>
                <w:color w:val="auto"/>
              </w:rPr>
              <w:t>Earnings (loss) per common share - Diluted</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36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3"/>
        </w:trPr>
        <w:tc>
          <w:tcPr>
            <w:tcW w:w="36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 Basic</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 Diluted</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489,353</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(7,039)</w:t>
            </w:r>
          </w:p>
        </w:tc>
        <w:tc>
          <w:tcPr>
            <w:tcW w:w="12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482,314</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964,148</w:t>
            </w:r>
          </w:p>
        </w:tc>
        <w:tc>
          <w:tcPr>
            <w:tcW w:w="12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(9,405)</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954,743</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326,312</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321,627</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646,572</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641,233</w:t>
            </w:r>
          </w:p>
        </w:tc>
      </w:tr>
      <w:tr>
        <w:trPr>
          <w:trHeight w:val="258"/>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163,041</w:t>
            </w:r>
          </w:p>
        </w:tc>
        <w:tc>
          <w:tcPr>
            <w:tcW w:w="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(2,354)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160,687</w:t>
            </w:r>
          </w:p>
        </w:tc>
        <w:tc>
          <w:tcPr>
            <w:tcW w:w="3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317,576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313,510</w:t>
            </w:r>
          </w:p>
        </w:tc>
      </w:tr>
      <w:tr>
        <w:trPr>
          <w:trHeight w:val="81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46,119</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45,371</w:t>
            </w:r>
          </w:p>
        </w:tc>
        <w:tc>
          <w:tcPr>
            <w:tcW w:w="38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93,728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(2,748)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90,980</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43,999</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43,958</w:t>
            </w:r>
          </w:p>
        </w:tc>
        <w:tc>
          <w:tcPr>
            <w:tcW w:w="38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88,408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88,392</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37,680</w:t>
            </w:r>
          </w:p>
        </w:tc>
        <w:tc>
          <w:tcPr>
            <w:tcW w:w="38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38,029</w:t>
            </w:r>
          </w:p>
        </w:tc>
        <w:tc>
          <w:tcPr>
            <w:tcW w:w="38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78,087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77,893</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11,109</w:t>
            </w:r>
          </w:p>
        </w:tc>
        <w:tc>
          <w:tcPr>
            <w:tcW w:w="38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11,109</w:t>
            </w:r>
          </w:p>
        </w:tc>
        <w:tc>
          <w:tcPr>
            <w:tcW w:w="38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22,179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22,179</w:t>
            </w:r>
          </w:p>
        </w:tc>
      </w:tr>
      <w:tr>
        <w:trPr>
          <w:trHeight w:val="270"/>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(7,793)</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(8,657)</w:t>
            </w: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(2,269)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(2,274)</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977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131,114</w:t>
            </w:r>
          </w:p>
        </w:tc>
        <w:tc>
          <w:tcPr>
            <w:tcW w:w="3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129,810</w:t>
            </w:r>
          </w:p>
        </w:tc>
        <w:tc>
          <w:tcPr>
            <w:tcW w:w="3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281,110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277,170</w:t>
            </w:r>
          </w:p>
        </w:tc>
      </w:tr>
      <w:tr>
        <w:trPr>
          <w:trHeight w:val="528"/>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31,927</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30,877</w:t>
            </w:r>
          </w:p>
        </w:tc>
        <w:tc>
          <w:tcPr>
            <w:tcW w:w="38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36,466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36,340</w:t>
            </w:r>
          </w:p>
        </w:tc>
      </w:tr>
      <w:tr>
        <w:trPr>
          <w:trHeight w:val="54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53</w:t>
            </w:r>
          </w:p>
        </w:tc>
        <w:tc>
          <w:tcPr>
            <w:tcW w:w="3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53</w:t>
            </w:r>
          </w:p>
        </w:tc>
        <w:tc>
          <w:tcPr>
            <w:tcW w:w="38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150</w:t>
            </w:r>
          </w:p>
        </w:tc>
      </w:tr>
      <w:tr>
        <w:trPr>
          <w:trHeight w:val="270"/>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(2,913)</w:t>
            </w:r>
          </w:p>
        </w:tc>
        <w:tc>
          <w:tcPr>
            <w:tcW w:w="38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(2,912)</w:t>
            </w: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(5,822)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(5,822)</w:t>
            </w:r>
          </w:p>
        </w:tc>
      </w:tr>
      <w:tr>
        <w:trPr>
          <w:trHeight w:val="276"/>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(1,375)</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(1,374)</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(3,873)</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w:t>
            </w:r>
          </w:p>
        </w:tc>
      </w:tr>
      <w:tr>
        <w:trPr>
          <w:trHeight w:val="264"/>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(4,235)</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(4,233)</w:t>
            </w: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(9,545)</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(9,549)</w:t>
            </w:r>
          </w:p>
        </w:tc>
      </w:tr>
      <w:tr>
        <w:trPr>
          <w:trHeight w:val="528"/>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27,692</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26,644</w:t>
            </w:r>
          </w:p>
        </w:tc>
        <w:tc>
          <w:tcPr>
            <w:tcW w:w="38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26,921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26,791</w:t>
            </w:r>
          </w:p>
        </w:tc>
      </w:tr>
      <w:tr>
        <w:trPr>
          <w:trHeight w:val="276"/>
        </w:trPr>
        <w:tc>
          <w:tcPr>
            <w:tcW w:w="700" w:type="dxa"/>
            <w:vAlign w:val="bottom"/>
          </w:tcPr>
          <w:p>
            <w:pPr>
              <w:jc w:val="right"/>
              <w:ind w:right="128"/>
              <w:spacing w:after="0"/>
              <w:rPr>
                <w:sz w:val="20"/>
                <w:szCs w:val="20"/>
                <w:color w:val="auto"/>
              </w:rPr>
            </w:pPr>
            <w:r>
              <w:rPr>
                <w:rFonts w:ascii="Arial" w:cs="Arial" w:eastAsia="Arial" w:hAnsi="Arial"/>
                <w:sz w:val="14"/>
                <w:szCs w:val="14"/>
                <w:color w:val="auto"/>
              </w:rPr>
              <w:t>(7,848)</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2,625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(5,223)</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(7,195)</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(6,284)</w:t>
            </w:r>
          </w:p>
        </w:tc>
      </w:tr>
      <w:tr>
        <w:trPr>
          <w:trHeight w:val="258"/>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19,844</w:t>
            </w:r>
          </w:p>
        </w:tc>
        <w:tc>
          <w:tcPr>
            <w:tcW w:w="38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21,421</w:t>
            </w:r>
          </w:p>
        </w:tc>
        <w:tc>
          <w:tcPr>
            <w:tcW w:w="3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19,726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20,507</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585</w:t>
            </w:r>
          </w:p>
        </w:tc>
        <w:tc>
          <w:tcPr>
            <w:tcW w:w="3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585</w:t>
            </w:r>
          </w:p>
        </w:tc>
        <w:tc>
          <w:tcPr>
            <w:tcW w:w="38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721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721</w:t>
            </w:r>
          </w:p>
        </w:tc>
      </w:tr>
      <w:tr>
        <w:trPr>
          <w:trHeight w:val="264"/>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19,259</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1,577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20,836</w:t>
            </w:r>
          </w:p>
        </w:tc>
        <w:tc>
          <w:tcPr>
            <w:tcW w:w="3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19,005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19,786</w:t>
            </w:r>
          </w:p>
        </w:tc>
      </w:tr>
      <w:tr>
        <w:trPr>
          <w:trHeight w:val="20"/>
        </w:trPr>
        <w:tc>
          <w:tcPr>
            <w:tcW w:w="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2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0.49</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0.53</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0.50</w:t>
            </w:r>
          </w:p>
        </w:tc>
      </w:tr>
      <w:tr>
        <w:trPr>
          <w:trHeight w:val="20"/>
        </w:trPr>
        <w:tc>
          <w:tcPr>
            <w:tcW w:w="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0.49</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0.53</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0.50</w:t>
            </w:r>
          </w:p>
        </w:tc>
      </w:tr>
      <w:tr>
        <w:trPr>
          <w:trHeight w:val="20"/>
        </w:trPr>
        <w:tc>
          <w:tcPr>
            <w:tcW w:w="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15"/>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39,356</w:t>
            </w:r>
          </w:p>
        </w:tc>
        <w:tc>
          <w:tcPr>
            <w:tcW w:w="3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39,356</w:t>
            </w:r>
          </w:p>
        </w:tc>
        <w:tc>
          <w:tcPr>
            <w:tcW w:w="38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39,296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39,296</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39,544</w:t>
            </w:r>
          </w:p>
        </w:tc>
        <w:tc>
          <w:tcPr>
            <w:tcW w:w="38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39,544</w:t>
            </w:r>
          </w:p>
        </w:tc>
        <w:tc>
          <w:tcPr>
            <w:tcW w:w="38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39,528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39,528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-4751070</wp:posOffset>
            </wp:positionV>
            <wp:extent cx="722947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-4408170</wp:posOffset>
            </wp:positionV>
            <wp:extent cx="722947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-4065270</wp:posOffset>
            </wp:positionV>
            <wp:extent cx="722947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-3722370</wp:posOffset>
            </wp:positionV>
            <wp:extent cx="7229475" cy="37306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29475" cy="373062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-5102860</wp:posOffset>
            </wp:positionV>
            <wp:extent cx="7229475"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480"/>
            <w:col w:w="6800"/>
          </w:cols>
          <w:pgMar w:left="240" w:top="125" w:right="259" w:bottom="1440" w:gutter="0" w:footer="0" w:header="0"/>
          <w:type w:val="continuous"/>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00"/>
          </w:cols>
          <w:pgMar w:left="240" w:top="125" w:right="25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960" w:type="dxa"/>
            <w:vAlign w:val="bottom"/>
          </w:tcPr>
          <w:p>
            <w:pPr>
              <w:spacing w:after="0"/>
              <w:rPr>
                <w:sz w:val="20"/>
                <w:szCs w:val="20"/>
                <w:color w:val="auto"/>
              </w:rPr>
            </w:pPr>
            <w:r>
              <w:rPr>
                <w:rFonts w:ascii="Arial" w:cs="Arial" w:eastAsia="Arial" w:hAnsi="Arial"/>
                <w:sz w:val="14"/>
                <w:szCs w:val="14"/>
                <w:i w:val="1"/>
                <w:iCs w:val="1"/>
                <w:color w:val="auto"/>
              </w:rPr>
              <w:t>Statement of operations data (unaudited):</w:t>
            </w:r>
          </w:p>
        </w:tc>
        <w:tc>
          <w:tcPr>
            <w:tcW w:w="37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Three Months Ended September 30, 2014</w:t>
            </w:r>
          </w:p>
        </w:tc>
        <w:tc>
          <w:tcPr>
            <w:tcW w:w="3680" w:type="dxa"/>
            <w:vAlign w:val="bottom"/>
            <w:gridSpan w:val="3"/>
            <w:vMerge w:val="restart"/>
          </w:tcPr>
          <w:p>
            <w:pPr>
              <w:jc w:val="center"/>
              <w:ind w:left="48"/>
              <w:spacing w:after="0"/>
              <w:rPr>
                <w:sz w:val="20"/>
                <w:szCs w:val="20"/>
                <w:color w:val="auto"/>
              </w:rPr>
            </w:pPr>
            <w:r>
              <w:rPr>
                <w:rFonts w:ascii="Arial" w:cs="Arial" w:eastAsia="Arial" w:hAnsi="Arial"/>
                <w:sz w:val="14"/>
                <w:szCs w:val="14"/>
                <w:b w:val="1"/>
                <w:bCs w:val="1"/>
                <w:color w:val="auto"/>
                <w:w w:val="93"/>
              </w:rPr>
              <w:t>Nine Months Ended September 30, 2014</w:t>
            </w:r>
          </w:p>
        </w:tc>
        <w:tc>
          <w:tcPr>
            <w:tcW w:w="0" w:type="dxa"/>
            <w:vAlign w:val="bottom"/>
          </w:tcPr>
          <w:p>
            <w:pPr>
              <w:spacing w:after="0"/>
              <w:rPr>
                <w:sz w:val="1"/>
                <w:szCs w:val="1"/>
                <w:color w:val="auto"/>
              </w:rPr>
            </w:pPr>
          </w:p>
        </w:tc>
      </w:tr>
      <w:tr>
        <w:trPr>
          <w:trHeight w:val="79"/>
        </w:trPr>
        <w:tc>
          <w:tcPr>
            <w:tcW w:w="3960" w:type="dxa"/>
            <w:vAlign w:val="bottom"/>
          </w:tcPr>
          <w:p>
            <w:pPr>
              <w:spacing w:after="0"/>
              <w:rPr>
                <w:sz w:val="6"/>
                <w:szCs w:val="6"/>
                <w:color w:val="auto"/>
              </w:rPr>
            </w:pPr>
          </w:p>
        </w:tc>
        <w:tc>
          <w:tcPr>
            <w:tcW w:w="3740" w:type="dxa"/>
            <w:vAlign w:val="bottom"/>
            <w:tcBorders>
              <w:bottom w:val="single" w:sz="8" w:color="auto"/>
            </w:tcBorders>
            <w:gridSpan w:val="3"/>
            <w:vMerge w:val="continue"/>
          </w:tcPr>
          <w:p>
            <w:pPr>
              <w:spacing w:after="0"/>
              <w:rPr>
                <w:sz w:val="6"/>
                <w:szCs w:val="6"/>
                <w:color w:val="auto"/>
              </w:rPr>
            </w:pPr>
          </w:p>
        </w:tc>
        <w:tc>
          <w:tcPr>
            <w:tcW w:w="3680" w:type="dxa"/>
            <w:vAlign w:val="bottom"/>
            <w:tcBorders>
              <w:bottom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124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2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As Revised</w:t>
            </w: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13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Reported</w:t>
            </w:r>
          </w:p>
        </w:tc>
        <w:tc>
          <w:tcPr>
            <w:tcW w:w="12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940" w:type="dxa"/>
            <w:vAlign w:val="bottom"/>
          </w:tcPr>
          <w:p>
            <w:pPr>
              <w:spacing w:after="0"/>
              <w:rPr>
                <w:sz w:val="20"/>
                <w:szCs w:val="20"/>
                <w:color w:val="auto"/>
              </w:rPr>
            </w:pPr>
            <w:r>
              <w:rPr>
                <w:rFonts w:ascii="Arial" w:cs="Arial" w:eastAsia="Arial" w:hAnsi="Arial"/>
                <w:sz w:val="14"/>
                <w:szCs w:val="14"/>
                <w:color w:val="auto"/>
              </w:rPr>
              <w:t>Revenues</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4"/>
                <w:szCs w:val="14"/>
                <w:color w:val="auto"/>
              </w:rPr>
              <w:t>Cost of revenues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4"/>
                <w:szCs w:val="14"/>
                <w:color w:val="auto"/>
              </w:rPr>
              <w:t>Gross profit</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2940" w:type="dxa"/>
            <w:vAlign w:val="bottom"/>
          </w:tcPr>
          <w:p>
            <w:pPr>
              <w:spacing w:after="0"/>
              <w:rPr>
                <w:sz w:val="20"/>
                <w:szCs w:val="20"/>
                <w:color w:val="auto"/>
              </w:rPr>
            </w:pPr>
            <w:r>
              <w:rPr>
                <w:rFonts w:ascii="Arial" w:cs="Arial" w:eastAsia="Arial" w:hAnsi="Arial"/>
                <w:sz w:val="14"/>
                <w:szCs w:val="14"/>
                <w:color w:val="auto"/>
              </w:rPr>
              <w:t>Operating expenses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40" w:type="dxa"/>
            <w:vAlign w:val="bottom"/>
          </w:tcPr>
          <w:p>
            <w:pPr>
              <w:ind w:left="340"/>
              <w:spacing w:after="0"/>
              <w:rPr>
                <w:sz w:val="20"/>
                <w:szCs w:val="20"/>
                <w:color w:val="auto"/>
              </w:rPr>
            </w:pPr>
            <w:r>
              <w:rPr>
                <w:rFonts w:ascii="Arial" w:cs="Arial" w:eastAsia="Arial" w:hAnsi="Arial"/>
                <w:sz w:val="14"/>
                <w:szCs w:val="14"/>
                <w:color w:val="auto"/>
              </w:rPr>
              <w:t>Sales and marketing</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ind w:left="340"/>
              <w:spacing w:after="0"/>
              <w:rPr>
                <w:sz w:val="20"/>
                <w:szCs w:val="20"/>
                <w:color w:val="auto"/>
              </w:rPr>
            </w:pPr>
            <w:r>
              <w:rPr>
                <w:rFonts w:ascii="Arial" w:cs="Arial" w:eastAsia="Arial" w:hAnsi="Arial"/>
                <w:sz w:val="14"/>
                <w:szCs w:val="14"/>
                <w:color w:val="auto"/>
              </w:rPr>
              <w:t>Product development</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ind w:left="340"/>
              <w:spacing w:after="0"/>
              <w:rPr>
                <w:sz w:val="20"/>
                <w:szCs w:val="20"/>
                <w:color w:val="auto"/>
              </w:rPr>
            </w:pPr>
            <w:r>
              <w:rPr>
                <w:rFonts w:ascii="Arial" w:cs="Arial" w:eastAsia="Arial" w:hAnsi="Arial"/>
                <w:sz w:val="14"/>
                <w:szCs w:val="14"/>
                <w:color w:val="auto"/>
              </w:rPr>
              <w:t>General and administrative</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Amortization of business acquisition-related intangible assets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Restructuring expense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Goodwill impairment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operating expenses</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 (loss)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 income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40" w:type="dxa"/>
            <w:vAlign w:val="bottom"/>
          </w:tcPr>
          <w:p>
            <w:pPr>
              <w:ind w:left="720"/>
              <w:spacing w:after="0"/>
              <w:rPr>
                <w:sz w:val="20"/>
                <w:szCs w:val="20"/>
                <w:color w:val="auto"/>
              </w:rPr>
            </w:pPr>
            <w:r>
              <w:rPr>
                <w:rFonts w:ascii="Arial" w:cs="Arial" w:eastAsia="Arial" w:hAnsi="Arial"/>
                <w:sz w:val="14"/>
                <w:szCs w:val="14"/>
                <w:color w:val="auto"/>
              </w:rPr>
              <w:t>Total other income (expense)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5"/>
        </w:trPr>
        <w:tc>
          <w:tcPr>
            <w:tcW w:w="364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40"/>
              <w:spacing w:after="0"/>
              <w:rPr>
                <w:sz w:val="20"/>
                <w:szCs w:val="20"/>
                <w:color w:val="auto"/>
              </w:rPr>
            </w:pPr>
            <w:r>
              <w:rPr>
                <w:rFonts w:ascii="Arial" w:cs="Arial" w:eastAsia="Arial" w:hAnsi="Arial"/>
                <w:sz w:val="14"/>
                <w:szCs w:val="14"/>
                <w:color w:val="auto"/>
              </w:rPr>
              <w:t>Income tax (provision) benefit</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640" w:type="dxa"/>
            <w:vAlign w:val="bottom"/>
          </w:tcPr>
          <w:p>
            <w:pPr>
              <w:ind w:left="360"/>
              <w:spacing w:after="0"/>
              <w:rPr>
                <w:sz w:val="20"/>
                <w:szCs w:val="20"/>
                <w:color w:val="auto"/>
              </w:rPr>
            </w:pPr>
            <w:r>
              <w:rPr>
                <w:rFonts w:ascii="Arial" w:cs="Arial" w:eastAsia="Arial" w:hAnsi="Arial"/>
                <w:sz w:val="14"/>
                <w:szCs w:val="14"/>
                <w:color w:val="auto"/>
              </w:rPr>
              <w:t>Net income attributable to noncontrolling interests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40" w:type="dxa"/>
            <w:vAlign w:val="bottom"/>
          </w:tcPr>
          <w:p>
            <w:pPr>
              <w:spacing w:after="0"/>
              <w:rPr>
                <w:sz w:val="20"/>
                <w:szCs w:val="20"/>
                <w:color w:val="auto"/>
              </w:rPr>
            </w:pPr>
            <w:r>
              <w:rPr>
                <w:rFonts w:ascii="Arial" w:cs="Arial" w:eastAsia="Arial" w:hAnsi="Arial"/>
                <w:sz w:val="14"/>
                <w:szCs w:val="14"/>
                <w:color w:val="auto"/>
              </w:rPr>
              <w:t>Net income (loss) attributable to Itron, Inc.</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00"/>
        </w:trPr>
        <w:tc>
          <w:tcPr>
            <w:tcW w:w="3640" w:type="dxa"/>
            <w:vAlign w:val="bottom"/>
          </w:tcPr>
          <w:p>
            <w:pPr>
              <w:ind w:left="40"/>
              <w:spacing w:after="0"/>
              <w:rPr>
                <w:sz w:val="20"/>
                <w:szCs w:val="20"/>
                <w:color w:val="auto"/>
              </w:rPr>
            </w:pPr>
            <w:r>
              <w:rPr>
                <w:rFonts w:ascii="Arial" w:cs="Arial" w:eastAsia="Arial" w:hAnsi="Arial"/>
                <w:sz w:val="14"/>
                <w:szCs w:val="14"/>
                <w:color w:val="auto"/>
              </w:rPr>
              <w:t>Earnings (loss) per common share - Basic</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36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0"/>
              <w:spacing w:after="0"/>
              <w:rPr>
                <w:sz w:val="20"/>
                <w:szCs w:val="20"/>
                <w:color w:val="auto"/>
              </w:rPr>
            </w:pPr>
            <w:r>
              <w:rPr>
                <w:rFonts w:ascii="Arial" w:cs="Arial" w:eastAsia="Arial" w:hAnsi="Arial"/>
                <w:sz w:val="14"/>
                <w:szCs w:val="14"/>
                <w:color w:val="auto"/>
              </w:rPr>
              <w:t>Earnings (loss) per common share - Diluted</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36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3"/>
        </w:trPr>
        <w:tc>
          <w:tcPr>
            <w:tcW w:w="3640" w:type="dxa"/>
            <w:vAlign w:val="bottom"/>
          </w:tcPr>
          <w:p>
            <w:pPr>
              <w:ind w:left="40"/>
              <w:spacing w:after="0"/>
              <w:rPr>
                <w:sz w:val="20"/>
                <w:szCs w:val="20"/>
                <w:color w:val="auto"/>
              </w:rPr>
            </w:pPr>
            <w:r>
              <w:rPr>
                <w:rFonts w:ascii="Arial" w:cs="Arial" w:eastAsia="Arial" w:hAnsi="Arial"/>
                <w:sz w:val="14"/>
                <w:szCs w:val="14"/>
                <w:color w:val="auto"/>
              </w:rPr>
              <w:t>Weighted average common shares outstanding - Basic</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40"/>
              <w:spacing w:after="0"/>
              <w:rPr>
                <w:sz w:val="20"/>
                <w:szCs w:val="20"/>
                <w:color w:val="auto"/>
              </w:rPr>
            </w:pPr>
            <w:r>
              <w:rPr>
                <w:rFonts w:ascii="Arial" w:cs="Arial" w:eastAsia="Arial" w:hAnsi="Arial"/>
                <w:sz w:val="14"/>
                <w:szCs w:val="14"/>
                <w:color w:val="auto"/>
              </w:rPr>
              <w:t>Weighted average common shares outstanding - Diluted</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496,454</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(14,102)</w:t>
            </w:r>
          </w:p>
        </w:tc>
        <w:tc>
          <w:tcPr>
            <w:tcW w:w="12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482,352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1,460,602</w:t>
            </w:r>
          </w:p>
        </w:tc>
        <w:tc>
          <w:tcPr>
            <w:tcW w:w="1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(23,507)</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1,437,095</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345,692</w:t>
            </w: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(8,639)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337,053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992,264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(13,978)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978,286</w:t>
            </w:r>
          </w:p>
        </w:tc>
      </w:tr>
      <w:tr>
        <w:trPr>
          <w:trHeight w:val="258"/>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150,762</w:t>
            </w:r>
          </w:p>
        </w:tc>
        <w:tc>
          <w:tcPr>
            <w:tcW w:w="36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(5,463)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145,299</w:t>
            </w:r>
          </w:p>
        </w:tc>
        <w:tc>
          <w:tcPr>
            <w:tcW w:w="3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468,338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458,809</w:t>
            </w:r>
          </w:p>
        </w:tc>
      </w:tr>
      <w:tr>
        <w:trPr>
          <w:trHeight w:val="81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44,484</w:t>
            </w:r>
          </w:p>
        </w:tc>
        <w:tc>
          <w:tcPr>
            <w:tcW w:w="3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44,559</w:t>
            </w:r>
          </w:p>
        </w:tc>
        <w:tc>
          <w:tcPr>
            <w:tcW w:w="3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138,212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(2,673)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135,539</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42,303</w:t>
            </w:r>
          </w:p>
        </w:tc>
        <w:tc>
          <w:tcPr>
            <w:tcW w:w="36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42,357</w:t>
            </w:r>
          </w:p>
        </w:tc>
        <w:tc>
          <w:tcPr>
            <w:tcW w:w="3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130,711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130,749</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36,542</w:t>
            </w:r>
          </w:p>
        </w:tc>
        <w:tc>
          <w:tcPr>
            <w:tcW w:w="36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36,603</w:t>
            </w:r>
          </w:p>
        </w:tc>
        <w:tc>
          <w:tcPr>
            <w:tcW w:w="3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114,629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114,496</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10,917</w:t>
            </w:r>
          </w:p>
        </w:tc>
        <w:tc>
          <w:tcPr>
            <w:tcW w:w="3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10,917</w:t>
            </w:r>
          </w:p>
        </w:tc>
        <w:tc>
          <w:tcPr>
            <w:tcW w:w="3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33,096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33,096</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58</w:t>
            </w:r>
          </w:p>
        </w:tc>
        <w:tc>
          <w:tcPr>
            <w:tcW w:w="36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57</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(2,217)</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977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134,304</w:t>
            </w:r>
          </w:p>
        </w:tc>
        <w:tc>
          <w:tcPr>
            <w:tcW w:w="3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134,493</w:t>
            </w:r>
          </w:p>
        </w:tc>
        <w:tc>
          <w:tcPr>
            <w:tcW w:w="3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415,414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(3,751)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411,663</w:t>
            </w:r>
          </w:p>
        </w:tc>
      </w:tr>
      <w:tr>
        <w:trPr>
          <w:trHeight w:val="528"/>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16,458</w:t>
            </w:r>
          </w:p>
        </w:tc>
        <w:tc>
          <w:tcPr>
            <w:tcW w:w="36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(5,652)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10,806</w:t>
            </w:r>
          </w:p>
        </w:tc>
        <w:tc>
          <w:tcPr>
            <w:tcW w:w="3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52,924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(5,778)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47,146</w:t>
            </w:r>
          </w:p>
        </w:tc>
      </w:tr>
      <w:tr>
        <w:trPr>
          <w:trHeight w:val="54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163</w:t>
            </w:r>
          </w:p>
        </w:tc>
        <w:tc>
          <w:tcPr>
            <w:tcW w:w="36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163</w:t>
            </w:r>
          </w:p>
        </w:tc>
        <w:tc>
          <w:tcPr>
            <w:tcW w:w="3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313</w:t>
            </w:r>
          </w:p>
        </w:tc>
      </w:tr>
      <w:tr>
        <w:trPr>
          <w:trHeight w:val="270"/>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(3,015)</w:t>
            </w:r>
          </w:p>
        </w:tc>
        <w:tc>
          <w:tcPr>
            <w:tcW w:w="3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(3,015)</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(8,837)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(8,837)</w:t>
            </w:r>
          </w:p>
        </w:tc>
      </w:tr>
      <w:tr>
        <w:trPr>
          <w:trHeight w:val="276"/>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(1,569)</w:t>
            </w: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(5,444)</w:t>
            </w:r>
          </w:p>
        </w:tc>
      </w:tr>
      <w:tr>
        <w:trPr>
          <w:trHeight w:val="264"/>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(4,421)</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(4,419)</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(13,966)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(13,968)</w:t>
            </w:r>
          </w:p>
        </w:tc>
      </w:tr>
      <w:tr>
        <w:trPr>
          <w:trHeight w:val="528"/>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12,037</w:t>
            </w:r>
          </w:p>
        </w:tc>
        <w:tc>
          <w:tcPr>
            <w:tcW w:w="36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(5,650)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6,387</w:t>
            </w:r>
          </w:p>
        </w:tc>
        <w:tc>
          <w:tcPr>
            <w:tcW w:w="3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38,958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(5,780)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33,178</w:t>
            </w:r>
          </w:p>
        </w:tc>
      </w:tr>
      <w:tr>
        <w:trPr>
          <w:trHeight w:val="276"/>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(4,484)</w:t>
            </w: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1,927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(11,679)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2,838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(8,841)</w:t>
            </w:r>
          </w:p>
        </w:tc>
      </w:tr>
      <w:tr>
        <w:trPr>
          <w:trHeight w:val="258"/>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7,553</w:t>
            </w:r>
          </w:p>
        </w:tc>
        <w:tc>
          <w:tcPr>
            <w:tcW w:w="36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(3,723)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3,830</w:t>
            </w:r>
          </w:p>
        </w:tc>
        <w:tc>
          <w:tcPr>
            <w:tcW w:w="3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27,279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24,337</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245</w:t>
            </w:r>
          </w:p>
        </w:tc>
        <w:tc>
          <w:tcPr>
            <w:tcW w:w="36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245</w:t>
            </w:r>
          </w:p>
        </w:tc>
        <w:tc>
          <w:tcPr>
            <w:tcW w:w="3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966</w:t>
            </w:r>
          </w:p>
        </w:tc>
      </w:tr>
      <w:tr>
        <w:trPr>
          <w:trHeight w:val="264"/>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7,308</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(3,723)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3,585</w:t>
            </w:r>
          </w:p>
        </w:tc>
        <w:tc>
          <w:tcPr>
            <w:tcW w:w="3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26,313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23,371</w:t>
            </w:r>
          </w:p>
        </w:tc>
      </w:tr>
      <w:tr>
        <w:trPr>
          <w:trHeight w:val="20"/>
        </w:trPr>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2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0.19</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0.09</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0.67</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0.60</w:t>
            </w:r>
          </w:p>
        </w:tc>
      </w:tr>
      <w:tr>
        <w:trPr>
          <w:trHeight w:val="20"/>
        </w:trPr>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0.19</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0.09</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0.67</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0.59</w:t>
            </w:r>
          </w:p>
        </w:tc>
      </w:tr>
      <w:tr>
        <w:trPr>
          <w:trHeight w:val="20"/>
        </w:trPr>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15"/>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39,213</w:t>
            </w:r>
          </w:p>
        </w:tc>
        <w:tc>
          <w:tcPr>
            <w:tcW w:w="36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39,213</w:t>
            </w:r>
          </w:p>
        </w:tc>
        <w:tc>
          <w:tcPr>
            <w:tcW w:w="3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39,268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39,268</w:t>
            </w:r>
          </w:p>
        </w:tc>
      </w:tr>
      <w:tr>
        <w:trPr>
          <w:trHeight w:val="27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39,493</w:t>
            </w:r>
          </w:p>
        </w:tc>
        <w:tc>
          <w:tcPr>
            <w:tcW w:w="3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39,493</w:t>
            </w:r>
          </w:p>
        </w:tc>
        <w:tc>
          <w:tcPr>
            <w:tcW w:w="3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39,516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39,516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-4751070</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-4408170</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-4065270</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-3722370</wp:posOffset>
            </wp:positionV>
            <wp:extent cx="7246620" cy="37306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73062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-5102860</wp:posOffset>
            </wp:positionV>
            <wp:extent cx="7246620"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480"/>
            <w:col w:w="6840"/>
          </w:cols>
          <w:pgMar w:left="240" w:top="125" w:right="239" w:bottom="1440" w:gutter="0" w:footer="0" w:header="0"/>
          <w:type w:val="continuous"/>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25" w:right="2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6080" w:type="dxa"/>
            <w:vAlign w:val="bottom"/>
            <w:gridSpan w:val="3"/>
          </w:tcPr>
          <w:p>
            <w:pPr>
              <w:jc w:val="right"/>
              <w:ind w:right="4800"/>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gridSpan w:val="7"/>
            <w:vMerge w:val="restart"/>
          </w:tcPr>
          <w:p>
            <w:pPr>
              <w:jc w:val="center"/>
              <w:ind w:right="110"/>
              <w:spacing w:after="0"/>
              <w:rPr>
                <w:sz w:val="20"/>
                <w:szCs w:val="20"/>
                <w:color w:val="auto"/>
              </w:rPr>
            </w:pPr>
            <w:r>
              <w:rPr>
                <w:rFonts w:ascii="Arial" w:cs="Arial" w:eastAsia="Arial" w:hAnsi="Arial"/>
                <w:sz w:val="18"/>
                <w:szCs w:val="18"/>
                <w:b w:val="1"/>
                <w:bCs w:val="1"/>
                <w:color w:val="auto"/>
                <w:w w:val="92"/>
              </w:rPr>
              <w:t>Three Months Ended March 31, 2015</w:t>
            </w:r>
          </w:p>
        </w:tc>
        <w:tc>
          <w:tcPr>
            <w:tcW w:w="0" w:type="dxa"/>
            <w:vAlign w:val="bottom"/>
          </w:tcPr>
          <w:p>
            <w:pPr>
              <w:spacing w:after="0" w:line="20" w:lineRule="exact"/>
              <w:rPr>
                <w:sz w:val="1"/>
                <w:szCs w:val="1"/>
                <w:color w:val="auto"/>
              </w:rPr>
            </w:pPr>
          </w:p>
        </w:tc>
      </w:tr>
      <w:tr>
        <w:trPr>
          <w:trHeight w:val="642"/>
        </w:trPr>
        <w:tc>
          <w:tcPr>
            <w:tcW w:w="40" w:type="dxa"/>
            <w:vAlign w:val="bottom"/>
          </w:tcPr>
          <w:p>
            <w:pPr>
              <w:spacing w:after="0"/>
              <w:rPr>
                <w:sz w:val="24"/>
                <w:szCs w:val="24"/>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i w:val="1"/>
                <w:iCs w:val="1"/>
                <w:color w:val="auto"/>
              </w:rPr>
              <w:t>Statement of Comprehensive Income (loss) (unaudited):</w:t>
            </w:r>
          </w:p>
        </w:tc>
        <w:tc>
          <w:tcPr>
            <w:tcW w:w="200" w:type="dxa"/>
            <w:vAlign w:val="bottom"/>
          </w:tcPr>
          <w:p>
            <w:pPr>
              <w:spacing w:after="0"/>
              <w:rPr>
                <w:sz w:val="24"/>
                <w:szCs w:val="24"/>
                <w:color w:val="auto"/>
              </w:rPr>
            </w:pPr>
          </w:p>
        </w:tc>
        <w:tc>
          <w:tcPr>
            <w:tcW w:w="5120" w:type="dxa"/>
            <w:vAlign w:val="bottom"/>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As Previously</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Reported</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Adjustments</w:t>
            </w:r>
          </w:p>
        </w:tc>
        <w:tc>
          <w:tcPr>
            <w:tcW w:w="260" w:type="dxa"/>
            <w:vAlign w:val="bottom"/>
          </w:tcPr>
          <w:p>
            <w:pPr>
              <w:spacing w:after="0"/>
              <w:rPr>
                <w:sz w:val="20"/>
                <w:szCs w:val="20"/>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As Revised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 thousands)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(61,090)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(60,319)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6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Net unrealized gain (loss) on derivative instruments, designated as cash flow</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hedges</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00"/>
              <w:spacing w:after="0"/>
              <w:rPr>
                <w:sz w:val="20"/>
                <w:szCs w:val="20"/>
                <w:color w:val="auto"/>
              </w:rPr>
            </w:pPr>
            <w:r>
              <w:rPr>
                <w:rFonts w:ascii="Arial" w:cs="Arial" w:eastAsia="Arial" w:hAnsi="Arial"/>
                <w:sz w:val="18"/>
                <w:szCs w:val="18"/>
                <w:color w:val="auto"/>
              </w:rPr>
              <w:t>Pension plan benefits liability adjustment</w:t>
            </w:r>
          </w:p>
        </w:tc>
        <w:tc>
          <w:tcPr>
            <w:tcW w:w="2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(59,929)</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(54,076)</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4"/>
              </w:rPr>
              <w:t>Comprehensive income (loss) attributable to noncontrolling interest,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Itron, Inc.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(54,531)</w:t>
            </w: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0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4"/>
                <w:szCs w:val="14"/>
                <w:i w:val="1"/>
                <w:iCs w:val="1"/>
                <w:color w:val="auto"/>
              </w:rPr>
              <w:t>Statement of Comprehensive Income (loss) (unaudited):</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10"/>
          </w:tcPr>
          <w:p>
            <w:pPr>
              <w:jc w:val="center"/>
              <w:ind w:right="48"/>
              <w:spacing w:after="0"/>
              <w:rPr>
                <w:sz w:val="20"/>
                <w:szCs w:val="20"/>
                <w:color w:val="auto"/>
              </w:rPr>
            </w:pPr>
            <w:r>
              <w:rPr>
                <w:rFonts w:ascii="Arial" w:cs="Arial" w:eastAsia="Arial" w:hAnsi="Arial"/>
                <w:sz w:val="14"/>
                <w:szCs w:val="14"/>
                <w:b w:val="1"/>
                <w:bCs w:val="1"/>
                <w:color w:val="auto"/>
                <w:w w:val="93"/>
              </w:rPr>
              <w:t>Three Months Ended June 30, 2015</w:t>
            </w:r>
          </w:p>
        </w:tc>
        <w:tc>
          <w:tcPr>
            <w:tcW w:w="2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5"/>
          </w:tcPr>
          <w:p>
            <w:pPr>
              <w:jc w:val="right"/>
              <w:ind w:right="688"/>
              <w:spacing w:after="0"/>
              <w:rPr>
                <w:sz w:val="20"/>
                <w:szCs w:val="20"/>
                <w:color w:val="auto"/>
              </w:rPr>
            </w:pPr>
            <w:r>
              <w:rPr>
                <w:rFonts w:ascii="Arial" w:cs="Arial" w:eastAsia="Arial" w:hAnsi="Arial"/>
                <w:sz w:val="14"/>
                <w:szCs w:val="14"/>
                <w:b w:val="1"/>
                <w:bCs w:val="1"/>
                <w:color w:val="auto"/>
              </w:rPr>
              <w:t>Six Months Ended June 30, 2015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3"/>
                <w:szCs w:val="13"/>
                <w:color w:val="auto"/>
              </w:rPr>
            </w:pPr>
          </w:p>
        </w:tc>
        <w:tc>
          <w:tcPr>
            <w:tcW w:w="10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7"/>
              </w:rPr>
              <w:t>As Revised</w:t>
            </w:r>
          </w:p>
        </w:tc>
        <w:tc>
          <w:tcPr>
            <w:tcW w:w="200" w:type="dxa"/>
            <w:vAlign w:val="bottom"/>
          </w:tcPr>
          <w:p>
            <w:pPr>
              <w:spacing w:after="0"/>
              <w:rPr>
                <w:sz w:val="13"/>
                <w:szCs w:val="13"/>
                <w:color w:val="auto"/>
              </w:rPr>
            </w:pPr>
          </w:p>
        </w:tc>
        <w:tc>
          <w:tcPr>
            <w:tcW w:w="104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0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3"/>
                <w:szCs w:val="13"/>
                <w:color w:val="auto"/>
              </w:rPr>
            </w:pP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5"/>
              </w:rPr>
              <w:t>As Revised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Reported</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Reported</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(13,466)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(13,614)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(8,101)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 (loss), net of tax:</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8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13,856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13,757</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(47,234)</w:t>
            </w:r>
          </w:p>
        </w:tc>
        <w:tc>
          <w:tcPr>
            <w:tcW w:w="1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672</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(46,562)</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Net unrealized gain (loss) on derivative instruments, designated</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 cash flow hedges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80" w:type="dxa"/>
            <w:vAlign w:val="bottom"/>
          </w:tcPr>
          <w:p>
            <w:pPr>
              <w:ind w:left="180"/>
              <w:spacing w:after="0"/>
              <w:rPr>
                <w:sz w:val="20"/>
                <w:szCs w:val="20"/>
                <w:color w:val="auto"/>
              </w:rPr>
            </w:pPr>
            <w:r>
              <w:rPr>
                <w:rFonts w:ascii="Arial" w:cs="Arial" w:eastAsia="Arial" w:hAnsi="Arial"/>
                <w:sz w:val="14"/>
                <w:szCs w:val="14"/>
                <w:color w:val="auto"/>
              </w:rPr>
              <w:t>Pension plan benefits liability adjustment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493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493</w:t>
            </w:r>
          </w:p>
        </w:tc>
        <w:tc>
          <w:tcPr>
            <w:tcW w:w="20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997</w:t>
            </w:r>
          </w:p>
        </w:tc>
        <w:tc>
          <w:tcPr>
            <w:tcW w:w="1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shd w:val="clear" w:color="auto" w:fill="CCEEFF"/>
          </w:tcPr>
          <w:p>
            <w:pPr>
              <w:spacing w:after="0"/>
              <w:rPr>
                <w:sz w:val="22"/>
                <w:szCs w:val="22"/>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other comprehensive income (loss), net of tax</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14,472</w:t>
            </w: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14,373</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(46,228)</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672</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(45,556)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Total comprehensive income (loss), net of tax</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759</w:t>
            </w: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(54,329)</w:t>
            </w: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1,012</w:t>
            </w: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(53,317)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398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Comprehensive income (loss) attributable to noncontrolling</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net of tax</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732</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1,187</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Comprehensive income (loss) attributable to Itron, Inc.</w:t>
            </w: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(55,516)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14"/>
                <w:szCs w:val="14"/>
                <w:i w:val="1"/>
                <w:iCs w:val="1"/>
                <w:color w:val="auto"/>
              </w:rPr>
              <w:t>Statement of Comprehensive Income (loss) (unaudited):</w:t>
            </w: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0"/>
          </w:tcPr>
          <w:p>
            <w:pPr>
              <w:jc w:val="center"/>
              <w:ind w:right="68"/>
              <w:spacing w:after="0"/>
              <w:rPr>
                <w:sz w:val="20"/>
                <w:szCs w:val="20"/>
                <w:color w:val="auto"/>
              </w:rPr>
            </w:pPr>
            <w:r>
              <w:rPr>
                <w:rFonts w:ascii="Arial" w:cs="Arial" w:eastAsia="Arial" w:hAnsi="Arial"/>
                <w:sz w:val="14"/>
                <w:szCs w:val="14"/>
                <w:b w:val="1"/>
                <w:bCs w:val="1"/>
                <w:color w:val="auto"/>
                <w:w w:val="93"/>
              </w:rPr>
              <w:t>Three Months Ended September 30, 2015</w:t>
            </w:r>
          </w:p>
        </w:tc>
        <w:tc>
          <w:tcPr>
            <w:tcW w:w="2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center"/>
              <w:ind w:right="48"/>
              <w:spacing w:after="0"/>
              <w:rPr>
                <w:sz w:val="20"/>
                <w:szCs w:val="20"/>
                <w:color w:val="auto"/>
              </w:rPr>
            </w:pPr>
            <w:r>
              <w:rPr>
                <w:rFonts w:ascii="Arial" w:cs="Arial" w:eastAsia="Arial" w:hAnsi="Arial"/>
                <w:sz w:val="14"/>
                <w:szCs w:val="14"/>
                <w:b w:val="1"/>
                <w:bCs w:val="1"/>
                <w:color w:val="auto"/>
                <w:w w:val="92"/>
              </w:rPr>
              <w:t>Nine Months Ended September 30, 2015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3"/>
                <w:szCs w:val="13"/>
                <w:color w:val="auto"/>
              </w:rPr>
            </w:pP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5"/>
              </w:rPr>
              <w:t>As Revised</w:t>
            </w:r>
          </w:p>
        </w:tc>
        <w:tc>
          <w:tcPr>
            <w:tcW w:w="200" w:type="dxa"/>
            <w:vAlign w:val="bottom"/>
          </w:tcPr>
          <w:p>
            <w:pPr>
              <w:spacing w:after="0"/>
              <w:rPr>
                <w:sz w:val="13"/>
                <w:szCs w:val="13"/>
                <w:color w:val="auto"/>
              </w:rPr>
            </w:pPr>
          </w:p>
        </w:tc>
        <w:tc>
          <w:tcPr>
            <w:tcW w:w="104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w w:val="88"/>
              </w:rPr>
              <w:t>As Previously</w:t>
            </w:r>
          </w:p>
        </w:tc>
        <w:tc>
          <w:tcPr>
            <w:tcW w:w="180" w:type="dxa"/>
            <w:vAlign w:val="bottom"/>
          </w:tcPr>
          <w:p>
            <w:pPr>
              <w:spacing w:after="0"/>
              <w:rPr>
                <w:sz w:val="13"/>
                <w:szCs w:val="13"/>
                <w:color w:val="auto"/>
              </w:rPr>
            </w:pPr>
          </w:p>
        </w:tc>
        <w:tc>
          <w:tcPr>
            <w:tcW w:w="10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3"/>
                <w:szCs w:val="13"/>
                <w:color w:val="auto"/>
              </w:rPr>
            </w:pPr>
          </w:p>
        </w:tc>
        <w:tc>
          <w:tcPr>
            <w:tcW w:w="9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2"/>
              </w:rPr>
              <w:t>As Revised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4"/>
              </w:rPr>
              <w:t>Reported</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Reported</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13,325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13,270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5,224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285</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8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(15,738)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1,497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(14,241)</w:t>
            </w: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(62,972)</w:t>
            </w:r>
          </w:p>
        </w:tc>
        <w:tc>
          <w:tcPr>
            <w:tcW w:w="18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2,169</w:t>
            </w:r>
          </w:p>
        </w:tc>
        <w:tc>
          <w:tcPr>
            <w:tcW w:w="26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(60,803)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5"/>
              </w:rPr>
              <w:t>Net unrealized gain (loss) on derivative instruments, designated</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as cash flow hedges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80" w:type="dxa"/>
            <w:vAlign w:val="bottom"/>
          </w:tcPr>
          <w:p>
            <w:pPr>
              <w:ind w:left="200"/>
              <w:spacing w:after="0"/>
              <w:rPr>
                <w:sz w:val="20"/>
                <w:szCs w:val="20"/>
                <w:color w:val="auto"/>
              </w:rPr>
            </w:pPr>
            <w:r>
              <w:rPr>
                <w:rFonts w:ascii="Arial" w:cs="Arial" w:eastAsia="Arial" w:hAnsi="Arial"/>
                <w:sz w:val="14"/>
                <w:szCs w:val="14"/>
                <w:color w:val="auto"/>
              </w:rPr>
              <w:t>Pension plan benefits liability adjustment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866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866</w:t>
            </w:r>
          </w:p>
        </w:tc>
        <w:tc>
          <w:tcPr>
            <w:tcW w:w="20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1,863</w:t>
            </w:r>
          </w:p>
        </w:tc>
        <w:tc>
          <w:tcPr>
            <w:tcW w:w="18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1,863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(14,801)</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1,497</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(13,304)</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(61,029)</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2,169</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(58,860)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income (loss), net of tax</w:t>
            </w: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(1,476)</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1,442</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(55,805)</w:t>
            </w: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2,454</w:t>
            </w: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(53,351)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8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rPr>
              <w:t>Comprehensive income (loss) attributable to noncontrolling</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net of tax:</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630</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1,817</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1,817</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9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Itron, Inc.</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(57,622)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2,454</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125" w:right="25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6080" w:type="dxa"/>
            <w:vAlign w:val="bottom"/>
            <w:gridSpan w:val="3"/>
          </w:tcPr>
          <w:p>
            <w:pPr>
              <w:jc w:val="right"/>
              <w:ind w:right="4800"/>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gridSpan w:val="7"/>
            <w:vMerge w:val="restart"/>
          </w:tcPr>
          <w:p>
            <w:pPr>
              <w:jc w:val="center"/>
              <w:ind w:right="110"/>
              <w:spacing w:after="0"/>
              <w:rPr>
                <w:sz w:val="20"/>
                <w:szCs w:val="20"/>
                <w:color w:val="auto"/>
              </w:rPr>
            </w:pPr>
            <w:r>
              <w:rPr>
                <w:rFonts w:ascii="Arial" w:cs="Arial" w:eastAsia="Arial" w:hAnsi="Arial"/>
                <w:sz w:val="18"/>
                <w:szCs w:val="18"/>
                <w:b w:val="1"/>
                <w:bCs w:val="1"/>
                <w:color w:val="auto"/>
                <w:w w:val="92"/>
              </w:rPr>
              <w:t>Three Months Ended March 31, 2014</w:t>
            </w:r>
          </w:p>
        </w:tc>
        <w:tc>
          <w:tcPr>
            <w:tcW w:w="0" w:type="dxa"/>
            <w:vAlign w:val="bottom"/>
          </w:tcPr>
          <w:p>
            <w:pPr>
              <w:spacing w:after="0" w:line="20" w:lineRule="exact"/>
              <w:rPr>
                <w:sz w:val="1"/>
                <w:szCs w:val="1"/>
                <w:color w:val="auto"/>
              </w:rPr>
            </w:pPr>
          </w:p>
        </w:tc>
      </w:tr>
      <w:tr>
        <w:trPr>
          <w:trHeight w:val="642"/>
        </w:trPr>
        <w:tc>
          <w:tcPr>
            <w:tcW w:w="40" w:type="dxa"/>
            <w:vAlign w:val="bottom"/>
          </w:tcPr>
          <w:p>
            <w:pPr>
              <w:spacing w:after="0"/>
              <w:rPr>
                <w:sz w:val="24"/>
                <w:szCs w:val="24"/>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i w:val="1"/>
                <w:iCs w:val="1"/>
                <w:color w:val="auto"/>
              </w:rPr>
              <w:t>Statement of Comprehensive Income (loss) (unaudited):</w:t>
            </w:r>
          </w:p>
        </w:tc>
        <w:tc>
          <w:tcPr>
            <w:tcW w:w="200" w:type="dxa"/>
            <w:vAlign w:val="bottom"/>
          </w:tcPr>
          <w:p>
            <w:pPr>
              <w:spacing w:after="0"/>
              <w:rPr>
                <w:sz w:val="24"/>
                <w:szCs w:val="24"/>
                <w:color w:val="auto"/>
              </w:rPr>
            </w:pPr>
          </w:p>
        </w:tc>
        <w:tc>
          <w:tcPr>
            <w:tcW w:w="5120" w:type="dxa"/>
            <w:vAlign w:val="bottom"/>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As Previously</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Reported</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Adjustments</w:t>
            </w:r>
          </w:p>
        </w:tc>
        <w:tc>
          <w:tcPr>
            <w:tcW w:w="260" w:type="dxa"/>
            <w:vAlign w:val="bottom"/>
          </w:tcPr>
          <w:p>
            <w:pPr>
              <w:spacing w:after="0"/>
              <w:rPr>
                <w:sz w:val="20"/>
                <w:szCs w:val="20"/>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As Revised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 thousands)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6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Net unrealized gain (loss) on derivative instruments, designated as cash flow</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hedges</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200"/>
              <w:spacing w:after="0"/>
              <w:rPr>
                <w:sz w:val="20"/>
                <w:szCs w:val="20"/>
                <w:color w:val="auto"/>
              </w:rPr>
            </w:pPr>
            <w:r>
              <w:rPr>
                <w:rFonts w:ascii="Arial" w:cs="Arial" w:eastAsia="Arial" w:hAnsi="Arial"/>
                <w:sz w:val="18"/>
                <w:szCs w:val="18"/>
                <w:color w:val="auto"/>
              </w:rPr>
              <w:t>Pension plan benefits liability adjustment</w:t>
            </w:r>
          </w:p>
        </w:tc>
        <w:tc>
          <w:tcPr>
            <w:tcW w:w="2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3"/>
              </w:rPr>
              <w:t>Comprehensive income (loss) attributable to noncontrolling interest,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48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Itron, Inc.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0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4780" w:val="left"/>
          <w:tab w:leader="none" w:pos="8600" w:val="left"/>
        </w:tabs>
        <w:rPr>
          <w:sz w:val="20"/>
          <w:szCs w:val="20"/>
          <w:color w:val="auto"/>
        </w:rPr>
      </w:pPr>
      <w:r>
        <w:rPr>
          <w:rFonts w:ascii="Arial" w:cs="Arial" w:eastAsia="Arial" w:hAnsi="Arial"/>
          <w:sz w:val="14"/>
          <w:szCs w:val="14"/>
          <w:i w:val="1"/>
          <w:iCs w:val="1"/>
          <w:color w:val="auto"/>
        </w:rPr>
        <w:t>Statement of Comprehensive Income (loss) (unauditied):</w:t>
      </w:r>
      <w:r>
        <w:rPr>
          <w:sz w:val="20"/>
          <w:szCs w:val="20"/>
          <w:color w:val="auto"/>
        </w:rPr>
        <w:tab/>
      </w:r>
      <w:r>
        <w:rPr>
          <w:rFonts w:ascii="Arial" w:cs="Arial" w:eastAsia="Arial" w:hAnsi="Arial"/>
          <w:sz w:val="14"/>
          <w:szCs w:val="14"/>
          <w:b w:val="1"/>
          <w:bCs w:val="1"/>
          <w:color w:val="auto"/>
        </w:rPr>
        <w:t>Three Months Ended June 30, 2014</w:t>
      </w:r>
      <w:r>
        <w:rPr>
          <w:sz w:val="20"/>
          <w:szCs w:val="20"/>
          <w:color w:val="auto"/>
        </w:rPr>
        <w:tab/>
      </w:r>
      <w:r>
        <w:rPr>
          <w:rFonts w:ascii="Arial" w:cs="Arial" w:eastAsia="Arial" w:hAnsi="Arial"/>
          <w:sz w:val="13"/>
          <w:szCs w:val="13"/>
          <w:b w:val="1"/>
          <w:bCs w:val="1"/>
          <w:color w:val="auto"/>
        </w:rPr>
        <w:t>Six Months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23495</wp:posOffset>
            </wp:positionV>
            <wp:extent cx="46907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43" w:lineRule="exact"/>
        <w:rPr>
          <w:sz w:val="20"/>
          <w:szCs w:val="20"/>
          <w:color w:val="auto"/>
        </w:rPr>
      </w:pPr>
    </w:p>
    <w:tbl>
      <w:tblPr>
        <w:tblLayout w:type="fixed"/>
        <w:tblInd w:w="4020" w:type="dxa"/>
        <w:tblCellMar>
          <w:top w:w="0" w:type="dxa"/>
          <w:left w:w="0" w:type="dxa"/>
          <w:bottom w:w="0" w:type="dxa"/>
          <w:right w:w="0" w:type="dxa"/>
        </w:tblCellMar>
      </w:tblPr>
      <w:tr>
        <w:trPr>
          <w:trHeight w:val="161"/>
        </w:trPr>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As Previously</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1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Reported</w:t>
            </w:r>
          </w:p>
        </w:tc>
        <w:tc>
          <w:tcPr>
            <w:tcW w:w="13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As Previously</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12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1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720" w:space="100"/>
            <w:col w:w="358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262"/>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19,844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1,577</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7"/>
              </w:rPr>
              <w:t>21,421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19,726</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7"/>
              </w:rPr>
              <w:t>20,507</w:t>
            </w:r>
          </w:p>
        </w:tc>
      </w:tr>
      <w:tr>
        <w:trPr>
          <w:trHeight w:val="270"/>
        </w:trPr>
        <w:tc>
          <w:tcPr>
            <w:tcW w:w="4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adjustments</w:t>
            </w:r>
          </w:p>
        </w:tc>
        <w:tc>
          <w:tcPr>
            <w:tcW w:w="3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(7,995)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(7,986)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(11,369)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8"/>
              </w:rPr>
              <w:t>(11,200)</w:t>
            </w:r>
          </w:p>
        </w:tc>
      </w:tr>
      <w:tr>
        <w:trPr>
          <w:trHeight w:val="163"/>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5"/>
              </w:rPr>
              <w:t>Net unrealized gain (loss) on derivative instruments, designated</w:t>
            </w: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94"/>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as cash flow hedges</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Pension plan benefits liability adjustment</w:t>
            </w:r>
          </w:p>
        </w:tc>
        <w:tc>
          <w:tcPr>
            <w:tcW w:w="3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215</w:t>
            </w:r>
          </w:p>
        </w:tc>
      </w:tr>
      <w:tr>
        <w:trPr>
          <w:trHeight w:val="250"/>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(7,996)</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(7,987)</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(11,110)</w:t>
            </w: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(10,941)</w:t>
            </w:r>
          </w:p>
        </w:tc>
      </w:tr>
      <w:tr>
        <w:trPr>
          <w:trHeight w:val="270"/>
        </w:trPr>
        <w:tc>
          <w:tcPr>
            <w:tcW w:w="4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64"/>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income (loss), net of tax</w:t>
            </w:r>
          </w:p>
        </w:tc>
        <w:tc>
          <w:tcPr>
            <w:tcW w:w="3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11,848</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1,586</w:t>
            </w:r>
          </w:p>
        </w:tc>
        <w:tc>
          <w:tcPr>
            <w:tcW w:w="1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7"/>
              </w:rPr>
              <w:t>13,434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8,616</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950</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9,566</w:t>
            </w:r>
          </w:p>
        </w:tc>
      </w:tr>
      <w:tr>
        <w:trPr>
          <w:trHeight w:val="270"/>
        </w:trPr>
        <w:tc>
          <w:tcPr>
            <w:tcW w:w="4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157"/>
        </w:trPr>
        <w:tc>
          <w:tcPr>
            <w:tcW w:w="400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rPr>
              <w:t>Comprehensive income (loss) attributable to noncontrolling</w:t>
            </w: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94"/>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net of tax:</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721</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721</w:t>
            </w:r>
          </w:p>
        </w:tc>
      </w:tr>
      <w:tr>
        <w:trPr>
          <w:trHeight w:val="270"/>
        </w:trPr>
        <w:tc>
          <w:tcPr>
            <w:tcW w:w="40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Itron, Inc.</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11,263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1,586</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7"/>
              </w:rPr>
              <w:t>12,849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7,895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8,845</w:t>
            </w: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590"/>
        </w:trPr>
        <w:tc>
          <w:tcPr>
            <w:tcW w:w="4000" w:type="dxa"/>
            <w:vAlign w:val="bottom"/>
          </w:tcPr>
          <w:p>
            <w:pPr>
              <w:ind w:left="40"/>
              <w:spacing w:after="0"/>
              <w:rPr>
                <w:sz w:val="20"/>
                <w:szCs w:val="20"/>
                <w:color w:val="auto"/>
              </w:rPr>
            </w:pPr>
            <w:r>
              <w:rPr>
                <w:rFonts w:ascii="Arial" w:cs="Arial" w:eastAsia="Arial" w:hAnsi="Arial"/>
                <w:sz w:val="14"/>
                <w:szCs w:val="14"/>
                <w:i w:val="1"/>
                <w:iCs w:val="1"/>
                <w:color w:val="auto"/>
              </w:rPr>
              <w:t>Statement of Comprehensive Income (loss) (unaudited):</w:t>
            </w:r>
          </w:p>
        </w:tc>
        <w:tc>
          <w:tcPr>
            <w:tcW w:w="340" w:type="dxa"/>
            <w:vAlign w:val="bottom"/>
          </w:tcPr>
          <w:p>
            <w:pPr>
              <w:spacing w:after="0"/>
              <w:rPr>
                <w:sz w:val="24"/>
                <w:szCs w:val="24"/>
                <w:color w:val="auto"/>
              </w:rPr>
            </w:pPr>
          </w:p>
        </w:tc>
        <w:tc>
          <w:tcPr>
            <w:tcW w:w="282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September 30, 2014</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6"/>
          </w:tcPr>
          <w:p>
            <w:pPr>
              <w:jc w:val="right"/>
              <w:spacing w:after="0"/>
              <w:rPr>
                <w:sz w:val="20"/>
                <w:szCs w:val="20"/>
                <w:color w:val="auto"/>
              </w:rPr>
            </w:pPr>
            <w:r>
              <w:rPr>
                <w:rFonts w:ascii="Arial" w:cs="Arial" w:eastAsia="Arial" w:hAnsi="Arial"/>
                <w:sz w:val="14"/>
                <w:szCs w:val="14"/>
                <w:b w:val="1"/>
                <w:bCs w:val="1"/>
                <w:color w:val="auto"/>
              </w:rPr>
              <w:t>Nine Months Ended September 30, 2014</w:t>
            </w:r>
          </w:p>
        </w:tc>
        <w:tc>
          <w:tcPr>
            <w:tcW w:w="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7620</wp:posOffset>
            </wp:positionV>
            <wp:extent cx="46736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17" w:lineRule="exact"/>
        <w:rPr>
          <w:sz w:val="20"/>
          <w:szCs w:val="20"/>
          <w:color w:val="auto"/>
        </w:rPr>
      </w:pPr>
    </w:p>
    <w:tbl>
      <w:tblPr>
        <w:tblLayout w:type="fixed"/>
        <w:tblInd w:w="4040" w:type="dxa"/>
        <w:tblCellMar>
          <w:top w:w="0" w:type="dxa"/>
          <w:left w:w="0" w:type="dxa"/>
          <w:bottom w:w="0" w:type="dxa"/>
          <w:right w:w="0" w:type="dxa"/>
        </w:tblCellMar>
      </w:tblPr>
      <w:tr>
        <w:trPr>
          <w:trHeight w:val="161"/>
        </w:trPr>
        <w:tc>
          <w:tcPr>
            <w:tcW w:w="120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As Previously</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13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2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As Previously</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12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700" w:space="120"/>
            <w:col w:w="3580"/>
          </w:cols>
          <w:pgMar w:left="240" w:top="125" w:right="259" w:bottom="1440" w:gutter="0" w:footer="0" w:header="0"/>
          <w:type w:val="continuous"/>
        </w:sectPr>
      </w:pPr>
    </w:p>
    <w:tbl>
      <w:tblPr>
        <w:tblLayout w:type="fixed"/>
        <w:tblInd w:w="40" w:type="dxa"/>
        <w:tblCellMar>
          <w:top w:w="0" w:type="dxa"/>
          <w:left w:w="0" w:type="dxa"/>
          <w:bottom w:w="0" w:type="dxa"/>
          <w:right w:w="0" w:type="dxa"/>
        </w:tblCellMar>
      </w:tblPr>
      <w:tr>
        <w:trPr>
          <w:trHeight w:val="262"/>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7,553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27,279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24,337</w:t>
            </w:r>
          </w:p>
        </w:tc>
      </w:tr>
      <w:tr>
        <w:trPr>
          <w:trHeight w:val="270"/>
        </w:trPr>
        <w:tc>
          <w:tcPr>
            <w:tcW w:w="4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adjustments</w:t>
            </w:r>
          </w:p>
        </w:tc>
        <w:tc>
          <w:tcPr>
            <w:tcW w:w="3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(49,391)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(48,889)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(60,760)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(60,089)</w:t>
            </w:r>
          </w:p>
        </w:tc>
      </w:tr>
      <w:tr>
        <w:trPr>
          <w:trHeight w:val="163"/>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5"/>
              </w:rPr>
              <w:t>Net unrealized gain (loss) on derivative instruments, designated</w:t>
            </w: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4"/>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as cash flow hedges</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w:t>
            </w: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Pension plan benefits liability adjustment</w:t>
            </w:r>
          </w:p>
        </w:tc>
        <w:tc>
          <w:tcPr>
            <w:tcW w:w="34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313</w:t>
            </w:r>
          </w:p>
        </w:tc>
      </w:tr>
      <w:tr>
        <w:trPr>
          <w:trHeight w:val="264"/>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(48,893)</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502</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(48,391)</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(60,003)</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671</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(59,332)</w:t>
            </w:r>
          </w:p>
        </w:tc>
      </w:tr>
      <w:tr>
        <w:trPr>
          <w:trHeight w:val="270"/>
        </w:trPr>
        <w:tc>
          <w:tcPr>
            <w:tcW w:w="4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64"/>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income (loss), net of tax</w:t>
            </w:r>
          </w:p>
        </w:tc>
        <w:tc>
          <w:tcPr>
            <w:tcW w:w="3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(41,340)</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(3,221)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(44,561)</w:t>
            </w:r>
          </w:p>
        </w:tc>
        <w:tc>
          <w:tcPr>
            <w:tcW w:w="1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(32,724)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1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(34,995)</w:t>
            </w:r>
          </w:p>
        </w:tc>
      </w:tr>
      <w:tr>
        <w:trPr>
          <w:trHeight w:val="270"/>
        </w:trPr>
        <w:tc>
          <w:tcPr>
            <w:tcW w:w="4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57"/>
        </w:trPr>
        <w:tc>
          <w:tcPr>
            <w:tcW w:w="400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rPr>
              <w:t>Comprehensive income (loss) attributable to noncontrolling</w:t>
            </w: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94"/>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net of tax:</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966</w:t>
            </w:r>
          </w:p>
        </w:tc>
      </w:tr>
      <w:tr>
        <w:trPr>
          <w:trHeight w:val="270"/>
        </w:trPr>
        <w:tc>
          <w:tcPr>
            <w:tcW w:w="40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Itron, Inc.</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(41,585)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(44,806)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(33,690)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(35,961)</w:t>
            </w: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125" w:right="25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40" w:type="dxa"/>
            <w:vAlign w:val="bottom"/>
          </w:tcPr>
          <w:p>
            <w:pPr>
              <w:ind w:left="20"/>
              <w:spacing w:after="0"/>
              <w:rPr>
                <w:sz w:val="20"/>
                <w:szCs w:val="20"/>
                <w:color w:val="auto"/>
              </w:rPr>
            </w:pPr>
            <w:r>
              <w:rPr>
                <w:rFonts w:ascii="Arial" w:cs="Arial" w:eastAsia="Arial" w:hAnsi="Arial"/>
                <w:sz w:val="16"/>
                <w:szCs w:val="16"/>
                <w:i w:val="1"/>
                <w:iCs w:val="1"/>
                <w:color w:val="auto"/>
              </w:rPr>
              <w:t>Balance Sheet data (unaudited):</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March 31, 2015</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spacing w:after="0"/>
              <w:rPr>
                <w:sz w:val="20"/>
                <w:szCs w:val="20"/>
                <w:color w:val="auto"/>
              </w:rPr>
            </w:pPr>
          </w:p>
        </w:tc>
        <w:tc>
          <w:tcPr>
            <w:tcW w:w="180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As Previously Reported</w:t>
            </w:r>
          </w:p>
        </w:tc>
        <w:tc>
          <w:tcPr>
            <w:tcW w:w="22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Adjustments</w:t>
            </w:r>
          </w:p>
        </w:tc>
        <w:tc>
          <w:tcPr>
            <w:tcW w:w="280" w:type="dxa"/>
            <w:vAlign w:val="bottom"/>
          </w:tcPr>
          <w:p>
            <w:pPr>
              <w:spacing w:after="0"/>
              <w:rPr>
                <w:sz w:val="20"/>
                <w:szCs w:val="20"/>
                <w:color w:val="auto"/>
              </w:rPr>
            </w:pPr>
          </w:p>
        </w:tc>
        <w:tc>
          <w:tcPr>
            <w:tcW w:w="1420" w:type="dxa"/>
            <w:vAlign w:val="bottom"/>
          </w:tcPr>
          <w:p>
            <w:pPr>
              <w:jc w:val="right"/>
              <w:ind w:right="390"/>
              <w:spacing w:after="0"/>
              <w:rPr>
                <w:sz w:val="20"/>
                <w:szCs w:val="20"/>
                <w:color w:val="auto"/>
              </w:rPr>
            </w:pPr>
            <w:r>
              <w:rPr>
                <w:rFonts w:ascii="Arial" w:cs="Arial" w:eastAsia="Arial" w:hAnsi="Arial"/>
                <w:sz w:val="16"/>
                <w:szCs w:val="16"/>
                <w:b w:val="1"/>
                <w:bCs w:val="1"/>
                <w:color w:val="auto"/>
              </w:rPr>
              <w:t>As Revised</w:t>
            </w:r>
          </w:p>
        </w:tc>
      </w:tr>
      <w:tr>
        <w:trPr>
          <w:trHeight w:val="33"/>
        </w:trPr>
        <w:tc>
          <w:tcPr>
            <w:tcW w:w="6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6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 thousands)</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76"/>
        </w:trPr>
        <w:tc>
          <w:tcPr>
            <w:tcW w:w="6040" w:type="dxa"/>
            <w:vAlign w:val="bottom"/>
          </w:tcPr>
          <w:p>
            <w:pPr>
              <w:ind w:left="2680"/>
              <w:spacing w:after="0"/>
              <w:rPr>
                <w:sz w:val="20"/>
                <w:szCs w:val="20"/>
                <w:color w:val="auto"/>
              </w:rPr>
            </w:pPr>
            <w:r>
              <w:rPr>
                <w:rFonts w:ascii="Arial" w:cs="Arial" w:eastAsia="Arial" w:hAnsi="Arial"/>
                <w:sz w:val="18"/>
                <w:szCs w:val="18"/>
                <w:b w:val="1"/>
                <w:bCs w:val="1"/>
                <w:color w:val="auto"/>
              </w:rPr>
              <w:t>ASSETS</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60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118,084</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324,706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324,706</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168,161</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Deferred tax assets current, net</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6,542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44,242</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109,768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128,079</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758,419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24,853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783,272</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192,781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192,064</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noncurrent, net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76,308</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20,973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47,363</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122,431</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462,718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462,718</w:t>
            </w:r>
          </w:p>
        </w:tc>
      </w:tr>
      <w:tr>
        <w:trPr>
          <w:trHeight w:val="27"/>
        </w:trPr>
        <w:tc>
          <w:tcPr>
            <w:tcW w:w="6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1,639,218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1,684,156</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0"/>
        </w:trPr>
        <w:tc>
          <w:tcPr>
            <w:tcW w:w="6040" w:type="dxa"/>
            <w:vAlign w:val="bottom"/>
            <w:tcBorders>
              <w:bottom w:val="single" w:sz="8" w:color="CCEEFF"/>
            </w:tcBorders>
            <w:shd w:val="clear" w:color="auto" w:fill="CCEEFF"/>
          </w:tcPr>
          <w:p>
            <w:pPr>
              <w:ind w:left="2040"/>
              <w:spacing w:after="0"/>
              <w:rPr>
                <w:sz w:val="20"/>
                <w:szCs w:val="20"/>
                <w:color w:val="auto"/>
              </w:rPr>
            </w:pPr>
            <w:r>
              <w:rPr>
                <w:rFonts w:ascii="Arial" w:cs="Arial" w:eastAsia="Arial" w:hAnsi="Arial"/>
                <w:sz w:val="18"/>
                <w:szCs w:val="18"/>
                <w:b w:val="1"/>
                <w:bCs w:val="1"/>
                <w:color w:val="auto"/>
              </w:rPr>
              <w:t>LIABILITIES AND EQUITY</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196,117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196,119</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78,683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78,819</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79,443</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Taxes payable</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18,740</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Current portion of warranty</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22,256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22,256</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77,693</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478,711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24,359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503,070</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331,310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331,310</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warranty</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14,809</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Pension plan benefit liability</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91,652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91,652</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 noncurrent, net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3,289</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Other long-term obligations</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72,550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35,259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107,809</w:t>
            </w:r>
          </w:p>
        </w:tc>
      </w:tr>
      <w:tr>
        <w:trPr>
          <w:trHeight w:val="27"/>
        </w:trPr>
        <w:tc>
          <w:tcPr>
            <w:tcW w:w="6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992,321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1,051,939</w:t>
            </w:r>
          </w:p>
        </w:tc>
      </w:tr>
      <w:tr>
        <w:trPr>
          <w:trHeight w:val="270"/>
        </w:trPr>
        <w:tc>
          <w:tcPr>
            <w:tcW w:w="6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70"/>
        </w:trPr>
        <w:tc>
          <w:tcPr>
            <w:tcW w:w="6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4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1,257,796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1,257,796</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(197,214)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(194,989)</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(431,681)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(448,586)</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color w:val="auto"/>
              </w:rPr>
              <w:t>Total Itron, Inc. shareholders' equity</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628,901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614,221</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17,996</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color w:val="auto"/>
              </w:rPr>
              <w:t>Total equity</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646,897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632,217</w:t>
            </w:r>
          </w:p>
        </w:tc>
      </w:tr>
      <w:tr>
        <w:trPr>
          <w:trHeight w:val="27"/>
        </w:trPr>
        <w:tc>
          <w:tcPr>
            <w:tcW w:w="6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 and equity</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1,639,218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1,684,156</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00"/>
          </w:cols>
          <w:pgMar w:left="240" w:top="125" w:right="25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ind w:left="40"/>
              <w:spacing w:after="0"/>
              <w:rPr>
                <w:sz w:val="20"/>
                <w:szCs w:val="20"/>
                <w:color w:val="auto"/>
              </w:rPr>
            </w:pPr>
            <w:r>
              <w:rPr>
                <w:rFonts w:ascii="Arial" w:cs="Arial" w:eastAsia="Arial" w:hAnsi="Arial"/>
                <w:sz w:val="16"/>
                <w:szCs w:val="16"/>
                <w:i w:val="1"/>
                <w:iCs w:val="1"/>
                <w:color w:val="auto"/>
              </w:rPr>
              <w:t>Balance Sheet data (unaudited):</w:t>
            </w: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2015</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840" w:type="dxa"/>
            <w:vAlign w:val="bottom"/>
            <w:gridSpan w:val="3"/>
          </w:tcPr>
          <w:p>
            <w:pPr>
              <w:ind w:left="60"/>
              <w:spacing w:after="0"/>
              <w:rPr>
                <w:sz w:val="20"/>
                <w:szCs w:val="20"/>
                <w:color w:val="auto"/>
              </w:rPr>
            </w:pPr>
            <w:r>
              <w:rPr>
                <w:rFonts w:ascii="Arial" w:cs="Arial" w:eastAsia="Arial" w:hAnsi="Arial"/>
                <w:sz w:val="16"/>
                <w:szCs w:val="16"/>
                <w:b w:val="1"/>
                <w:bCs w:val="1"/>
                <w:color w:val="auto"/>
                <w:w w:val="97"/>
              </w:rPr>
              <w:t>As Previously Reported</w:t>
            </w:r>
          </w:p>
        </w:tc>
        <w:tc>
          <w:tcPr>
            <w:tcW w:w="24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Adjustments</w:t>
            </w:r>
          </w:p>
        </w:tc>
        <w:tc>
          <w:tcPr>
            <w:tcW w:w="3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Arial" w:cs="Arial" w:eastAsia="Arial" w:hAnsi="Arial"/>
                <w:sz w:val="16"/>
                <w:szCs w:val="16"/>
                <w:b w:val="1"/>
                <w:bCs w:val="1"/>
                <w:color w:val="auto"/>
              </w:rPr>
              <w:t>As Revised</w:t>
            </w:r>
          </w:p>
        </w:tc>
      </w:tr>
      <w:tr>
        <w:trPr>
          <w:trHeight w:val="33"/>
        </w:trPr>
        <w:tc>
          <w:tcPr>
            <w:tcW w:w="60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(in thousands)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6"/>
        </w:trPr>
        <w:tc>
          <w:tcPr>
            <w:tcW w:w="6060" w:type="dxa"/>
            <w:vAlign w:val="bottom"/>
          </w:tcPr>
          <w:p>
            <w:pPr>
              <w:ind w:left="2700"/>
              <w:spacing w:after="0"/>
              <w:rPr>
                <w:sz w:val="20"/>
                <w:szCs w:val="20"/>
                <w:color w:val="auto"/>
              </w:rPr>
            </w:pPr>
            <w:r>
              <w:rPr>
                <w:rFonts w:ascii="Arial" w:cs="Arial" w:eastAsia="Arial" w:hAnsi="Arial"/>
                <w:sz w:val="18"/>
                <w:szCs w:val="18"/>
                <w:b w:val="1"/>
                <w:bCs w:val="1"/>
                <w:color w:val="auto"/>
              </w:rPr>
              <w:t>ASSETS</w:t>
            </w: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128,814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128,814</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338,196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338,196</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195,394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195,394</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Deferred tax assets current, net</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38,121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6,596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44,717</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5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111,248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128,298</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5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811,773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23,646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835,419</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195,510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194,756</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noncurrent, net</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73,511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28,741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21,646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50,387</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117,136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471,648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471,648</w:t>
            </w:r>
          </w:p>
        </w:tc>
      </w:tr>
      <w:tr>
        <w:trPr>
          <w:trHeight w:val="27"/>
        </w:trPr>
        <w:tc>
          <w:tcPr>
            <w:tcW w:w="6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1,698,669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1,742,857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0"/>
        </w:trPr>
        <w:tc>
          <w:tcPr>
            <w:tcW w:w="606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8"/>
                <w:szCs w:val="18"/>
                <w:b w:val="1"/>
                <w:bCs w:val="1"/>
                <w:color w:val="auto"/>
              </w:rPr>
              <w:t>LIABILITIES AND EQUITY</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226,512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226,511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60,634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60,763</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84,944</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Taxes payable</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16,435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16,435</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11,250</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Current portion of warranty</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35,589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35,589</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5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74,524</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5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485,619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510,016</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361,708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361,708</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Pension plan benefit liability</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93,918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93,918</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long-term obligations</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86,366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34,718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121,084</w:t>
            </w:r>
          </w:p>
        </w:tc>
      </w:tr>
      <w:tr>
        <w:trPr>
          <w:trHeight w:val="27"/>
        </w:trPr>
        <w:tc>
          <w:tcPr>
            <w:tcW w:w="6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1,053,408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1,112,523</w:t>
            </w:r>
          </w:p>
        </w:tc>
      </w:tr>
      <w:tr>
        <w:trPr>
          <w:trHeight w:val="270"/>
        </w:trPr>
        <w:tc>
          <w:tcPr>
            <w:tcW w:w="6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70"/>
        </w:trPr>
        <w:tc>
          <w:tcPr>
            <w:tcW w:w="6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5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1,255,154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1,255,154</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5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(182,742)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(180,616)</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5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(462,932)</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Itron, Inc. shareholders' equity</w:t>
            </w:r>
          </w:p>
        </w:tc>
        <w:tc>
          <w:tcPr>
            <w:tcW w:w="5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626,533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611,606</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5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18,728</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5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645,261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630,334</w:t>
            </w:r>
          </w:p>
        </w:tc>
      </w:tr>
      <w:tr>
        <w:trPr>
          <w:trHeight w:val="27"/>
        </w:trPr>
        <w:tc>
          <w:tcPr>
            <w:tcW w:w="6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1,698,669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1,742,857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40" w:type="dxa"/>
            <w:vAlign w:val="bottom"/>
          </w:tcPr>
          <w:p>
            <w:pPr>
              <w:ind w:left="20"/>
              <w:spacing w:after="0"/>
              <w:rPr>
                <w:sz w:val="20"/>
                <w:szCs w:val="20"/>
                <w:color w:val="auto"/>
              </w:rPr>
            </w:pPr>
            <w:r>
              <w:rPr>
                <w:rFonts w:ascii="Arial" w:cs="Arial" w:eastAsia="Arial" w:hAnsi="Arial"/>
                <w:sz w:val="16"/>
                <w:szCs w:val="16"/>
                <w:i w:val="1"/>
                <w:iCs w:val="1"/>
                <w:color w:val="auto"/>
              </w:rPr>
              <w:t>Balance Sheet data (unaudited):</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September 30, 2015</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spacing w:after="0"/>
              <w:rPr>
                <w:sz w:val="20"/>
                <w:szCs w:val="20"/>
                <w:color w:val="auto"/>
              </w:rPr>
            </w:pPr>
          </w:p>
        </w:tc>
        <w:tc>
          <w:tcPr>
            <w:tcW w:w="180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As Previously Reported</w:t>
            </w:r>
          </w:p>
        </w:tc>
        <w:tc>
          <w:tcPr>
            <w:tcW w:w="140" w:type="dxa"/>
            <w:vAlign w:val="bottom"/>
          </w:tcPr>
          <w:p>
            <w:pPr>
              <w:spacing w:after="0"/>
              <w:rPr>
                <w:sz w:val="20"/>
                <w:szCs w:val="20"/>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280" w:type="dxa"/>
            <w:vAlign w:val="bottom"/>
          </w:tcPr>
          <w:p>
            <w:pPr>
              <w:spacing w:after="0"/>
              <w:rPr>
                <w:sz w:val="20"/>
                <w:szCs w:val="20"/>
                <w:color w:val="auto"/>
              </w:rPr>
            </w:pPr>
          </w:p>
        </w:tc>
        <w:tc>
          <w:tcPr>
            <w:tcW w:w="1420" w:type="dxa"/>
            <w:vAlign w:val="bottom"/>
          </w:tcPr>
          <w:p>
            <w:pPr>
              <w:jc w:val="right"/>
              <w:ind w:right="390"/>
              <w:spacing w:after="0"/>
              <w:rPr>
                <w:sz w:val="20"/>
                <w:szCs w:val="20"/>
                <w:color w:val="auto"/>
              </w:rPr>
            </w:pPr>
            <w:r>
              <w:rPr>
                <w:rFonts w:ascii="Arial" w:cs="Arial" w:eastAsia="Arial" w:hAnsi="Arial"/>
                <w:sz w:val="16"/>
                <w:szCs w:val="16"/>
                <w:b w:val="1"/>
                <w:bCs w:val="1"/>
                <w:color w:val="auto"/>
              </w:rPr>
              <w:t>As Revised</w:t>
            </w:r>
          </w:p>
        </w:tc>
      </w:tr>
      <w:tr>
        <w:trPr>
          <w:trHeight w:val="33"/>
        </w:trPr>
        <w:tc>
          <w:tcPr>
            <w:tcW w:w="6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6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76"/>
        </w:trPr>
        <w:tc>
          <w:tcPr>
            <w:tcW w:w="6040" w:type="dxa"/>
            <w:vAlign w:val="bottom"/>
          </w:tcPr>
          <w:p>
            <w:pPr>
              <w:ind w:left="2680"/>
              <w:spacing w:after="0"/>
              <w:rPr>
                <w:sz w:val="20"/>
                <w:szCs w:val="20"/>
                <w:color w:val="auto"/>
              </w:rPr>
            </w:pPr>
            <w:r>
              <w:rPr>
                <w:rFonts w:ascii="Arial" w:cs="Arial" w:eastAsia="Arial" w:hAnsi="Arial"/>
                <w:sz w:val="18"/>
                <w:szCs w:val="18"/>
                <w:b w:val="1"/>
                <w:bCs w:val="1"/>
                <w:color w:val="auto"/>
              </w:rPr>
              <w:t>ASSETS</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60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109,458</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340,423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340,423</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214,237</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Deferred tax assets current, net</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35,975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6,946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42,921</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15,742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121,801</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806,152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22,688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828,840</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190,295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190,699</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noncurrent, net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59,897</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21,052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48,244</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111,767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111,767</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474,965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475,410</w:t>
            </w:r>
          </w:p>
        </w:tc>
      </w:tr>
      <w:tr>
        <w:trPr>
          <w:trHeight w:val="27"/>
        </w:trPr>
        <w:tc>
          <w:tcPr>
            <w:tcW w:w="6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1,670,201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1,714,857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0"/>
        </w:trPr>
        <w:tc>
          <w:tcPr>
            <w:tcW w:w="6040" w:type="dxa"/>
            <w:vAlign w:val="bottom"/>
            <w:tcBorders>
              <w:bottom w:val="single" w:sz="8" w:color="CCEEFF"/>
            </w:tcBorders>
            <w:shd w:val="clear" w:color="auto" w:fill="CCEEFF"/>
          </w:tcPr>
          <w:p>
            <w:pPr>
              <w:ind w:left="2040"/>
              <w:spacing w:after="0"/>
              <w:rPr>
                <w:sz w:val="20"/>
                <w:szCs w:val="20"/>
                <w:color w:val="auto"/>
              </w:rPr>
            </w:pPr>
            <w:r>
              <w:rPr>
                <w:rFonts w:ascii="Arial" w:cs="Arial" w:eastAsia="Arial" w:hAnsi="Arial"/>
                <w:sz w:val="18"/>
                <w:szCs w:val="18"/>
                <w:b w:val="1"/>
                <w:bCs w:val="1"/>
                <w:color w:val="auto"/>
              </w:rPr>
              <w:t>LIABILITIES AND EQUITY</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201,447</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68,837</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92,892</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Taxes payable</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13,210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13,210</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11,250</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Current portion of warranty</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40,060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40,060</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22,974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67,613</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471,955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23,354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495,309</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369,457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369,457</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warranty</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14,684</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Pension plan benefit liability</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94,100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94,100</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 noncurrent, net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3,569</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Other long-term obligations</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81,628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34,787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116,415</w:t>
            </w:r>
          </w:p>
        </w:tc>
      </w:tr>
      <w:tr>
        <w:trPr>
          <w:trHeight w:val="27"/>
        </w:trPr>
        <w:tc>
          <w:tcPr>
            <w:tcW w:w="6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1,035,393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1,093,534</w:t>
            </w:r>
          </w:p>
        </w:tc>
      </w:tr>
      <w:tr>
        <w:trPr>
          <w:trHeight w:val="270"/>
        </w:trPr>
        <w:tc>
          <w:tcPr>
            <w:tcW w:w="6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70"/>
        </w:trPr>
        <w:tc>
          <w:tcPr>
            <w:tcW w:w="6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4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1,246,177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1,246,177</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3,623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(193,920)</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(433,184)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(450,292)</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color w:val="auto"/>
              </w:rPr>
              <w:t>Total Itron, Inc. shareholders' equity</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615,450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601,965</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19,358</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color w:val="auto"/>
              </w:rPr>
              <w:t>Total equity</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634,808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621,323</w:t>
            </w:r>
          </w:p>
        </w:tc>
      </w:tr>
      <w:tr>
        <w:trPr>
          <w:trHeight w:val="27"/>
        </w:trPr>
        <w:tc>
          <w:tcPr>
            <w:tcW w:w="6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 and equity</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1,670,201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1,714,857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00"/>
          </w:cols>
          <w:pgMar w:left="240" w:top="125" w:right="25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40" w:type="dxa"/>
            <w:vAlign w:val="bottom"/>
          </w:tcPr>
          <w:p>
            <w:pPr>
              <w:ind w:left="20"/>
              <w:spacing w:after="0"/>
              <w:rPr>
                <w:sz w:val="20"/>
                <w:szCs w:val="20"/>
                <w:color w:val="auto"/>
              </w:rPr>
            </w:pPr>
            <w:r>
              <w:rPr>
                <w:rFonts w:ascii="Arial" w:cs="Arial" w:eastAsia="Arial" w:hAnsi="Arial"/>
                <w:sz w:val="16"/>
                <w:szCs w:val="16"/>
                <w:i w:val="1"/>
                <w:iCs w:val="1"/>
                <w:color w:val="auto"/>
              </w:rPr>
              <w:t>Balance Sheet data (unaudited):</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March 31, 2014</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spacing w:after="0"/>
              <w:rPr>
                <w:sz w:val="20"/>
                <w:szCs w:val="20"/>
                <w:color w:val="auto"/>
              </w:rPr>
            </w:pPr>
          </w:p>
        </w:tc>
        <w:tc>
          <w:tcPr>
            <w:tcW w:w="180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As Previously Reported</w:t>
            </w:r>
          </w:p>
        </w:tc>
        <w:tc>
          <w:tcPr>
            <w:tcW w:w="22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Adjustments</w:t>
            </w:r>
          </w:p>
        </w:tc>
        <w:tc>
          <w:tcPr>
            <w:tcW w:w="280" w:type="dxa"/>
            <w:vAlign w:val="bottom"/>
          </w:tcPr>
          <w:p>
            <w:pPr>
              <w:spacing w:after="0"/>
              <w:rPr>
                <w:sz w:val="20"/>
                <w:szCs w:val="20"/>
                <w:color w:val="auto"/>
              </w:rPr>
            </w:pPr>
          </w:p>
        </w:tc>
        <w:tc>
          <w:tcPr>
            <w:tcW w:w="1420" w:type="dxa"/>
            <w:vAlign w:val="bottom"/>
          </w:tcPr>
          <w:p>
            <w:pPr>
              <w:jc w:val="right"/>
              <w:ind w:right="390"/>
              <w:spacing w:after="0"/>
              <w:rPr>
                <w:sz w:val="20"/>
                <w:szCs w:val="20"/>
                <w:color w:val="auto"/>
              </w:rPr>
            </w:pPr>
            <w:r>
              <w:rPr>
                <w:rFonts w:ascii="Arial" w:cs="Arial" w:eastAsia="Arial" w:hAnsi="Arial"/>
                <w:sz w:val="16"/>
                <w:szCs w:val="16"/>
                <w:b w:val="1"/>
                <w:bCs w:val="1"/>
                <w:color w:val="auto"/>
              </w:rPr>
              <w:t>As Revised</w:t>
            </w:r>
          </w:p>
        </w:tc>
      </w:tr>
      <w:tr>
        <w:trPr>
          <w:trHeight w:val="33"/>
        </w:trPr>
        <w:tc>
          <w:tcPr>
            <w:tcW w:w="6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6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 thousands)</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76"/>
        </w:trPr>
        <w:tc>
          <w:tcPr>
            <w:tcW w:w="6040" w:type="dxa"/>
            <w:vAlign w:val="bottom"/>
          </w:tcPr>
          <w:p>
            <w:pPr>
              <w:ind w:left="2680"/>
              <w:spacing w:after="0"/>
              <w:rPr>
                <w:sz w:val="20"/>
                <w:szCs w:val="20"/>
                <w:color w:val="auto"/>
              </w:rPr>
            </w:pPr>
            <w:r>
              <w:rPr>
                <w:rFonts w:ascii="Arial" w:cs="Arial" w:eastAsia="Arial" w:hAnsi="Arial"/>
                <w:sz w:val="18"/>
                <w:szCs w:val="18"/>
                <w:b w:val="1"/>
                <w:bCs w:val="1"/>
                <w:color w:val="auto"/>
              </w:rPr>
              <w:t>ASSETS</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60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146,327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146,327</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341,547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341,547</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192,573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190,105</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Deferred tax assets current, net</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36,995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4,771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41,766</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104,967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116,663</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822,409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13,999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836,408</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237,326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236,045</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noncurrent, net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59,096</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15,741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47,843</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184,052</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546,437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546,437</w:t>
            </w:r>
          </w:p>
        </w:tc>
      </w:tr>
      <w:tr>
        <w:trPr>
          <w:trHeight w:val="27"/>
        </w:trPr>
        <w:tc>
          <w:tcPr>
            <w:tcW w:w="6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1,884,199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1,909,881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0"/>
        </w:trPr>
        <w:tc>
          <w:tcPr>
            <w:tcW w:w="6040" w:type="dxa"/>
            <w:vAlign w:val="bottom"/>
            <w:tcBorders>
              <w:bottom w:val="single" w:sz="8" w:color="CCEEFF"/>
            </w:tcBorders>
            <w:shd w:val="clear" w:color="auto" w:fill="CCEEFF"/>
          </w:tcPr>
          <w:p>
            <w:pPr>
              <w:ind w:left="2040"/>
              <w:spacing w:after="0"/>
              <w:rPr>
                <w:sz w:val="20"/>
                <w:szCs w:val="20"/>
                <w:color w:val="auto"/>
              </w:rPr>
            </w:pPr>
            <w:r>
              <w:rPr>
                <w:rFonts w:ascii="Arial" w:cs="Arial" w:eastAsia="Arial" w:hAnsi="Arial"/>
                <w:sz w:val="18"/>
                <w:szCs w:val="18"/>
                <w:b w:val="1"/>
                <w:bCs w:val="1"/>
                <w:color w:val="auto"/>
              </w:rPr>
              <w:t>LIABILITIES AND EQUITY</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210,675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210,676</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75,969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77,042</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89,643</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Taxes payable</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14,819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15,104</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28,125</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Current portion of warranty</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21,989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21,989</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63,539</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494,163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11,955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506,118</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320,000</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warranty</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24,035</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Pension plan benefit liability</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89,498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89,498</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 noncurrent, net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6,123</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Other long-term obligations</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79,580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30,588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110,168</w:t>
            </w:r>
          </w:p>
        </w:tc>
      </w:tr>
      <w:tr>
        <w:trPr>
          <w:trHeight w:val="27"/>
        </w:trPr>
        <w:tc>
          <w:tcPr>
            <w:tcW w:w="6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1,013,399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1,055,942</w:t>
            </w:r>
          </w:p>
        </w:tc>
      </w:tr>
      <w:tr>
        <w:trPr>
          <w:trHeight w:val="270"/>
        </w:trPr>
        <w:tc>
          <w:tcPr>
            <w:tcW w:w="6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70"/>
        </w:trPr>
        <w:tc>
          <w:tcPr>
            <w:tcW w:w="6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4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1,291,690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1,291,690</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(24,258)</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(431,364)</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color w:val="auto"/>
              </w:rPr>
              <w:t>Total Itron, Inc. shareholders' equity</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852,929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836,068</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17,871</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color w:val="auto"/>
              </w:rPr>
              <w:t>Total equity</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870,800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853,939</w:t>
            </w:r>
          </w:p>
        </w:tc>
      </w:tr>
      <w:tr>
        <w:trPr>
          <w:trHeight w:val="27"/>
        </w:trPr>
        <w:tc>
          <w:tcPr>
            <w:tcW w:w="6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 and equity</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1,884,199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1,909,881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00"/>
          </w:cols>
          <w:pgMar w:left="240" w:top="125" w:right="25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40" w:type="dxa"/>
            <w:vAlign w:val="bottom"/>
          </w:tcPr>
          <w:p>
            <w:pPr>
              <w:ind w:left="20"/>
              <w:spacing w:after="0"/>
              <w:rPr>
                <w:sz w:val="20"/>
                <w:szCs w:val="20"/>
                <w:color w:val="auto"/>
              </w:rPr>
            </w:pPr>
            <w:r>
              <w:rPr>
                <w:rFonts w:ascii="Arial" w:cs="Arial" w:eastAsia="Arial" w:hAnsi="Arial"/>
                <w:sz w:val="16"/>
                <w:szCs w:val="16"/>
                <w:i w:val="1"/>
                <w:iCs w:val="1"/>
                <w:color w:val="auto"/>
              </w:rPr>
              <w:t>Balance Sheet data (unaudited):</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2014</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spacing w:after="0"/>
              <w:rPr>
                <w:sz w:val="20"/>
                <w:szCs w:val="20"/>
                <w:color w:val="auto"/>
              </w:rPr>
            </w:pPr>
          </w:p>
        </w:tc>
        <w:tc>
          <w:tcPr>
            <w:tcW w:w="180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As Previously Reported</w:t>
            </w:r>
          </w:p>
        </w:tc>
        <w:tc>
          <w:tcPr>
            <w:tcW w:w="240" w:type="dxa"/>
            <w:vAlign w:val="bottom"/>
          </w:tcPr>
          <w:p>
            <w:pPr>
              <w:spacing w:after="0"/>
              <w:rPr>
                <w:sz w:val="20"/>
                <w:szCs w:val="20"/>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Adjustments</w:t>
            </w:r>
          </w:p>
        </w:tc>
        <w:tc>
          <w:tcPr>
            <w:tcW w:w="280" w:type="dxa"/>
            <w:vAlign w:val="bottom"/>
          </w:tcPr>
          <w:p>
            <w:pPr>
              <w:spacing w:after="0"/>
              <w:rPr>
                <w:sz w:val="20"/>
                <w:szCs w:val="20"/>
                <w:color w:val="auto"/>
              </w:rPr>
            </w:pPr>
          </w:p>
        </w:tc>
        <w:tc>
          <w:tcPr>
            <w:tcW w:w="1420" w:type="dxa"/>
            <w:vAlign w:val="bottom"/>
          </w:tcPr>
          <w:p>
            <w:pPr>
              <w:jc w:val="right"/>
              <w:ind w:right="390"/>
              <w:spacing w:after="0"/>
              <w:rPr>
                <w:sz w:val="20"/>
                <w:szCs w:val="20"/>
                <w:color w:val="auto"/>
              </w:rPr>
            </w:pPr>
            <w:r>
              <w:rPr>
                <w:rFonts w:ascii="Arial" w:cs="Arial" w:eastAsia="Arial" w:hAnsi="Arial"/>
                <w:sz w:val="16"/>
                <w:szCs w:val="16"/>
                <w:b w:val="1"/>
                <w:bCs w:val="1"/>
                <w:color w:val="auto"/>
              </w:rPr>
              <w:t>As Revised</w:t>
            </w:r>
          </w:p>
        </w:tc>
      </w:tr>
      <w:tr>
        <w:trPr>
          <w:trHeight w:val="33"/>
        </w:trPr>
        <w:tc>
          <w:tcPr>
            <w:tcW w:w="6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6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(in thousands)</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76"/>
        </w:trPr>
        <w:tc>
          <w:tcPr>
            <w:tcW w:w="6040" w:type="dxa"/>
            <w:vAlign w:val="bottom"/>
          </w:tcPr>
          <w:p>
            <w:pPr>
              <w:ind w:left="2680"/>
              <w:spacing w:after="0"/>
              <w:rPr>
                <w:sz w:val="20"/>
                <w:szCs w:val="20"/>
                <w:color w:val="auto"/>
              </w:rPr>
            </w:pPr>
            <w:r>
              <w:rPr>
                <w:rFonts w:ascii="Arial" w:cs="Arial" w:eastAsia="Arial" w:hAnsi="Arial"/>
                <w:sz w:val="18"/>
                <w:szCs w:val="18"/>
                <w:b w:val="1"/>
                <w:bCs w:val="1"/>
                <w:color w:val="auto"/>
              </w:rPr>
              <w:t>ASSETS</w:t>
            </w: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60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114,780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114,780</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369,473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369,092</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192,413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192,670</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Deferred tax assets current, net</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5,171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42,274</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112,172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125,929</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825,941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18,804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844,745</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234,840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233,571</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noncurrent, net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64,127</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31,862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16,132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47,994</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172,927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172,927</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541,539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541,539</w:t>
            </w:r>
          </w:p>
        </w:tc>
      </w:tr>
      <w:tr>
        <w:trPr>
          <w:trHeight w:val="27"/>
        </w:trPr>
        <w:tc>
          <w:tcPr>
            <w:tcW w:w="6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1,871,750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1,904,903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0"/>
        </w:trPr>
        <w:tc>
          <w:tcPr>
            <w:tcW w:w="6040" w:type="dxa"/>
            <w:vAlign w:val="bottom"/>
            <w:tcBorders>
              <w:bottom w:val="single" w:sz="8" w:color="CCEEFF"/>
            </w:tcBorders>
            <w:shd w:val="clear" w:color="auto" w:fill="CCEEFF"/>
          </w:tcPr>
          <w:p>
            <w:pPr>
              <w:ind w:left="2040"/>
              <w:spacing w:after="0"/>
              <w:rPr>
                <w:sz w:val="20"/>
                <w:szCs w:val="20"/>
                <w:color w:val="auto"/>
              </w:rPr>
            </w:pPr>
            <w:r>
              <w:rPr>
                <w:rFonts w:ascii="Arial" w:cs="Arial" w:eastAsia="Arial" w:hAnsi="Arial"/>
                <w:sz w:val="18"/>
                <w:szCs w:val="18"/>
                <w:b w:val="1"/>
                <w:bCs w:val="1"/>
                <w:color w:val="auto"/>
              </w:rPr>
              <w:t>LIABILITIES AND EQUITY</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209,080</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69,064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69,064</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92,814</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Taxes payable</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14,172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14,456</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Current portion of warranty</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23,689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23,689</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68,044</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492,561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14,586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507,147</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297,500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297,500</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warranty</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18,860</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Pension plan benefit liability</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87,988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87,988</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 noncurrent, net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6,297</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Other long-term obligations</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84,608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33,842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118,450</w:t>
            </w:r>
          </w:p>
        </w:tc>
      </w:tr>
      <w:tr>
        <w:trPr>
          <w:trHeight w:val="27"/>
        </w:trPr>
        <w:tc>
          <w:tcPr>
            <w:tcW w:w="6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987,814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1,036,242</w:t>
            </w:r>
          </w:p>
        </w:tc>
      </w:tr>
      <w:tr>
        <w:trPr>
          <w:trHeight w:val="270"/>
        </w:trPr>
        <w:tc>
          <w:tcPr>
            <w:tcW w:w="6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70"/>
        </w:trPr>
        <w:tc>
          <w:tcPr>
            <w:tcW w:w="6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4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1,293,548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1,293,548</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(32,245)</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(394,666)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(410,528)</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color w:val="auto"/>
              </w:rPr>
              <w:t>Total Itron, Inc. shareholders' equity</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866,050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850,775</w:t>
            </w:r>
          </w:p>
        </w:tc>
      </w:tr>
      <w:tr>
        <w:trPr>
          <w:trHeight w:val="27"/>
        </w:trPr>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17,886</w:t>
            </w: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color w:val="auto"/>
              </w:rPr>
              <w:t>Total equity</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883,936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868,661</w:t>
            </w:r>
          </w:p>
        </w:tc>
      </w:tr>
      <w:tr>
        <w:trPr>
          <w:trHeight w:val="27"/>
        </w:trPr>
        <w:tc>
          <w:tcPr>
            <w:tcW w:w="6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 and equity</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1,871,750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1,904,903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00"/>
          </w:cols>
          <w:pgMar w:left="240" w:top="125" w:right="25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ind w:left="40"/>
              <w:spacing w:after="0"/>
              <w:rPr>
                <w:sz w:val="20"/>
                <w:szCs w:val="20"/>
                <w:color w:val="auto"/>
              </w:rPr>
            </w:pPr>
            <w:r>
              <w:rPr>
                <w:rFonts w:ascii="Arial" w:cs="Arial" w:eastAsia="Arial" w:hAnsi="Arial"/>
                <w:sz w:val="16"/>
                <w:szCs w:val="16"/>
                <w:i w:val="1"/>
                <w:iCs w:val="1"/>
                <w:color w:val="auto"/>
              </w:rPr>
              <w:t>Balance Sheet data (unaudited):</w:t>
            </w: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September 30, 2014</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840" w:type="dxa"/>
            <w:vAlign w:val="bottom"/>
            <w:gridSpan w:val="3"/>
          </w:tcPr>
          <w:p>
            <w:pPr>
              <w:ind w:left="60"/>
              <w:spacing w:after="0"/>
              <w:rPr>
                <w:sz w:val="20"/>
                <w:szCs w:val="20"/>
                <w:color w:val="auto"/>
              </w:rPr>
            </w:pPr>
            <w:r>
              <w:rPr>
                <w:rFonts w:ascii="Arial" w:cs="Arial" w:eastAsia="Arial" w:hAnsi="Arial"/>
                <w:sz w:val="16"/>
                <w:szCs w:val="16"/>
                <w:b w:val="1"/>
                <w:bCs w:val="1"/>
                <w:color w:val="auto"/>
                <w:w w:val="97"/>
              </w:rPr>
              <w:t>As Previously Reported</w:t>
            </w:r>
          </w:p>
        </w:tc>
        <w:tc>
          <w:tcPr>
            <w:tcW w:w="16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3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Arial" w:cs="Arial" w:eastAsia="Arial" w:hAnsi="Arial"/>
                <w:sz w:val="16"/>
                <w:szCs w:val="16"/>
                <w:b w:val="1"/>
                <w:bCs w:val="1"/>
                <w:color w:val="auto"/>
              </w:rPr>
              <w:t>As Revised</w:t>
            </w:r>
          </w:p>
        </w:tc>
      </w:tr>
      <w:tr>
        <w:trPr>
          <w:trHeight w:val="33"/>
        </w:trPr>
        <w:tc>
          <w:tcPr>
            <w:tcW w:w="60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thousands)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6"/>
        </w:trPr>
        <w:tc>
          <w:tcPr>
            <w:tcW w:w="6060" w:type="dxa"/>
            <w:vAlign w:val="bottom"/>
          </w:tcPr>
          <w:p>
            <w:pPr>
              <w:ind w:left="2700"/>
              <w:spacing w:after="0"/>
              <w:rPr>
                <w:sz w:val="20"/>
                <w:szCs w:val="20"/>
                <w:color w:val="auto"/>
              </w:rPr>
            </w:pPr>
            <w:r>
              <w:rPr>
                <w:rFonts w:ascii="Arial" w:cs="Arial" w:eastAsia="Arial" w:hAnsi="Arial"/>
                <w:sz w:val="18"/>
                <w:szCs w:val="18"/>
                <w:b w:val="1"/>
                <w:bCs w:val="1"/>
                <w:color w:val="auto"/>
              </w:rPr>
              <w:t>ASSETS</w:t>
            </w: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122,475</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342,480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342,480</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190,689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190,689</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Deferred tax assets current, net</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34,581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7,109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41,690</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5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104,847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123,535</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5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795,072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820,869</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222,354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221,141</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noncurrent, net</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67,202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31,604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19,583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51,187</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155,432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515,641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515,641</w:t>
            </w:r>
          </w:p>
        </w:tc>
      </w:tr>
      <w:tr>
        <w:trPr>
          <w:trHeight w:val="27"/>
        </w:trPr>
        <w:tc>
          <w:tcPr>
            <w:tcW w:w="6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1,787,929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1,831,472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0"/>
        </w:trPr>
        <w:tc>
          <w:tcPr>
            <w:tcW w:w="606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8"/>
                <w:szCs w:val="18"/>
                <w:b w:val="1"/>
                <w:bCs w:val="1"/>
                <w:color w:val="auto"/>
              </w:rPr>
              <w:t>LIABILITIES AND EQUITY</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203,171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62,039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62,039</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91,871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Taxes payable</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18,491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18,761</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Current portion of warranty</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22,283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22,283</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5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71,364</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5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475,175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499,489</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280,000</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Pension plan benefit liability</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82,529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82,529</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long-term obligations</w:t>
            </w:r>
          </w:p>
        </w:tc>
        <w:tc>
          <w:tcPr>
            <w:tcW w:w="5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87,927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37,122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125,049</w:t>
            </w:r>
          </w:p>
        </w:tc>
      </w:tr>
      <w:tr>
        <w:trPr>
          <w:trHeight w:val="27"/>
        </w:trPr>
        <w:tc>
          <w:tcPr>
            <w:tcW w:w="6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950,922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1,012,358</w:t>
            </w:r>
          </w:p>
        </w:tc>
      </w:tr>
      <w:tr>
        <w:trPr>
          <w:trHeight w:val="270"/>
        </w:trPr>
        <w:tc>
          <w:tcPr>
            <w:tcW w:w="6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70"/>
        </w:trPr>
        <w:tc>
          <w:tcPr>
            <w:tcW w:w="6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5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1,287,959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1,288,562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5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(81,725)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(80,636)</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5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(387,358)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(406,943)</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Itron, Inc. shareholders' equity</w:t>
            </w:r>
          </w:p>
        </w:tc>
        <w:tc>
          <w:tcPr>
            <w:tcW w:w="5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818,876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(17,893)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800,983</w:t>
            </w:r>
          </w:p>
        </w:tc>
      </w:tr>
      <w:tr>
        <w:trPr>
          <w:trHeight w:val="27"/>
        </w:trPr>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5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18,131</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5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837,007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(17,893)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819,114</w:t>
            </w:r>
          </w:p>
        </w:tc>
      </w:tr>
      <w:tr>
        <w:trPr>
          <w:trHeight w:val="27"/>
        </w:trPr>
        <w:tc>
          <w:tcPr>
            <w:tcW w:w="6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1,787,929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1,831,472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20"/>
          </w:cols>
          <w:pgMar w:left="240" w:top="125" w:right="2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40" w:type="dxa"/>
            <w:vAlign w:val="bottom"/>
          </w:tcPr>
          <w:p>
            <w:pPr>
              <w:ind w:left="20"/>
              <w:spacing w:after="0"/>
              <w:rPr>
                <w:sz w:val="20"/>
                <w:szCs w:val="20"/>
                <w:color w:val="auto"/>
              </w:rPr>
            </w:pPr>
            <w:r>
              <w:rPr>
                <w:rFonts w:ascii="Arial" w:cs="Arial" w:eastAsia="Arial" w:hAnsi="Arial"/>
                <w:sz w:val="16"/>
                <w:szCs w:val="16"/>
                <w:i w:val="1"/>
                <w:iCs w:val="1"/>
                <w:color w:val="auto"/>
              </w:rPr>
              <w:t>Statement of cash flows data (unaudited):</w:t>
            </w:r>
          </w:p>
        </w:tc>
        <w:tc>
          <w:tcPr>
            <w:tcW w:w="580" w:type="dxa"/>
            <w:vAlign w:val="bottom"/>
          </w:tcPr>
          <w:p>
            <w:pPr>
              <w:spacing w:after="0"/>
              <w:rPr>
                <w:sz w:val="18"/>
                <w:szCs w:val="18"/>
                <w:color w:val="auto"/>
              </w:rPr>
            </w:pPr>
          </w:p>
        </w:tc>
        <w:tc>
          <w:tcPr>
            <w:tcW w:w="3440" w:type="dxa"/>
            <w:vAlign w:val="bottom"/>
            <w:gridSpan w:val="6"/>
          </w:tcPr>
          <w:p>
            <w:pPr>
              <w:jc w:val="center"/>
              <w:ind w:left="639"/>
              <w:spacing w:after="0"/>
              <w:rPr>
                <w:sz w:val="20"/>
                <w:szCs w:val="20"/>
                <w:color w:val="auto"/>
              </w:rPr>
            </w:pPr>
            <w:r>
              <w:rPr>
                <w:rFonts w:ascii="Arial" w:cs="Arial" w:eastAsia="Arial" w:hAnsi="Arial"/>
                <w:sz w:val="16"/>
                <w:szCs w:val="16"/>
                <w:b w:val="1"/>
                <w:bCs w:val="1"/>
                <w:color w:val="auto"/>
                <w:w w:val="94"/>
              </w:rPr>
              <w:t>Three Months Ended March 31, 2015</w:t>
            </w:r>
          </w:p>
        </w:tc>
        <w:tc>
          <w:tcPr>
            <w:tcW w:w="130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As Previously Reported</w:t>
            </w:r>
          </w:p>
        </w:tc>
        <w:tc>
          <w:tcPr>
            <w:tcW w:w="22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Adjustments</w:t>
            </w:r>
          </w:p>
        </w:tc>
        <w:tc>
          <w:tcPr>
            <w:tcW w:w="400" w:type="dxa"/>
            <w:vAlign w:val="bottom"/>
          </w:tcPr>
          <w:p>
            <w:pPr>
              <w:spacing w:after="0"/>
              <w:rPr>
                <w:sz w:val="20"/>
                <w:szCs w:val="20"/>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w w:val="92"/>
              </w:rPr>
              <w:t>As Revised</w:t>
            </w:r>
          </w:p>
        </w:tc>
      </w:tr>
      <w:tr>
        <w:trPr>
          <w:trHeight w:val="33"/>
        </w:trPr>
        <w:tc>
          <w:tcPr>
            <w:tcW w:w="60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(in thousands)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60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5,853</w:t>
            </w:r>
          </w:p>
        </w:tc>
      </w:tr>
      <w:tr>
        <w:trPr>
          <w:trHeight w:val="220"/>
        </w:trPr>
        <w:tc>
          <w:tcPr>
            <w:tcW w:w="6040" w:type="dxa"/>
            <w:vAlign w:val="bottom"/>
          </w:tcPr>
          <w:p>
            <w:pPr>
              <w:ind w:left="380"/>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6040" w:type="dxa"/>
            <w:vAlign w:val="bottom"/>
          </w:tcPr>
          <w:p>
            <w:pPr>
              <w:ind w:left="380"/>
              <w:spacing w:after="0"/>
              <w:rPr>
                <w:sz w:val="20"/>
                <w:szCs w:val="20"/>
                <w:color w:val="auto"/>
              </w:rPr>
            </w:pPr>
            <w:r>
              <w:rPr>
                <w:rFonts w:ascii="Arial" w:cs="Arial" w:eastAsia="Arial" w:hAnsi="Arial"/>
                <w:sz w:val="16"/>
                <w:szCs w:val="16"/>
                <w:color w:val="auto"/>
              </w:rPr>
              <w:t>activities:</w:t>
            </w: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19,355</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Stock-based compensation</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4,108</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of prepaid debt fees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Deferred taxes, net</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(4,932)</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Goodwill impairment</w:t>
            </w: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Restructuring expense, non-cash</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Other adjustments, net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w:t>
            </w: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acquisition:</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(23,480)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(23,732)</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(7,888)</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Other long-term assets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(3,027)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(3,081)</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other current liabilities, and taxes payable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3,760</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Wages and benefits payable</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(9,913)</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14,582</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Warranty</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2,384</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operating,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(5,305)</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(3,955)</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of property, plant, and equipment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(9,472)</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Business acquisitions, net of cash and cash equivalents acquired</w:t>
            </w:r>
          </w:p>
        </w:tc>
        <w:tc>
          <w:tcPr>
            <w:tcW w:w="5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used in investing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(9,590)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(9,590)</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borrowings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63,000</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Payments on debt</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(22,373)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(22,373)</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Issuance of common stock</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(16,341)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(16,341)</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financing,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1,186</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used in financing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25,923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25,923</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(6,665)</w:t>
            </w:r>
          </w:p>
        </w:tc>
      </w:tr>
      <w:tr>
        <w:trPr>
          <w:trHeight w:val="33"/>
        </w:trPr>
        <w:tc>
          <w:tcPr>
            <w:tcW w:w="6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(decrease) in cash and cash equivalents</w:t>
            </w: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5,713</w:t>
            </w: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112,371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112,371</w:t>
            </w:r>
          </w:p>
        </w:tc>
      </w:tr>
      <w:tr>
        <w:trPr>
          <w:trHeight w:val="33"/>
        </w:trPr>
        <w:tc>
          <w:tcPr>
            <w:tcW w:w="6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118,084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Supplemental disclosure of cash flow information:</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4"/>
        </w:trPr>
        <w:tc>
          <w:tcPr>
            <w:tcW w:w="6040" w:type="dxa"/>
            <w:vAlign w:val="bottom"/>
          </w:tcPr>
          <w:p>
            <w:pPr>
              <w:ind w:left="380"/>
              <w:spacing w:after="0"/>
              <w:rPr>
                <w:sz w:val="20"/>
                <w:szCs w:val="20"/>
                <w:color w:val="auto"/>
              </w:rPr>
            </w:pPr>
            <w:r>
              <w:rPr>
                <w:rFonts w:ascii="Arial" w:cs="Arial" w:eastAsia="Arial" w:hAnsi="Arial"/>
                <w:sz w:val="16"/>
                <w:szCs w:val="16"/>
                <w:color w:val="auto"/>
              </w:rPr>
              <w:t>Cash paid during the period for:</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Income taxes, net</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19,245</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Interest, net of amounts capitalized</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2,265</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00"/>
          </w:cols>
          <w:pgMar w:left="240" w:top="125" w:right="25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40" w:type="dxa"/>
            <w:vAlign w:val="bottom"/>
          </w:tcPr>
          <w:p>
            <w:pPr>
              <w:ind w:left="20"/>
              <w:spacing w:after="0"/>
              <w:rPr>
                <w:sz w:val="20"/>
                <w:szCs w:val="20"/>
                <w:color w:val="auto"/>
              </w:rPr>
            </w:pPr>
            <w:r>
              <w:rPr>
                <w:rFonts w:ascii="Arial" w:cs="Arial" w:eastAsia="Arial" w:hAnsi="Arial"/>
                <w:sz w:val="16"/>
                <w:szCs w:val="16"/>
                <w:i w:val="1"/>
                <w:iCs w:val="1"/>
                <w:color w:val="auto"/>
              </w:rPr>
              <w:t>Statement of cash flows data (unaudited):</w:t>
            </w:r>
          </w:p>
        </w:tc>
        <w:tc>
          <w:tcPr>
            <w:tcW w:w="580" w:type="dxa"/>
            <w:vAlign w:val="bottom"/>
          </w:tcPr>
          <w:p>
            <w:pPr>
              <w:spacing w:after="0"/>
              <w:rPr>
                <w:sz w:val="18"/>
                <w:szCs w:val="18"/>
                <w:color w:val="auto"/>
              </w:rPr>
            </w:pPr>
          </w:p>
        </w:tc>
        <w:tc>
          <w:tcPr>
            <w:tcW w:w="3360" w:type="dxa"/>
            <w:vAlign w:val="bottom"/>
            <w:gridSpan w:val="6"/>
          </w:tcPr>
          <w:p>
            <w:pPr>
              <w:jc w:val="center"/>
              <w:ind w:left="699"/>
              <w:spacing w:after="0"/>
              <w:rPr>
                <w:sz w:val="20"/>
                <w:szCs w:val="20"/>
                <w:color w:val="auto"/>
              </w:rPr>
            </w:pPr>
            <w:r>
              <w:rPr>
                <w:rFonts w:ascii="Arial" w:cs="Arial" w:eastAsia="Arial" w:hAnsi="Arial"/>
                <w:sz w:val="16"/>
                <w:szCs w:val="16"/>
                <w:b w:val="1"/>
                <w:bCs w:val="1"/>
                <w:color w:val="auto"/>
                <w:w w:val="91"/>
              </w:rPr>
              <w:t>Six Months Ended June 30, 2015</w:t>
            </w:r>
          </w:p>
        </w:tc>
        <w:tc>
          <w:tcPr>
            <w:tcW w:w="138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As Previously Reported</w:t>
            </w:r>
          </w:p>
        </w:tc>
        <w:tc>
          <w:tcPr>
            <w:tcW w:w="22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Adjustments</w:t>
            </w:r>
          </w:p>
        </w:tc>
        <w:tc>
          <w:tcPr>
            <w:tcW w:w="320" w:type="dxa"/>
            <w:vAlign w:val="bottom"/>
          </w:tcPr>
          <w:p>
            <w:pPr>
              <w:spacing w:after="0"/>
              <w:rPr>
                <w:sz w:val="20"/>
                <w:szCs w:val="20"/>
                <w:color w:val="auto"/>
              </w:rPr>
            </w:pPr>
          </w:p>
        </w:tc>
        <w:tc>
          <w:tcPr>
            <w:tcW w:w="1380" w:type="dxa"/>
            <w:vAlign w:val="bottom"/>
          </w:tcPr>
          <w:p>
            <w:pPr>
              <w:jc w:val="right"/>
              <w:ind w:right="399"/>
              <w:spacing w:after="0"/>
              <w:rPr>
                <w:sz w:val="20"/>
                <w:szCs w:val="20"/>
                <w:color w:val="auto"/>
              </w:rPr>
            </w:pPr>
            <w:r>
              <w:rPr>
                <w:rFonts w:ascii="Arial" w:cs="Arial" w:eastAsia="Arial" w:hAnsi="Arial"/>
                <w:sz w:val="16"/>
                <w:szCs w:val="16"/>
                <w:b w:val="1"/>
                <w:bCs w:val="1"/>
                <w:color w:val="auto"/>
              </w:rPr>
              <w:t>As Revised</w:t>
            </w:r>
          </w:p>
        </w:tc>
      </w:tr>
      <w:tr>
        <w:trPr>
          <w:trHeight w:val="33"/>
        </w:trPr>
        <w:tc>
          <w:tcPr>
            <w:tcW w:w="60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6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(in thousands)</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7"/>
        </w:trPr>
        <w:tc>
          <w:tcPr>
            <w:tcW w:w="60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(7,761)</w:t>
            </w:r>
          </w:p>
        </w:tc>
      </w:tr>
      <w:tr>
        <w:trPr>
          <w:trHeight w:val="220"/>
        </w:trPr>
        <w:tc>
          <w:tcPr>
            <w:tcW w:w="6040" w:type="dxa"/>
            <w:vAlign w:val="bottom"/>
          </w:tcPr>
          <w:p>
            <w:pPr>
              <w:ind w:left="380"/>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6040" w:type="dxa"/>
            <w:vAlign w:val="bottom"/>
          </w:tcPr>
          <w:p>
            <w:pPr>
              <w:ind w:left="380"/>
              <w:spacing w:after="0"/>
              <w:rPr>
                <w:sz w:val="20"/>
                <w:szCs w:val="20"/>
                <w:color w:val="auto"/>
              </w:rPr>
            </w:pPr>
            <w:r>
              <w:rPr>
                <w:rFonts w:ascii="Arial" w:cs="Arial" w:eastAsia="Arial" w:hAnsi="Arial"/>
                <w:sz w:val="16"/>
                <w:szCs w:val="16"/>
                <w:color w:val="auto"/>
              </w:rPr>
              <w:t>activities:</w:t>
            </w: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38,792</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Stock-based compensation</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7,997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7,997</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of prepaid debt fees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1,579</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Deferred taxes, net</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1,885</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Goodwill impairment</w:t>
            </w: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Restructuring expense, non-cash</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Other adjustments, net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w:t>
            </w: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acquisition:</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(8,641)</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(49,677)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(49,928)</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(6,254)</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Other long-term assets</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(3,185)</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other current liabilities, and taxes payable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23,965</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Wages and benefits payable</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(5,846)</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10,649</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Warranty</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23,119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23,046</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operating,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(9,540)</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17,567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17,567</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of property, plant, and equipment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(20,992)</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Business acquisitions, net of cash and cash equivalents acquired</w:t>
            </w:r>
          </w:p>
        </w:tc>
        <w:tc>
          <w:tcPr>
            <w:tcW w:w="5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693</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used in investing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(20,299)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(20,299)</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borrowings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74,183</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Payments on debt</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(22,373)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(22,373)</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Issuance of common stock</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1,864</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(23,185)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(23,185)</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financing,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(3,942)</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used in financing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26,547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26,547</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(7,372)</w:t>
            </w:r>
          </w:p>
        </w:tc>
      </w:tr>
      <w:tr>
        <w:trPr>
          <w:trHeight w:val="33"/>
        </w:trPr>
        <w:tc>
          <w:tcPr>
            <w:tcW w:w="6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(decrease) in cash and cash equivalents</w:t>
            </w: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16,443</w:t>
            </w: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112,371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112,371</w:t>
            </w:r>
          </w:p>
        </w:tc>
      </w:tr>
      <w:tr>
        <w:trPr>
          <w:trHeight w:val="33"/>
        </w:trPr>
        <w:tc>
          <w:tcPr>
            <w:tcW w:w="6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128,814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Supplemental disclosure of cash flow information:</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6040" w:type="dxa"/>
            <w:vAlign w:val="bottom"/>
          </w:tcPr>
          <w:p>
            <w:pPr>
              <w:ind w:left="380"/>
              <w:spacing w:after="0"/>
              <w:rPr>
                <w:sz w:val="20"/>
                <w:szCs w:val="20"/>
                <w:color w:val="auto"/>
              </w:rPr>
            </w:pPr>
            <w:r>
              <w:rPr>
                <w:rFonts w:ascii="Arial" w:cs="Arial" w:eastAsia="Arial" w:hAnsi="Arial"/>
                <w:sz w:val="16"/>
                <w:szCs w:val="16"/>
                <w:color w:val="auto"/>
              </w:rPr>
              <w:t>Cash paid during the period for:</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Income taxes, net</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21,233</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Interest, net of amounts capitalized</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4,998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4,998</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00"/>
          </w:cols>
          <w:pgMar w:left="240" w:top="125" w:right="25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40" w:type="dxa"/>
            <w:vAlign w:val="bottom"/>
          </w:tcPr>
          <w:p>
            <w:pPr>
              <w:ind w:left="20"/>
              <w:spacing w:after="0"/>
              <w:rPr>
                <w:sz w:val="20"/>
                <w:szCs w:val="20"/>
                <w:color w:val="auto"/>
              </w:rPr>
            </w:pPr>
            <w:r>
              <w:rPr>
                <w:rFonts w:ascii="Arial" w:cs="Arial" w:eastAsia="Arial" w:hAnsi="Arial"/>
                <w:sz w:val="16"/>
                <w:szCs w:val="16"/>
                <w:i w:val="1"/>
                <w:iCs w:val="1"/>
                <w:color w:val="auto"/>
              </w:rPr>
              <w:t>Statement of cash flows data (unaudited):</w:t>
            </w:r>
          </w:p>
        </w:tc>
        <w:tc>
          <w:tcPr>
            <w:tcW w:w="580" w:type="dxa"/>
            <w:vAlign w:val="bottom"/>
          </w:tcPr>
          <w:p>
            <w:pPr>
              <w:spacing w:after="0"/>
              <w:rPr>
                <w:sz w:val="18"/>
                <w:szCs w:val="18"/>
                <w:color w:val="auto"/>
              </w:rPr>
            </w:pPr>
          </w:p>
        </w:tc>
        <w:tc>
          <w:tcPr>
            <w:tcW w:w="3480" w:type="dxa"/>
            <w:vAlign w:val="bottom"/>
            <w:gridSpan w:val="6"/>
          </w:tcPr>
          <w:p>
            <w:pPr>
              <w:jc w:val="center"/>
              <w:ind w:left="599"/>
              <w:spacing w:after="0"/>
              <w:rPr>
                <w:sz w:val="20"/>
                <w:szCs w:val="20"/>
                <w:color w:val="auto"/>
              </w:rPr>
            </w:pPr>
            <w:r>
              <w:rPr>
                <w:rFonts w:ascii="Arial" w:cs="Arial" w:eastAsia="Arial" w:hAnsi="Arial"/>
                <w:sz w:val="16"/>
                <w:szCs w:val="16"/>
                <w:b w:val="1"/>
                <w:bCs w:val="1"/>
                <w:color w:val="auto"/>
                <w:w w:val="92"/>
              </w:rPr>
              <w:t>Nine Months Ended September 30, 2015</w:t>
            </w:r>
          </w:p>
        </w:tc>
        <w:tc>
          <w:tcPr>
            <w:tcW w:w="126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As Previously Reported</w:t>
            </w:r>
          </w:p>
        </w:tc>
        <w:tc>
          <w:tcPr>
            <w:tcW w:w="22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Adjustments</w:t>
            </w:r>
          </w:p>
        </w:tc>
        <w:tc>
          <w:tcPr>
            <w:tcW w:w="440" w:type="dxa"/>
            <w:vAlign w:val="bottom"/>
          </w:tcPr>
          <w:p>
            <w:pPr>
              <w:spacing w:after="0"/>
              <w:rPr>
                <w:sz w:val="20"/>
                <w:szCs w:val="20"/>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w w:val="88"/>
              </w:rPr>
              <w:t>As Revised</w:t>
            </w:r>
          </w:p>
        </w:tc>
      </w:tr>
      <w:tr>
        <w:trPr>
          <w:trHeight w:val="33"/>
        </w:trPr>
        <w:tc>
          <w:tcPr>
            <w:tcW w:w="60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6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(in thousands)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7"/>
        </w:trPr>
        <w:tc>
          <w:tcPr>
            <w:tcW w:w="60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5,509</w:t>
            </w:r>
          </w:p>
        </w:tc>
      </w:tr>
      <w:tr>
        <w:trPr>
          <w:trHeight w:val="220"/>
        </w:trPr>
        <w:tc>
          <w:tcPr>
            <w:tcW w:w="6040" w:type="dxa"/>
            <w:vAlign w:val="bottom"/>
          </w:tcPr>
          <w:p>
            <w:pPr>
              <w:ind w:left="380"/>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6040" w:type="dxa"/>
            <w:vAlign w:val="bottom"/>
          </w:tcPr>
          <w:p>
            <w:pPr>
              <w:ind w:left="380"/>
              <w:spacing w:after="0"/>
              <w:rPr>
                <w:sz w:val="20"/>
                <w:szCs w:val="20"/>
                <w:color w:val="auto"/>
              </w:rPr>
            </w:pPr>
            <w:r>
              <w:rPr>
                <w:rFonts w:ascii="Arial" w:cs="Arial" w:eastAsia="Arial" w:hAnsi="Arial"/>
                <w:sz w:val="16"/>
                <w:szCs w:val="16"/>
                <w:color w:val="auto"/>
              </w:rPr>
              <w:t>activities:</w:t>
            </w: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57,790</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Stock-based compensation</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10,879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10,879</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of prepaid debt fees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1,851</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Deferred taxes, net</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14,926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14,744</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Goodwill impairment</w:t>
            </w: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Restructuring expense, non-cash</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1,018</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Other adjustments, net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1,877</w:t>
            </w: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acquisition:</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(14,193)</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(73,212)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(73,464)</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Other long-term assets</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(2,529)</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other current liabilities, and taxes payable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(11,119)</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Wages and benefits payable</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3,787</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6,536</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Warranty</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20,280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20,207</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operating,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20,154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20,154</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of property, plant, and equipment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(33,324)</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Business acquisitions, net of cash and cash equivalents acquired</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(5,754)</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used in investing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(38,533)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(38,533)</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borrowings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89,709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89,709</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Payments on debt</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(30,186)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(30,186)</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Issuance of common stock</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2,229</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(35,278)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(35,278)</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financing,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1,881</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used in financing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28,355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28,355</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(12,889)</w:t>
            </w:r>
          </w:p>
        </w:tc>
      </w:tr>
      <w:tr>
        <w:trPr>
          <w:trHeight w:val="33"/>
        </w:trPr>
        <w:tc>
          <w:tcPr>
            <w:tcW w:w="6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(decrease) in cash and cash equivalents</w:t>
            </w: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(2,913)</w:t>
            </w: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112,371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112,371</w:t>
            </w:r>
          </w:p>
        </w:tc>
      </w:tr>
      <w:tr>
        <w:trPr>
          <w:trHeight w:val="33"/>
        </w:trPr>
        <w:tc>
          <w:tcPr>
            <w:tcW w:w="6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109,458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109,458</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Supplemental disclosure of cash flow information:</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6040" w:type="dxa"/>
            <w:vAlign w:val="bottom"/>
          </w:tcPr>
          <w:p>
            <w:pPr>
              <w:ind w:left="380"/>
              <w:spacing w:after="0"/>
              <w:rPr>
                <w:sz w:val="20"/>
                <w:szCs w:val="20"/>
                <w:color w:val="auto"/>
              </w:rPr>
            </w:pPr>
            <w:r>
              <w:rPr>
                <w:rFonts w:ascii="Arial" w:cs="Arial" w:eastAsia="Arial" w:hAnsi="Arial"/>
                <w:sz w:val="16"/>
                <w:szCs w:val="16"/>
                <w:color w:val="auto"/>
              </w:rPr>
              <w:t>Cash paid during the period for:</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Income taxes, net</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22,578</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Interest, net of amounts capitalized</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7,549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7,549</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00"/>
          </w:cols>
          <w:pgMar w:left="240" w:top="125" w:right="25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40" w:type="dxa"/>
            <w:vAlign w:val="bottom"/>
          </w:tcPr>
          <w:p>
            <w:pPr>
              <w:ind w:left="20"/>
              <w:spacing w:after="0"/>
              <w:rPr>
                <w:sz w:val="20"/>
                <w:szCs w:val="20"/>
                <w:color w:val="auto"/>
              </w:rPr>
            </w:pPr>
            <w:r>
              <w:rPr>
                <w:rFonts w:ascii="Arial" w:cs="Arial" w:eastAsia="Arial" w:hAnsi="Arial"/>
                <w:sz w:val="16"/>
                <w:szCs w:val="16"/>
                <w:i w:val="1"/>
                <w:iCs w:val="1"/>
                <w:color w:val="auto"/>
              </w:rPr>
              <w:t>Statement of cash flows data (unaudited):</w:t>
            </w:r>
          </w:p>
        </w:tc>
        <w:tc>
          <w:tcPr>
            <w:tcW w:w="580" w:type="dxa"/>
            <w:vAlign w:val="bottom"/>
          </w:tcPr>
          <w:p>
            <w:pPr>
              <w:spacing w:after="0"/>
              <w:rPr>
                <w:sz w:val="18"/>
                <w:szCs w:val="18"/>
                <w:color w:val="auto"/>
              </w:rPr>
            </w:pPr>
          </w:p>
        </w:tc>
        <w:tc>
          <w:tcPr>
            <w:tcW w:w="3440" w:type="dxa"/>
            <w:vAlign w:val="bottom"/>
            <w:gridSpan w:val="6"/>
          </w:tcPr>
          <w:p>
            <w:pPr>
              <w:jc w:val="center"/>
              <w:ind w:left="639"/>
              <w:spacing w:after="0"/>
              <w:rPr>
                <w:sz w:val="20"/>
                <w:szCs w:val="20"/>
                <w:color w:val="auto"/>
              </w:rPr>
            </w:pPr>
            <w:r>
              <w:rPr>
                <w:rFonts w:ascii="Arial" w:cs="Arial" w:eastAsia="Arial" w:hAnsi="Arial"/>
                <w:sz w:val="16"/>
                <w:szCs w:val="16"/>
                <w:b w:val="1"/>
                <w:bCs w:val="1"/>
                <w:color w:val="auto"/>
                <w:w w:val="94"/>
              </w:rPr>
              <w:t>Three Months Ended March 31, 2014</w:t>
            </w:r>
          </w:p>
        </w:tc>
        <w:tc>
          <w:tcPr>
            <w:tcW w:w="130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As Previously Reported</w:t>
            </w:r>
          </w:p>
        </w:tc>
        <w:tc>
          <w:tcPr>
            <w:tcW w:w="22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Adjustments</w:t>
            </w:r>
          </w:p>
        </w:tc>
        <w:tc>
          <w:tcPr>
            <w:tcW w:w="400" w:type="dxa"/>
            <w:vAlign w:val="bottom"/>
          </w:tcPr>
          <w:p>
            <w:pPr>
              <w:spacing w:after="0"/>
              <w:rPr>
                <w:sz w:val="20"/>
                <w:szCs w:val="20"/>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w w:val="92"/>
              </w:rPr>
              <w:t>As Revised</w:t>
            </w:r>
          </w:p>
        </w:tc>
      </w:tr>
      <w:tr>
        <w:trPr>
          <w:trHeight w:val="33"/>
        </w:trPr>
        <w:tc>
          <w:tcPr>
            <w:tcW w:w="60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(in thousands)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60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w:t>
            </w:r>
          </w:p>
        </w:tc>
      </w:tr>
      <w:tr>
        <w:trPr>
          <w:trHeight w:val="220"/>
        </w:trPr>
        <w:tc>
          <w:tcPr>
            <w:tcW w:w="6040" w:type="dxa"/>
            <w:vAlign w:val="bottom"/>
          </w:tcPr>
          <w:p>
            <w:pPr>
              <w:ind w:left="380"/>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6040" w:type="dxa"/>
            <w:vAlign w:val="bottom"/>
          </w:tcPr>
          <w:p>
            <w:pPr>
              <w:ind w:left="380"/>
              <w:spacing w:after="0"/>
              <w:rPr>
                <w:sz w:val="20"/>
                <w:szCs w:val="20"/>
                <w:color w:val="auto"/>
              </w:rPr>
            </w:pPr>
            <w:r>
              <w:rPr>
                <w:rFonts w:ascii="Arial" w:cs="Arial" w:eastAsia="Arial" w:hAnsi="Arial"/>
                <w:sz w:val="16"/>
                <w:szCs w:val="16"/>
                <w:color w:val="auto"/>
              </w:rPr>
              <w:t>activities:</w:t>
            </w: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25,187</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Stock-based compensation</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4,584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4,584</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of prepaid debt fees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Deferred taxes, net</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(2,703)</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Goodwill impairment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Restructuring expense, non-cash</w:t>
            </w:r>
          </w:p>
        </w:tc>
        <w:tc>
          <w:tcPr>
            <w:tcW w:w="5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Other adjustments, net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acquisition:</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15,186</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3,378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(12,449)</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5,838</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Other long-term assets</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(10,338)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(9,446)</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other current liabilities, and taxes payable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26,804</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Wages and benefits payable</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(2,364)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(2,092)</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19,217</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Warranty</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operating,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(2,545)</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66,761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66,761</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of property, plant, and equipment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(8,564)</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Business acquisitions, net of cash and cash equivalents acquired</w:t>
            </w:r>
          </w:p>
        </w:tc>
        <w:tc>
          <w:tcPr>
            <w:tcW w:w="5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used in investing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(8,397)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(8,397)</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borrowings</w:t>
            </w: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Payments on debt</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(30,625)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(30,625)</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Issuance of common stock</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(2,948)</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financing,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(2,244)</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used in financing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(35,507)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(35,507)</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(1,335)</w:t>
            </w:r>
          </w:p>
        </w:tc>
      </w:tr>
      <w:tr>
        <w:trPr>
          <w:trHeight w:val="33"/>
        </w:trPr>
        <w:tc>
          <w:tcPr>
            <w:tcW w:w="6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(decrease) in cash and cash equivalents</w:t>
            </w: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21,522</w:t>
            </w: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124,805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124,805</w:t>
            </w:r>
          </w:p>
        </w:tc>
      </w:tr>
      <w:tr>
        <w:trPr>
          <w:trHeight w:val="33"/>
        </w:trPr>
        <w:tc>
          <w:tcPr>
            <w:tcW w:w="6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146,327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146,327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Supplemental disclosure of cash flow information:</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4"/>
        </w:trPr>
        <w:tc>
          <w:tcPr>
            <w:tcW w:w="6040" w:type="dxa"/>
            <w:vAlign w:val="bottom"/>
          </w:tcPr>
          <w:p>
            <w:pPr>
              <w:ind w:left="380"/>
              <w:spacing w:after="0"/>
              <w:rPr>
                <w:sz w:val="20"/>
                <w:szCs w:val="20"/>
                <w:color w:val="auto"/>
              </w:rPr>
            </w:pPr>
            <w:r>
              <w:rPr>
                <w:rFonts w:ascii="Arial" w:cs="Arial" w:eastAsia="Arial" w:hAnsi="Arial"/>
                <w:sz w:val="16"/>
                <w:szCs w:val="16"/>
                <w:color w:val="auto"/>
              </w:rPr>
              <w:t>Cash paid during the period for:</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Income taxes, net</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Interest, net of amounts capitalized</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2,460</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00"/>
          </w:cols>
          <w:pgMar w:left="240" w:top="125" w:right="25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40" w:type="dxa"/>
            <w:vAlign w:val="bottom"/>
          </w:tcPr>
          <w:p>
            <w:pPr>
              <w:ind w:left="20"/>
              <w:spacing w:after="0"/>
              <w:rPr>
                <w:sz w:val="20"/>
                <w:szCs w:val="20"/>
                <w:color w:val="auto"/>
              </w:rPr>
            </w:pPr>
            <w:r>
              <w:rPr>
                <w:rFonts w:ascii="Arial" w:cs="Arial" w:eastAsia="Arial" w:hAnsi="Arial"/>
                <w:sz w:val="16"/>
                <w:szCs w:val="16"/>
                <w:i w:val="1"/>
                <w:iCs w:val="1"/>
                <w:color w:val="auto"/>
              </w:rPr>
              <w:t>Statement of cash flows data (unaudited):</w:t>
            </w:r>
          </w:p>
        </w:tc>
        <w:tc>
          <w:tcPr>
            <w:tcW w:w="580" w:type="dxa"/>
            <w:vAlign w:val="bottom"/>
          </w:tcPr>
          <w:p>
            <w:pPr>
              <w:spacing w:after="0"/>
              <w:rPr>
                <w:sz w:val="18"/>
                <w:szCs w:val="18"/>
                <w:color w:val="auto"/>
              </w:rPr>
            </w:pPr>
          </w:p>
        </w:tc>
        <w:tc>
          <w:tcPr>
            <w:tcW w:w="3360" w:type="dxa"/>
            <w:vAlign w:val="bottom"/>
            <w:gridSpan w:val="6"/>
          </w:tcPr>
          <w:p>
            <w:pPr>
              <w:jc w:val="center"/>
              <w:ind w:left="699"/>
              <w:spacing w:after="0"/>
              <w:rPr>
                <w:sz w:val="20"/>
                <w:szCs w:val="20"/>
                <w:color w:val="auto"/>
              </w:rPr>
            </w:pPr>
            <w:r>
              <w:rPr>
                <w:rFonts w:ascii="Arial" w:cs="Arial" w:eastAsia="Arial" w:hAnsi="Arial"/>
                <w:sz w:val="16"/>
                <w:szCs w:val="16"/>
                <w:b w:val="1"/>
                <w:bCs w:val="1"/>
                <w:color w:val="auto"/>
                <w:w w:val="91"/>
              </w:rPr>
              <w:t>Six Months Ended June 30, 2014</w:t>
            </w:r>
          </w:p>
        </w:tc>
        <w:tc>
          <w:tcPr>
            <w:tcW w:w="138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As Previously Reported</w:t>
            </w:r>
          </w:p>
        </w:tc>
        <w:tc>
          <w:tcPr>
            <w:tcW w:w="22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Adjustments</w:t>
            </w:r>
          </w:p>
        </w:tc>
        <w:tc>
          <w:tcPr>
            <w:tcW w:w="320" w:type="dxa"/>
            <w:vAlign w:val="bottom"/>
          </w:tcPr>
          <w:p>
            <w:pPr>
              <w:spacing w:after="0"/>
              <w:rPr>
                <w:sz w:val="20"/>
                <w:szCs w:val="20"/>
                <w:color w:val="auto"/>
              </w:rPr>
            </w:pPr>
          </w:p>
        </w:tc>
        <w:tc>
          <w:tcPr>
            <w:tcW w:w="1380" w:type="dxa"/>
            <w:vAlign w:val="bottom"/>
          </w:tcPr>
          <w:p>
            <w:pPr>
              <w:jc w:val="right"/>
              <w:ind w:right="399"/>
              <w:spacing w:after="0"/>
              <w:rPr>
                <w:sz w:val="20"/>
                <w:szCs w:val="20"/>
                <w:color w:val="auto"/>
              </w:rPr>
            </w:pPr>
            <w:r>
              <w:rPr>
                <w:rFonts w:ascii="Arial" w:cs="Arial" w:eastAsia="Arial" w:hAnsi="Arial"/>
                <w:sz w:val="16"/>
                <w:szCs w:val="16"/>
                <w:b w:val="1"/>
                <w:bCs w:val="1"/>
                <w:color w:val="auto"/>
              </w:rPr>
              <w:t>As Revised</w:t>
            </w:r>
          </w:p>
        </w:tc>
      </w:tr>
      <w:tr>
        <w:trPr>
          <w:trHeight w:val="33"/>
        </w:trPr>
        <w:tc>
          <w:tcPr>
            <w:tcW w:w="60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6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(in thousands)</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7"/>
        </w:trPr>
        <w:tc>
          <w:tcPr>
            <w:tcW w:w="60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20,507</w:t>
            </w:r>
          </w:p>
        </w:tc>
      </w:tr>
      <w:tr>
        <w:trPr>
          <w:trHeight w:val="220"/>
        </w:trPr>
        <w:tc>
          <w:tcPr>
            <w:tcW w:w="6040" w:type="dxa"/>
            <w:vAlign w:val="bottom"/>
          </w:tcPr>
          <w:p>
            <w:pPr>
              <w:ind w:left="380"/>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6040" w:type="dxa"/>
            <w:vAlign w:val="bottom"/>
          </w:tcPr>
          <w:p>
            <w:pPr>
              <w:ind w:left="380"/>
              <w:spacing w:after="0"/>
              <w:rPr>
                <w:sz w:val="20"/>
                <w:szCs w:val="20"/>
                <w:color w:val="auto"/>
              </w:rPr>
            </w:pPr>
            <w:r>
              <w:rPr>
                <w:rFonts w:ascii="Arial" w:cs="Arial" w:eastAsia="Arial" w:hAnsi="Arial"/>
                <w:sz w:val="16"/>
                <w:szCs w:val="16"/>
                <w:color w:val="auto"/>
              </w:rPr>
              <w:t>activities:</w:t>
            </w: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50,201</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Stock-based compensation</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9,454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9,454</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of prepaid debt fees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808</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Deferred taxes, net</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(9,499)</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Goodwill impairment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Restructuring expense, non-cash</w:t>
            </w:r>
          </w:p>
        </w:tc>
        <w:tc>
          <w:tcPr>
            <w:tcW w:w="5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Other adjustments, net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acquisition:</w:t>
            </w: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(14,540)</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(16,145)</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(3,768)</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Other long-term assets</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(10,166)</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other current liabilities, and taxes payable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12,797</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Wages and benefits payable</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4,473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1,356</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25,999</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Warranty</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(3,881)</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operating,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3,983</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67,191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67,191</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of property, plant, and equipment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(19,403)</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Business acquisitions, net of cash and cash equivalents acquired</w:t>
            </w:r>
          </w:p>
        </w:tc>
        <w:tc>
          <w:tcPr>
            <w:tcW w:w="5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used in investing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(19,347)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(19,347)</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borrowings</w:t>
            </w: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Payments on debt</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(51,250)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(51,250)</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Issuance of common stock</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1,530</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(7,164)</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financing,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1,204</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used in financing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(55,680)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(55,680)</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(2,189)</w:t>
            </w:r>
          </w:p>
        </w:tc>
      </w:tr>
      <w:tr>
        <w:trPr>
          <w:trHeight w:val="33"/>
        </w:trPr>
        <w:tc>
          <w:tcPr>
            <w:tcW w:w="6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(decrease) in cash and cash equivalents</w:t>
            </w: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(10,025)</w:t>
            </w: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124,805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124,805</w:t>
            </w:r>
          </w:p>
        </w:tc>
      </w:tr>
      <w:tr>
        <w:trPr>
          <w:trHeight w:val="33"/>
        </w:trPr>
        <w:tc>
          <w:tcPr>
            <w:tcW w:w="6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114,780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Supplemental disclosure of cash flow information:</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6040" w:type="dxa"/>
            <w:vAlign w:val="bottom"/>
          </w:tcPr>
          <w:p>
            <w:pPr>
              <w:ind w:left="380"/>
              <w:spacing w:after="0"/>
              <w:rPr>
                <w:sz w:val="20"/>
                <w:szCs w:val="20"/>
                <w:color w:val="auto"/>
              </w:rPr>
            </w:pPr>
            <w:r>
              <w:rPr>
                <w:rFonts w:ascii="Arial" w:cs="Arial" w:eastAsia="Arial" w:hAnsi="Arial"/>
                <w:sz w:val="16"/>
                <w:szCs w:val="16"/>
                <w:color w:val="auto"/>
              </w:rPr>
              <w:t>Cash paid during the period for:</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Income taxes, net</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3,502</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Interest, net of amounts capitalized</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4,911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4,911</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00"/>
          </w:cols>
          <w:pgMar w:left="240" w:top="125" w:right="25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040" w:type="dxa"/>
            <w:vAlign w:val="bottom"/>
          </w:tcPr>
          <w:p>
            <w:pPr>
              <w:ind w:left="20"/>
              <w:spacing w:after="0"/>
              <w:rPr>
                <w:sz w:val="20"/>
                <w:szCs w:val="20"/>
                <w:color w:val="auto"/>
              </w:rPr>
            </w:pPr>
            <w:r>
              <w:rPr>
                <w:rFonts w:ascii="Arial" w:cs="Arial" w:eastAsia="Arial" w:hAnsi="Arial"/>
                <w:sz w:val="16"/>
                <w:szCs w:val="16"/>
                <w:i w:val="1"/>
                <w:iCs w:val="1"/>
                <w:color w:val="auto"/>
              </w:rPr>
              <w:t>Statement of cash flows data (unaudited):</w:t>
            </w:r>
          </w:p>
        </w:tc>
        <w:tc>
          <w:tcPr>
            <w:tcW w:w="580" w:type="dxa"/>
            <w:vAlign w:val="bottom"/>
          </w:tcPr>
          <w:p>
            <w:pPr>
              <w:spacing w:after="0"/>
              <w:rPr>
                <w:sz w:val="18"/>
                <w:szCs w:val="18"/>
                <w:color w:val="auto"/>
              </w:rPr>
            </w:pPr>
          </w:p>
        </w:tc>
        <w:tc>
          <w:tcPr>
            <w:tcW w:w="3480" w:type="dxa"/>
            <w:vAlign w:val="bottom"/>
            <w:gridSpan w:val="6"/>
          </w:tcPr>
          <w:p>
            <w:pPr>
              <w:jc w:val="center"/>
              <w:ind w:left="599"/>
              <w:spacing w:after="0"/>
              <w:rPr>
                <w:sz w:val="20"/>
                <w:szCs w:val="20"/>
                <w:color w:val="auto"/>
              </w:rPr>
            </w:pPr>
            <w:r>
              <w:rPr>
                <w:rFonts w:ascii="Arial" w:cs="Arial" w:eastAsia="Arial" w:hAnsi="Arial"/>
                <w:sz w:val="16"/>
                <w:szCs w:val="16"/>
                <w:b w:val="1"/>
                <w:bCs w:val="1"/>
                <w:color w:val="auto"/>
                <w:w w:val="92"/>
              </w:rPr>
              <w:t>Nine Months Ended September 30, 2014</w:t>
            </w:r>
          </w:p>
        </w:tc>
        <w:tc>
          <w:tcPr>
            <w:tcW w:w="126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As Previously Reported</w:t>
            </w:r>
          </w:p>
        </w:tc>
        <w:tc>
          <w:tcPr>
            <w:tcW w:w="22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Adjustments</w:t>
            </w:r>
          </w:p>
        </w:tc>
        <w:tc>
          <w:tcPr>
            <w:tcW w:w="440" w:type="dxa"/>
            <w:vAlign w:val="bottom"/>
          </w:tcPr>
          <w:p>
            <w:pPr>
              <w:spacing w:after="0"/>
              <w:rPr>
                <w:sz w:val="20"/>
                <w:szCs w:val="20"/>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w w:val="88"/>
              </w:rPr>
              <w:t>As Revised</w:t>
            </w:r>
          </w:p>
        </w:tc>
      </w:tr>
      <w:tr>
        <w:trPr>
          <w:trHeight w:val="33"/>
        </w:trPr>
        <w:tc>
          <w:tcPr>
            <w:tcW w:w="60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6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(in thousands)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7"/>
        </w:trPr>
        <w:tc>
          <w:tcPr>
            <w:tcW w:w="60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24,337</w:t>
            </w:r>
          </w:p>
        </w:tc>
      </w:tr>
      <w:tr>
        <w:trPr>
          <w:trHeight w:val="220"/>
        </w:trPr>
        <w:tc>
          <w:tcPr>
            <w:tcW w:w="6040" w:type="dxa"/>
            <w:vAlign w:val="bottom"/>
          </w:tcPr>
          <w:p>
            <w:pPr>
              <w:ind w:left="380"/>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6040" w:type="dxa"/>
            <w:vAlign w:val="bottom"/>
          </w:tcPr>
          <w:p>
            <w:pPr>
              <w:ind w:left="380"/>
              <w:spacing w:after="0"/>
              <w:rPr>
                <w:sz w:val="20"/>
                <w:szCs w:val="20"/>
                <w:color w:val="auto"/>
              </w:rPr>
            </w:pPr>
            <w:r>
              <w:rPr>
                <w:rFonts w:ascii="Arial" w:cs="Arial" w:eastAsia="Arial" w:hAnsi="Arial"/>
                <w:sz w:val="16"/>
                <w:szCs w:val="16"/>
                <w:color w:val="auto"/>
              </w:rPr>
              <w:t>activities:</w:t>
            </w: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74,827</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Stock-based compensation</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12,703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13,306</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of prepaid debt fees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1,212</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Deferred taxes, net</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(3,281)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(13,068)</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Goodwill impairment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Restructuring expense, non-cash</w:t>
            </w:r>
          </w:p>
        </w:tc>
        <w:tc>
          <w:tcPr>
            <w:tcW w:w="5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Other adjustments, net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acquisition:</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(1,768)</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(23,986)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(23,085)</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(5,154)</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Other long-term assets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(14,370)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(15,766)</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other current liabilities, and taxes payable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20,105</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Wages and benefits payable</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6,717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(2,878)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3,839</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35,704</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Warranty</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(4,560)</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operating,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6,489</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116,538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116,538</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of property, plant, and equipment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(32,060)</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Business acquisitions, net of cash and cash equivalents acquired</w:t>
            </w:r>
          </w:p>
        </w:tc>
        <w:tc>
          <w:tcPr>
            <w:tcW w:w="5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used in investing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(32,253)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(32,253)</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borrowings</w:t>
            </w: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Payments on debt</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(68,750)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(68,750)</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Issuance of common stock</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2,324</w:t>
            </w: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(15,324)</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financing, net</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2,395</w:t>
            </w:r>
          </w:p>
        </w:tc>
      </w:tr>
      <w:tr>
        <w:trPr>
          <w:trHeight w:val="217"/>
        </w:trPr>
        <w:tc>
          <w:tcPr>
            <w:tcW w:w="6040" w:type="dxa"/>
            <w:vAlign w:val="bottom"/>
          </w:tcPr>
          <w:p>
            <w:pPr>
              <w:ind w:left="700"/>
              <w:spacing w:after="0"/>
              <w:rPr>
                <w:sz w:val="20"/>
                <w:szCs w:val="20"/>
                <w:color w:val="auto"/>
              </w:rPr>
            </w:pPr>
            <w:r>
              <w:rPr>
                <w:rFonts w:ascii="Arial" w:cs="Arial" w:eastAsia="Arial" w:hAnsi="Arial"/>
                <w:sz w:val="16"/>
                <w:szCs w:val="16"/>
                <w:color w:val="auto"/>
              </w:rPr>
              <w:t>Net cash used in financing activities</w:t>
            </w:r>
          </w:p>
        </w:tc>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(79,355)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(79,355)</w:t>
            </w:r>
          </w:p>
        </w:tc>
      </w:tr>
      <w:tr>
        <w:trPr>
          <w:trHeight w:val="33"/>
        </w:trPr>
        <w:tc>
          <w:tcPr>
            <w:tcW w:w="6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(7,260)</w:t>
            </w:r>
          </w:p>
        </w:tc>
      </w:tr>
      <w:tr>
        <w:trPr>
          <w:trHeight w:val="33"/>
        </w:trPr>
        <w:tc>
          <w:tcPr>
            <w:tcW w:w="6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(decrease) in cash and cash equivalents</w:t>
            </w: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(2,330)</w:t>
            </w: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124,805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124,805</w:t>
            </w:r>
          </w:p>
        </w:tc>
      </w:tr>
      <w:tr>
        <w:trPr>
          <w:trHeight w:val="33"/>
        </w:trPr>
        <w:tc>
          <w:tcPr>
            <w:tcW w:w="6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122,475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Supplemental disclosure of cash flow information:</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6040" w:type="dxa"/>
            <w:vAlign w:val="bottom"/>
          </w:tcPr>
          <w:p>
            <w:pPr>
              <w:ind w:left="380"/>
              <w:spacing w:after="0"/>
              <w:rPr>
                <w:sz w:val="20"/>
                <w:szCs w:val="20"/>
                <w:color w:val="auto"/>
              </w:rPr>
            </w:pPr>
            <w:r>
              <w:rPr>
                <w:rFonts w:ascii="Arial" w:cs="Arial" w:eastAsia="Arial" w:hAnsi="Arial"/>
                <w:sz w:val="16"/>
                <w:szCs w:val="16"/>
                <w:color w:val="auto"/>
              </w:rPr>
              <w:t>Cash paid during the period for:</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6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Income taxes, net</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8,528</w:t>
            </w:r>
          </w:p>
        </w:tc>
      </w:tr>
      <w:tr>
        <w:trPr>
          <w:trHeight w:val="237"/>
        </w:trPr>
        <w:tc>
          <w:tcPr>
            <w:tcW w:w="6040" w:type="dxa"/>
            <w:vAlign w:val="bottom"/>
          </w:tcPr>
          <w:p>
            <w:pPr>
              <w:ind w:left="700"/>
              <w:spacing w:after="0"/>
              <w:rPr>
                <w:sz w:val="20"/>
                <w:szCs w:val="20"/>
                <w:color w:val="auto"/>
              </w:rPr>
            </w:pPr>
            <w:r>
              <w:rPr>
                <w:rFonts w:ascii="Arial" w:cs="Arial" w:eastAsia="Arial" w:hAnsi="Arial"/>
                <w:sz w:val="16"/>
                <w:szCs w:val="16"/>
                <w:color w:val="auto"/>
              </w:rPr>
              <w:t>Interest, net of amounts capitalized</w:t>
            </w:r>
          </w:p>
        </w:tc>
        <w:tc>
          <w:tcPr>
            <w:tcW w:w="5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7,536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7,536</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June 13, 2016, we received a debt covenant waiver as discussed in Note 7 - Debt.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April 2016, the United States Internal Revenue Service (IRS) proposed certain significant adjustments to our research and development tax credit position as part of the 2011 to 2013 tax audit. Management disagrees with the proposed adjustments on technical and factual grounds. We plan to avail ourself of all administrative, and if necessary, judicial remedies and do not expect the adjustments to ultimately result in a material change to our financial position.</w:t>
      </w:r>
    </w:p>
    <w:p>
      <w:pPr>
        <w:sectPr>
          <w:pgSz w:w="11900" w:h="16838" w:orient="portrait"/>
          <w:cols w:equalWidth="0" w:num="1">
            <w:col w:w="11420"/>
          </w:cols>
          <w:pgMar w:left="240" w:top="125" w:right="239" w:bottom="215"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20"/>
          </w:cols>
          <w:pgMar w:left="240" w:top="125" w:right="239" w:bottom="215"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disagreements with our independent accountants on accounting and financial disclosure matters within the three year period ended December 31, 2015, or in any period subsequent to such date, through the date of this report.</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75" w:lineRule="exact"/>
        <w:rPr>
          <w:rFonts w:ascii="Arial" w:cs="Arial" w:eastAsia="Arial" w:hAnsi="Arial"/>
          <w:sz w:val="18"/>
          <w:szCs w:val="18"/>
          <w:b w:val="1"/>
          <w:bCs w:val="1"/>
          <w:color w:val="auto"/>
        </w:rPr>
      </w:pPr>
    </w:p>
    <w:p>
      <w:pPr>
        <w:jc w:val="both"/>
        <w:ind w:left="6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These disclosure controls and procedures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12"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Based on that evaluation, the Company’s management, including the Chief Executive Officer and Chief Financial Officer, concluded that as of December 31, 2015, the Company’s disclosure controls and procedures were not effective as a result of the material weakness that existed in the Company’s internal control over financial reporting as described in Management’s Annual Report on Internal Control over Financial Reporting. Notwithstanding the material weakness described below, management has concluded that our consolidated financial statements for the periods included in this Annual Report on Form 10-K are fairly stated, in all material respects, in accordance with generally accepted accounting principles for each of the periods presented herein.</w:t>
      </w:r>
    </w:p>
    <w:p>
      <w:pPr>
        <w:spacing w:after="0" w:line="189" w:lineRule="exact"/>
        <w:rPr>
          <w:rFonts w:ascii="Arial" w:cs="Arial" w:eastAsia="Arial" w:hAnsi="Arial"/>
          <w:sz w:val="18"/>
          <w:szCs w:val="18"/>
          <w:b w:val="1"/>
          <w:bCs w:val="1"/>
          <w:color w:val="auto"/>
        </w:rPr>
      </w:pPr>
    </w:p>
    <w:p>
      <w:pPr>
        <w:ind w:left="400" w:hanging="392"/>
        <w:spacing w:after="0"/>
        <w:tabs>
          <w:tab w:leader="none" w:pos="4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Internal Control Over Financial Reporting.</w:t>
      </w:r>
    </w:p>
    <w:p>
      <w:pPr>
        <w:spacing w:after="0" w:line="229" w:lineRule="exact"/>
        <w:rPr>
          <w:rFonts w:ascii="Arial" w:cs="Arial" w:eastAsia="Arial" w:hAnsi="Arial"/>
          <w:sz w:val="18"/>
          <w:szCs w:val="18"/>
          <w:b w:val="1"/>
          <w:bCs w:val="1"/>
          <w:color w:val="auto"/>
        </w:rPr>
      </w:pPr>
    </w:p>
    <w:p>
      <w:pPr>
        <w:jc w:val="both"/>
        <w:ind w:left="660" w:hanging="328"/>
        <w:spacing w:after="0" w:line="288"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Management’s Annual Report on Internal Control Over Financial Reporting</w:t>
      </w:r>
      <w:r>
        <w:rPr>
          <w:rFonts w:ascii="Arial" w:cs="Arial" w:eastAsia="Arial" w:hAnsi="Arial"/>
          <w:sz w:val="16"/>
          <w:szCs w:val="16"/>
          <w:color w:val="auto"/>
        </w:rPr>
        <w:t>. Our management is responsible for establishing and maintaining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 Integrated Framework</w:t>
      </w:r>
      <w:r>
        <w:rPr>
          <w:rFonts w:ascii="Arial" w:cs="Arial" w:eastAsia="Arial" w:hAnsi="Arial"/>
          <w:sz w:val="16"/>
          <w:szCs w:val="16"/>
          <w:color w:val="auto"/>
        </w:rPr>
        <w:t xml:space="preserve"> issued by the Committee of Sponsoring Organizations of the Treadway Commission (2013 Framework). Based on our evaluation under the 2013 Framework, management concluded that our internal control over financial reporting was not effective as of December 31, 2015, as deficiencies were identified in our revenue processes and controls, the combination of which represents a material weakness. Specifically, we did not design and maintain effective controls to determine whether vendor specific objective evidence (VSOE) of fair value could be demonstrated for substantially all maintenance contracts associated with certain software solutions and whether software was essential to the functionality of certain hardware. As a result, we determined that revenue from several license agreements was not recognized in the correct period.</w:t>
      </w:r>
    </w:p>
    <w:p>
      <w:pPr>
        <w:spacing w:after="0" w:line="115" w:lineRule="exact"/>
        <w:rPr>
          <w:rFonts w:ascii="Arial" w:cs="Arial" w:eastAsia="Arial" w:hAnsi="Arial"/>
          <w:sz w:val="16"/>
          <w:szCs w:val="16"/>
          <w:color w:val="auto"/>
        </w:rPr>
      </w:pPr>
    </w:p>
    <w:p>
      <w:pPr>
        <w:ind w:left="660"/>
        <w:spacing w:after="0" w:line="277" w:lineRule="auto"/>
        <w:rPr>
          <w:rFonts w:ascii="Arial" w:cs="Arial" w:eastAsia="Arial" w:hAnsi="Arial"/>
          <w:sz w:val="16"/>
          <w:szCs w:val="16"/>
          <w:color w:val="auto"/>
        </w:rPr>
      </w:pPr>
      <w:r>
        <w:rPr>
          <w:rFonts w:ascii="Arial" w:cs="Arial" w:eastAsia="Arial" w:hAnsi="Arial"/>
          <w:sz w:val="18"/>
          <w:szCs w:val="18"/>
          <w:color w:val="auto"/>
        </w:rPr>
        <w:t>The effectiveness of our internal control over financial reporting as of December 31, 2015 has been audited by Ernst &amp; Young LLP, an independent registered public accounting firm, as stated in their report that is included in this Annual Report on Form 10-K.</w:t>
      </w:r>
    </w:p>
    <w:p>
      <w:pPr>
        <w:spacing w:after="0" w:line="170" w:lineRule="exact"/>
        <w:rPr>
          <w:rFonts w:ascii="Arial" w:cs="Arial" w:eastAsia="Arial" w:hAnsi="Arial"/>
          <w:sz w:val="16"/>
          <w:szCs w:val="16"/>
          <w:color w:val="auto"/>
        </w:rPr>
      </w:pPr>
    </w:p>
    <w:p>
      <w:pPr>
        <w:jc w:val="both"/>
        <w:ind w:left="660" w:hanging="328"/>
        <w:spacing w:after="0" w:line="273"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i w:val="1"/>
          <w:iCs w:val="1"/>
          <w:color w:val="auto"/>
        </w:rPr>
        <w:t>Changes in internal control over financial reporting</w:t>
      </w:r>
      <w:r>
        <w:rPr>
          <w:rFonts w:ascii="Arial" w:cs="Arial" w:eastAsia="Arial" w:hAnsi="Arial"/>
          <w:sz w:val="17"/>
          <w:szCs w:val="17"/>
          <w:color w:val="auto"/>
        </w:rPr>
        <w:t>. In the ordinary course of business, we review our system of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our locations outside of the United States. We will continue to upgrade our financial applications in stages, and we believe the related changes to processes and internal controls will allow us to be more efficient and further enhance our internal control over financial reporting.</w:t>
      </w:r>
    </w:p>
    <w:p>
      <w:pPr>
        <w:spacing w:after="0" w:line="124" w:lineRule="exact"/>
        <w:rPr>
          <w:rFonts w:ascii="Arial" w:cs="Arial" w:eastAsia="Arial" w:hAnsi="Arial"/>
          <w:sz w:val="17"/>
          <w:szCs w:val="17"/>
          <w:color w:val="auto"/>
        </w:rPr>
      </w:pPr>
    </w:p>
    <w:p>
      <w:pPr>
        <w:ind w:left="660"/>
        <w:spacing w:after="0" w:line="277" w:lineRule="auto"/>
        <w:rPr>
          <w:rFonts w:ascii="Arial" w:cs="Arial" w:eastAsia="Arial" w:hAnsi="Arial"/>
          <w:sz w:val="17"/>
          <w:szCs w:val="17"/>
          <w:color w:val="auto"/>
        </w:rPr>
      </w:pPr>
      <w:r>
        <w:rPr>
          <w:rFonts w:ascii="Arial" w:cs="Arial" w:eastAsia="Arial" w:hAnsi="Arial"/>
          <w:sz w:val="18"/>
          <w:szCs w:val="18"/>
          <w:color w:val="auto"/>
        </w:rPr>
        <w:t>Additionally, we have established a shared services center in Europe, and we are currently transitioning certain finance and accounting activities within our EMEA locations to the shared services center in a staged approach.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implementation of our shared services is ongoing, and we believe the related changes to processes and internal control will allow us to be more efficient and further enhance our internal control over financial reporting.</w:t>
      </w:r>
    </w:p>
    <w:p>
      <w:pPr>
        <w:spacing w:after="0" w:line="11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Except for these changes and the material weakness noted above, there have been no other changes in our internal control over financial reporting during the three months ended December 31, 2015 that materially affected, or are reasonably likely to materially affect, internal control over financial reporting.</w:t>
      </w:r>
    </w:p>
    <w:p>
      <w:pPr>
        <w:spacing w:after="0" w:line="181" w:lineRule="exact"/>
        <w:rPr>
          <w:sz w:val="20"/>
          <w:szCs w:val="20"/>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Remediation of Material Weakness in Internal Control over Financial Reporting. </w:t>
      </w:r>
      <w:r>
        <w:rPr>
          <w:rFonts w:ascii="Arial" w:cs="Arial" w:eastAsia="Arial" w:hAnsi="Arial"/>
          <w:sz w:val="18"/>
          <w:szCs w:val="18"/>
          <w:color w:val="auto"/>
        </w:rPr>
        <w:t>To remediate the material weakness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described above, we are implementing and/or plan to implement the following:</w:t>
      </w:r>
    </w:p>
    <w:p>
      <w:pPr>
        <w:spacing w:after="0" w:line="170" w:lineRule="exact"/>
        <w:rPr>
          <w:rFonts w:ascii="Arial" w:cs="Arial" w:eastAsia="Arial" w:hAnsi="Arial"/>
          <w:sz w:val="18"/>
          <w:szCs w:val="18"/>
          <w:color w:val="auto"/>
        </w:rPr>
      </w:pPr>
    </w:p>
    <w:p>
      <w:pPr>
        <w:ind w:left="1380" w:right="140" w:hanging="319"/>
        <w:spacing w:after="0" w:line="258" w:lineRule="auto"/>
        <w:tabs>
          <w:tab w:leader="none" w:pos="1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Engage outside consultants to advise on changes in the design of controls and procedures to determine whether VSOE of fair value exists for certain software elements;</w:t>
      </w:r>
    </w:p>
    <w:p>
      <w:pPr>
        <w:spacing w:after="0" w:line="1" w:lineRule="exact"/>
        <w:rPr>
          <w:rFonts w:ascii="Arial" w:cs="Arial" w:eastAsia="Arial" w:hAnsi="Arial"/>
          <w:sz w:val="18"/>
          <w:szCs w:val="18"/>
          <w:color w:val="auto"/>
        </w:rPr>
      </w:pPr>
    </w:p>
    <w:p>
      <w:pPr>
        <w:ind w:left="1380" w:right="380" w:hanging="319"/>
        <w:spacing w:after="0" w:line="250" w:lineRule="auto"/>
        <w:tabs>
          <w:tab w:leader="none" w:pos="1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Implement enhancements to revenue processes and systems to identify transactions warranting additional review and automate certain manual processes; and</w:t>
      </w:r>
    </w:p>
    <w:p>
      <w:pPr>
        <w:ind w:left="1380" w:right="400" w:hanging="319"/>
        <w:spacing w:after="0" w:line="250" w:lineRule="auto"/>
        <w:tabs>
          <w:tab w:leader="none" w:pos="1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Expand mandatory revenue recognition training for employees directly responsible for executing control activities related to our sales contracts.</w:t>
      </w:r>
    </w:p>
    <w:p>
      <w:pPr>
        <w:ind w:left="1380" w:hanging="319"/>
        <w:spacing w:after="0"/>
        <w:tabs>
          <w:tab w:leader="none" w:pos="1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Expand our revenue recognition policies and procedures to provide detailed explanations specific to Itron’s sales contracts;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Engage outside consultants to advise on technical revenue matters on significant sales contracts or significant revenue streams.</w:t>
      </w:r>
    </w:p>
    <w:p>
      <w:pPr>
        <w:spacing w:after="0" w:line="222"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When fully implemented and operational, we believe the measures described above will remediate the material weakness we have identified and strengthen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Report of Independent Registered Public Accounting Firm.</w:t>
      </w:r>
    </w:p>
    <w:p>
      <w:pPr>
        <w:spacing w:after="0" w:line="22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Itron, Inc.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Itron, Inc.’s internal control over financial reporting as of December 31, 2015, based on criteria established in Internal Control-Integrated Framework issued by the Committee of Sponsoring Organizations of the Treadway Commission (2013 framework), (the COSO criteria). Itron,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related to the design of the Company’s controls within the Company's revenue processes over the determination of whether vendor specific objective evidence of fair value exists for maintenance contracts associated with certain software solutions and whether software was essential to the functionality of certain hardware. We also have audited, in accordance with the standards of the Public Company Accounting Oversight Board (United States), the consolidated balance sheets of Itron, Inc. as of December 31, 2015 and 2014, and the related consolidated statements of operations, comprehensive income (loss), equity and cash flows for each of the three years in the period ended December 31, 2015 of Itron, Inc. This material weakness was considered in determining the nature, timing and extent of audit tests applied in our audit of the 2015 financial statements, and this report does not affect our report dated June 29, 2016, which expressed an unqualified opinion on those financial statements.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opinion, because of the effect of the material weakness described above on the achievement of the objectives of the control criteria, Itron, Inc. has not maintained effective internal control over financial reporting as of December 31, 2015, based on the COSO criteria.</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29,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Effective June 27, 2016, our Board of Directors amended and restated its bylaws. The Bylaws include, among other things, the following changes:</w:t>
      </w:r>
    </w:p>
    <w:p>
      <w:pPr>
        <w:spacing w:after="0" w:line="291" w:lineRule="exact"/>
        <w:rPr>
          <w:sz w:val="20"/>
          <w:szCs w:val="20"/>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Eliminated requirement that annual meeting be held by a particular date;</w:t>
      </w:r>
    </w:p>
    <w:p>
      <w:pPr>
        <w:spacing w:after="0" w:line="103" w:lineRule="exact"/>
        <w:rPr>
          <w:rFonts w:ascii="Arial" w:cs="Arial" w:eastAsia="Arial" w:hAnsi="Arial"/>
          <w:sz w:val="18"/>
          <w:szCs w:val="18"/>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Updated provisions regarding shareholder meeting procedures to reflect current law;</w:t>
      </w:r>
    </w:p>
    <w:p>
      <w:pPr>
        <w:spacing w:after="0" w:line="103" w:lineRule="exact"/>
        <w:rPr>
          <w:rFonts w:ascii="Arial" w:cs="Arial" w:eastAsia="Arial" w:hAnsi="Arial"/>
          <w:sz w:val="18"/>
          <w:szCs w:val="18"/>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Added Corporate Governance Committee to list of committees explicitly created in Bylaws;</w:t>
      </w:r>
    </w:p>
    <w:p>
      <w:pPr>
        <w:spacing w:after="0" w:line="103" w:lineRule="exact"/>
        <w:rPr>
          <w:rFonts w:ascii="Arial" w:cs="Arial" w:eastAsia="Arial" w:hAnsi="Arial"/>
          <w:sz w:val="18"/>
          <w:szCs w:val="18"/>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Added provision to contemplate issuance of shares of stock without certificates;</w:t>
      </w:r>
    </w:p>
    <w:p>
      <w:pPr>
        <w:spacing w:after="0" w:line="103" w:lineRule="exact"/>
        <w:rPr>
          <w:rFonts w:ascii="Arial" w:cs="Arial" w:eastAsia="Arial" w:hAnsi="Arial"/>
          <w:sz w:val="18"/>
          <w:szCs w:val="18"/>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Added restriction applicable to issuance of securities outside of U.S.;</w:t>
      </w:r>
    </w:p>
    <w:p>
      <w:pPr>
        <w:spacing w:after="0" w:line="21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foregoing description of the terms of the Bylaws does not purport to be complete and is subject to, and qualified in its entirety by, reference to the complete text of the Bylaws, a copy of which is filed as Exhibit 3.2 to this Annual Report on Form 10-K and incorporated by reference herein.</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ind w:right="4320"/>
        <w:spacing w:after="0" w:line="409" w:lineRule="auto"/>
        <w:rPr>
          <w:sz w:val="20"/>
          <w:szCs w:val="20"/>
          <w:color w:val="auto"/>
        </w:rPr>
      </w:pPr>
      <w:r>
        <w:rPr>
          <w:rFonts w:ascii="Arial" w:cs="Arial" w:eastAsia="Arial" w:hAnsi="Arial"/>
          <w:sz w:val="18"/>
          <w:szCs w:val="18"/>
          <w:b w:val="1"/>
          <w:bCs w:val="1"/>
          <w:color w:val="auto"/>
        </w:rPr>
        <w:t>ITEM 10: DIRECTORS, EXECUTIVE OFFICERS AND CORPORATE GOVERNANCE Board of Directors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(Board) is divided into three classes, with each director holding office for a three-year term or until his or her successor has been elected and qualified.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and titles of our directors as of June 29, 2016.</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318"/>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Kirby Dyess </w:t>
            </w:r>
            <w:r>
              <w:rPr>
                <w:rFonts w:ascii="Arial" w:cs="Arial" w:eastAsia="Arial" w:hAnsi="Arial"/>
                <w:sz w:val="25"/>
                <w:szCs w:val="25"/>
                <w:color w:val="auto"/>
                <w:vertAlign w:val="superscript"/>
              </w:rPr>
              <w:t>(1)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20" w:type="dxa"/>
            <w:vAlign w:val="bottom"/>
            <w:shd w:val="clear" w:color="auto" w:fill="CCEEFF"/>
          </w:tcPr>
          <w:p>
            <w:pPr>
              <w:spacing w:after="0"/>
              <w:rPr>
                <w:sz w:val="24"/>
                <w:szCs w:val="24"/>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 xml:space="preserve">Jon Eliassen </w:t>
            </w:r>
            <w:r>
              <w:rPr>
                <w:rFonts w:ascii="Arial" w:cs="Arial" w:eastAsia="Arial" w:hAnsi="Arial"/>
                <w:sz w:val="25"/>
                <w:szCs w:val="25"/>
                <w:color w:val="auto"/>
                <w:vertAlign w:val="superscript"/>
              </w:rPr>
              <w:t>(1)(2)(4)</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120" w:type="dxa"/>
            <w:vAlign w:val="bottom"/>
          </w:tcPr>
          <w:p>
            <w:pPr>
              <w:spacing w:after="0"/>
              <w:rPr>
                <w:sz w:val="24"/>
                <w:szCs w:val="24"/>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Chairman of the Board</w:t>
            </w:r>
          </w:p>
        </w:tc>
      </w:tr>
      <w:tr>
        <w:trPr>
          <w:trHeight w:val="324"/>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Charles Gaylord </w:t>
            </w:r>
            <w:r>
              <w:rPr>
                <w:rFonts w:ascii="Arial" w:cs="Arial" w:eastAsia="Arial" w:hAnsi="Arial"/>
                <w:sz w:val="25"/>
                <w:szCs w:val="25"/>
                <w:color w:val="auto"/>
                <w:vertAlign w:val="superscript"/>
              </w:rPr>
              <w:t>(1)(2)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20" w:type="dxa"/>
            <w:vAlign w:val="bottom"/>
            <w:shd w:val="clear" w:color="auto" w:fill="CCEEFF"/>
          </w:tcPr>
          <w:p>
            <w:pPr>
              <w:spacing w:after="0"/>
              <w:rPr>
                <w:sz w:val="24"/>
                <w:szCs w:val="24"/>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 xml:space="preserve">Thomas Glanville </w:t>
            </w:r>
            <w:r>
              <w:rPr>
                <w:rFonts w:ascii="Arial" w:cs="Arial" w:eastAsia="Arial" w:hAnsi="Arial"/>
                <w:sz w:val="25"/>
                <w:szCs w:val="25"/>
                <w:color w:val="auto"/>
                <w:vertAlign w:val="superscript"/>
              </w:rPr>
              <w:t>(3)</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24"/>
                <w:szCs w:val="24"/>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Frank Jaehnert </w:t>
            </w:r>
            <w:r>
              <w:rPr>
                <w:rFonts w:ascii="Arial" w:cs="Arial" w:eastAsia="Arial" w:hAnsi="Arial"/>
                <w:sz w:val="25"/>
                <w:szCs w:val="25"/>
                <w:color w:val="auto"/>
                <w:vertAlign w:val="superscript"/>
              </w:rPr>
              <w:t>(2)(3)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shd w:val="clear" w:color="auto" w:fill="CCEEFF"/>
          </w:tcPr>
          <w:p>
            <w:pPr>
              <w:spacing w:after="0"/>
              <w:rPr>
                <w:sz w:val="24"/>
                <w:szCs w:val="24"/>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 xml:space="preserve">Jerome Lande </w:t>
            </w:r>
            <w:r>
              <w:rPr>
                <w:rFonts w:ascii="Arial" w:cs="Arial" w:eastAsia="Arial" w:hAnsi="Arial"/>
                <w:sz w:val="25"/>
                <w:szCs w:val="25"/>
                <w:color w:val="auto"/>
                <w:vertAlign w:val="superscript"/>
              </w:rPr>
              <w:t>(3)(4)</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24"/>
                <w:szCs w:val="24"/>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Timothy Leyden </w:t>
            </w:r>
            <w:r>
              <w:rPr>
                <w:rFonts w:ascii="Arial" w:cs="Arial" w:eastAsia="Arial" w:hAnsi="Arial"/>
                <w:sz w:val="25"/>
                <w:szCs w:val="25"/>
                <w:color w:val="auto"/>
                <w:vertAlign w:val="superscript"/>
              </w:rPr>
              <w:t>(3)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shd w:val="clear" w:color="auto" w:fill="CCEEFF"/>
          </w:tcPr>
          <w:p>
            <w:pPr>
              <w:spacing w:after="0"/>
              <w:rPr>
                <w:sz w:val="24"/>
                <w:szCs w:val="24"/>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 xml:space="preserve">Peter Mainz </w:t>
            </w:r>
            <w:r>
              <w:rPr>
                <w:rFonts w:ascii="Arial" w:cs="Arial" w:eastAsia="Arial" w:hAnsi="Arial"/>
                <w:sz w:val="25"/>
                <w:szCs w:val="25"/>
                <w:color w:val="auto"/>
                <w:vertAlign w:val="superscript"/>
              </w:rPr>
              <w:t>(1)(4)</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24"/>
                <w:szCs w:val="24"/>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Philip Mezey </w:t>
            </w:r>
            <w:r>
              <w:rPr>
                <w:rFonts w:ascii="Arial" w:cs="Arial" w:eastAsia="Arial" w:hAnsi="Arial"/>
                <w:sz w:val="25"/>
                <w:szCs w:val="25"/>
                <w:color w:val="auto"/>
                <w:vertAlign w:val="superscript"/>
              </w:rPr>
              <w:t>(5)</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24"/>
                <w:szCs w:val="24"/>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 xml:space="preserve">Sharon Nelson </w:t>
            </w:r>
            <w:r>
              <w:rPr>
                <w:rFonts w:ascii="Arial" w:cs="Arial" w:eastAsia="Arial" w:hAnsi="Arial"/>
                <w:sz w:val="25"/>
                <w:szCs w:val="25"/>
                <w:color w:val="auto"/>
                <w:vertAlign w:val="superscript"/>
              </w:rPr>
              <w:t>(2)(3)</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120" w:type="dxa"/>
            <w:vAlign w:val="bottom"/>
          </w:tcPr>
          <w:p>
            <w:pPr>
              <w:spacing w:after="0"/>
              <w:rPr>
                <w:sz w:val="24"/>
                <w:szCs w:val="24"/>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Daniel Pelino </w:t>
            </w:r>
            <w:r>
              <w:rPr>
                <w:rFonts w:ascii="Arial" w:cs="Arial" w:eastAsia="Arial" w:hAnsi="Arial"/>
                <w:sz w:val="25"/>
                <w:szCs w:val="25"/>
                <w:color w:val="auto"/>
                <w:vertAlign w:val="superscript"/>
              </w:rPr>
              <w:t>(1)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shd w:val="clear" w:color="auto" w:fill="CCEEFF"/>
          </w:tcPr>
          <w:p>
            <w:pPr>
              <w:spacing w:after="0"/>
              <w:rPr>
                <w:sz w:val="24"/>
                <w:szCs w:val="24"/>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 xml:space="preserve">Gary Pruitt </w:t>
            </w:r>
            <w:r>
              <w:rPr>
                <w:rFonts w:ascii="Arial" w:cs="Arial" w:eastAsia="Arial" w:hAnsi="Arial"/>
                <w:sz w:val="25"/>
                <w:szCs w:val="25"/>
                <w:color w:val="auto"/>
                <w:vertAlign w:val="superscript"/>
              </w:rPr>
              <w:t>(3)(4)</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20" w:type="dxa"/>
            <w:vAlign w:val="bottom"/>
          </w:tcPr>
          <w:p>
            <w:pPr>
              <w:spacing w:after="0"/>
              <w:rPr>
                <w:sz w:val="24"/>
                <w:szCs w:val="24"/>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Diana Tremblay </w:t>
            </w:r>
            <w:r>
              <w:rPr>
                <w:rFonts w:ascii="Arial" w:cs="Arial" w:eastAsia="Arial" w:hAnsi="Arial"/>
                <w:sz w:val="25"/>
                <w:szCs w:val="25"/>
                <w:color w:val="auto"/>
                <w:vertAlign w:val="superscript"/>
              </w:rPr>
              <w:t>(1)(4)</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24"/>
                <w:szCs w:val="24"/>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68"/>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 xml:space="preserve">Lynda Ziegler </w:t>
            </w:r>
            <w:r>
              <w:rPr>
                <w:rFonts w:ascii="Arial" w:cs="Arial" w:eastAsia="Arial" w:hAnsi="Arial"/>
                <w:sz w:val="25"/>
                <w:szCs w:val="25"/>
                <w:color w:val="auto"/>
                <w:vertAlign w:val="superscript"/>
              </w:rPr>
              <w:t>(2)</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tcPr>
          <w:p>
            <w:pPr>
              <w:spacing w:after="0"/>
              <w:rPr>
                <w:sz w:val="24"/>
                <w:szCs w:val="24"/>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Vice Chairman of the Board</w:t>
            </w:r>
          </w:p>
        </w:tc>
      </w:tr>
    </w:tbl>
    <w:p>
      <w:pPr>
        <w:spacing w:after="0" w:line="15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Member of Corporate Governance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Member of Audit/Finance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Member of Value Enhancement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Employee Director</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brief biography of each member of the Board with each biography including information regarding the experiences, qualifications, attributes, and skills of each current Board member.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2017 (Class 1)</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Jon E. Eliassen </w:t>
      </w:r>
      <w:r>
        <w:rPr>
          <w:rFonts w:ascii="Arial" w:cs="Arial" w:eastAsia="Arial" w:hAnsi="Arial"/>
          <w:sz w:val="17"/>
          <w:szCs w:val="17"/>
          <w:color w:val="auto"/>
        </w:rPr>
        <w:t>has been a director since 1987 and has served as our Chairman of the Board since January 1, 2010. In September 2013 he retired as the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Chief Executive Officer, and member of the board of directors of Red Lion Hotels Corporation, an NYSE traded company headquartered in Spokane, Washington, where he had served as President and CEO since January 2010. From 2003 until 2007, Mr. Eliassen was President and Chief Executive Officer of the Spokane Area Economic Development Council, and from 1970 until 2003, he held numerous positions within Avista Corporation, a company involved in the production, transmission, and distribution of electricity and natural gas, before retiring in 2003 as Senior Vice President and Chief Financial Officer, a position he had held since 1986. In addition, Mr. Eliassen is a member of the board of directors of ITL, Inc., a privately held technology company, and was a member of the board of Red Lion Hotels Corporation from September 2003 to September 2013.</w:t>
      </w:r>
    </w:p>
    <w:p>
      <w:pPr>
        <w:spacing w:after="0" w:line="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his experience as President and Chief Executive Office of an NYSE traded hospitality company, Mr. Eliassen has an extensive background with public utilities and the utility industry in general. He contributes to our Board the knowledge gained from his association with a public utility that includes extensive financial experience with accounting, auditing, strategic planning, business development, and financing strategy, as well as merger and acquisition involvement that has included due diligence processes, company and business valuation techniques, and financial analyses. In addition, Mr. Eliassen has been a principal or general partner in venture capital firms with expertise in evaluating businesses and has several years’ experience as an expert witness before utility regulatory commissions in matters relating to financial strategy and policy, credit ratings, cost of capital, and capital structure.</w:t>
      </w:r>
    </w:p>
    <w:p>
      <w:pPr>
        <w:sectPr>
          <w:pgSz w:w="11900" w:h="16838" w:orient="portrait"/>
          <w:cols w:equalWidth="0" w:num="1">
            <w:col w:w="11420"/>
          </w:cols>
          <w:pgMar w:left="240" w:top="125"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20"/>
          </w:cols>
          <w:pgMar w:left="240" w:top="125" w:right="23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Charles H. Gaylord, Jr. </w:t>
      </w:r>
      <w:r>
        <w:rPr>
          <w:rFonts w:ascii="Arial" w:cs="Arial" w:eastAsia="Arial" w:hAnsi="Arial"/>
          <w:sz w:val="17"/>
          <w:szCs w:val="17"/>
          <w:color w:val="auto"/>
        </w:rPr>
        <w:t>has been a director since 2006. Mr. Gaylord has been a private technology investor focusing on software and communications since</w:t>
      </w:r>
      <w:r>
        <w:rPr>
          <w:rFonts w:ascii="Arial" w:cs="Arial" w:eastAsia="Arial" w:hAnsi="Arial"/>
          <w:sz w:val="17"/>
          <w:szCs w:val="17"/>
          <w:b w:val="1"/>
          <w:bCs w:val="1"/>
          <w:color w:val="auto"/>
        </w:rPr>
        <w:t xml:space="preserve"> </w:t>
      </w:r>
      <w:r>
        <w:rPr>
          <w:rFonts w:ascii="Arial" w:cs="Arial" w:eastAsia="Arial" w:hAnsi="Arial"/>
          <w:sz w:val="17"/>
          <w:szCs w:val="17"/>
          <w:color w:val="auto"/>
        </w:rPr>
        <w:t>1994. Until his retirement in 1994, Mr. Gaylord was Executive Vice President for Intuit Inc., a leading developer of personal and small business finance software programs such as “Quicken” and “QuickBooks”. From 1990 to 1993, he served as Chairman and Chief Executive Officer of ChipSoft, Inc., the original publisher of the tax preparation software program “TurboTax”. Mr. Gaylord is a member of the board of directors and a member of the compensation committee of Proximetry Inc., a privately-held company, and is a former member of the advisory board of Technology Crossover Ventures I, an investment firm that invests primarily in private and public information technology companies.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various periods from 1990 to approximately 2002, Mr. Gaylord was a member of the boards of directors and served on the compensation committees of the following public companies: Stac, Inc.; HNC Software, Inc.; Maxis, Inc.; and Retek, Inc.; and also served as a director of a number of private technology companies. His wealth of knowledge of software services, brand marketing, IT technology, and business development adds to the diverse business backgrounds of our other members of the Board.</w:t>
      </w:r>
    </w:p>
    <w:p>
      <w:pPr>
        <w:spacing w:after="0" w:line="1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Frank M. Jaehnert </w:t>
      </w:r>
      <w:r>
        <w:rPr>
          <w:rFonts w:ascii="Arial" w:cs="Arial" w:eastAsia="Arial" w:hAnsi="Arial"/>
          <w:sz w:val="17"/>
          <w:szCs w:val="17"/>
          <w:color w:val="auto"/>
        </w:rPr>
        <w:t>was elected a director by the Board in May 2015. Mr. Jaehnert held several roles from 1995 to 2013 with Brady Corporation, a publicly</w:t>
      </w:r>
      <w:r>
        <w:rPr>
          <w:rFonts w:ascii="Arial" w:cs="Arial" w:eastAsia="Arial" w:hAnsi="Arial"/>
          <w:sz w:val="17"/>
          <w:szCs w:val="17"/>
          <w:b w:val="1"/>
          <w:bCs w:val="1"/>
          <w:color w:val="auto"/>
        </w:rPr>
        <w:t xml:space="preserve"> </w:t>
      </w:r>
      <w:r>
        <w:rPr>
          <w:rFonts w:ascii="Arial" w:cs="Arial" w:eastAsia="Arial" w:hAnsi="Arial"/>
          <w:sz w:val="17"/>
          <w:szCs w:val="17"/>
          <w:color w:val="auto"/>
        </w:rPr>
        <w:t>traded manufacturer and marketer of complete solutions that identify and protect premises, products and people. This included President and Chief Executive Officer from 2003 to 2013, Senior Vice President and President of a business line from 2002 to 2003, and Vice President and Chief Financial Officer from 1996 to 2001. Prior to joining Brady Corporation, Mr. Jaehnert held various financial and management positions for Robert Bosch GmbH, a German entity. Mr. Jaehnert serves on the board of directors of Nordson Corporation, which he joined in 2012, and Briggs &amp; Stratton Corporation, which he joined in 2014. Nordson (NASDAQ “NDSN”) and Briggs &amp; Stratton (NYSE “BGG”) are both publicly traded large manufacturing companies. Mr. Jaehnert also serves on the audit and finance committees of Briggs &amp; Stratton and the audit committee of Nordson.</w:t>
      </w:r>
    </w:p>
    <w:p>
      <w:pPr>
        <w:spacing w:after="0" w:line="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Jaehnert has extensive, broad-based international business and executive management and leadership experience. Mr. Jaehnert’s diverse background, his experience with geographic expansion, and acquisitions as well as his experience serving on other public company boards bring valuable perspectives to the Board.</w:t>
      </w:r>
    </w:p>
    <w:p>
      <w:pPr>
        <w:spacing w:after="0" w:line="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Jerome J. Lande </w:t>
      </w:r>
      <w:r>
        <w:rPr>
          <w:rFonts w:ascii="Arial" w:cs="Arial" w:eastAsia="Arial" w:hAnsi="Arial"/>
          <w:sz w:val="17"/>
          <w:szCs w:val="17"/>
          <w:color w:val="auto"/>
        </w:rPr>
        <w:t>was elected a director by the Board in December 2015. He serves as the Head of Special-Situation Investments at Scopia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LP. He was previously the Managing Partner of Coppersmith Capital Management LLC (Coppersmith), an asset management firm focused on equity investing in small to mid-cap markets and in long-term value creation, which he co-founded in April 2012. Prior to co-founding Coppersmith, Mr. Lande was a partner of MCM Capital Management, LLC, the general partner of MMI Investments, LP, a small-cap investment fund founded in 1996 to employ private equity investing methodologies in public equities, and where Mr. Lande oversaw research, trading and activism from 1998 to 2011. Prior to that time, he was associated with other equity investment firms where he was directly involved with corporate development as well as equity growth. Mr. Lande is a member of the board of directors of CONMED Corporation, a public, global medical technology company whose shares are traded on the NASDAQ stock exchange, where he also serves on the compensation and strategy committees.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Lande brings to the board financial and investing acumen gained through his many years of experience at several equity investment firms. Since his firm Scopia (and affiliates) is a principal shareholder of the Company, Mr. Lande also provides an understanding of an investor's perspective of Itron and its operations as they relate to shareholder value.</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Timothy M. Leyden </w:t>
      </w:r>
      <w:r>
        <w:rPr>
          <w:rFonts w:ascii="Arial" w:cs="Arial" w:eastAsia="Arial" w:hAnsi="Arial"/>
          <w:sz w:val="17"/>
          <w:szCs w:val="17"/>
          <w:color w:val="auto"/>
        </w:rPr>
        <w:t>was elected a director by the Board effective March 2015. For the past eight years, Mr. Leyden has been associated with Western Digital</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(WDC), a NASDAQ company that manufactures hard-disk drives (HDDs) used to record, store and recall volumes of data. WDC is also a leader in solid-state drives (SSDs). He served as WDC’s Executive Vice President of Finance and Chief Financial Officer from 2007 to 2010, and as its Chief Operating Officer from 2010 to 2012. He served as President of Western Digital, one of WDC’s two operating subsidiaries, from 2012 to 2013, and then returned to WDC as its Chief Financial Officer in 2013 until January 2015, when he retired. WDC currently has manufacturing facilities in the U.S., China, Japan, Malaysia, the Philippines, Singapore and Thailand, as well as sales offices worldwide. Prior to joining WDC, Mr. Leyden was Vice President and then Senior Vice President of Finance and Chief Financial Officer for Sage Software PLC, a customized software solutions business, from 2001 to 2007. Mr. Leyden serves on the board of directors of Oakgate Technology, Inc., a privately-held company that provides test, validation and benchmarking products and services to the storage industry. He also serves on the board of directors of Virtium LLC, a private company that provides storage and memory innovation for various imbedded industrial segments.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Leyden brings to the Board a mix of financial and operational experience (in both hardware and software industries), in addition to a background that includes mergers and acquisitions and integration experience related to the assimilation of acquired companies into both WDC and Sage Software. His prior experience with overseeing global manufacturing, engineering, marketing, and sales operations, when combined with his financial and accounting background, adds a depth of international insight to the Board.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Gary E. Pruitt </w:t>
      </w:r>
      <w:r>
        <w:rPr>
          <w:rFonts w:ascii="Arial" w:cs="Arial" w:eastAsia="Arial" w:hAnsi="Arial"/>
          <w:sz w:val="17"/>
          <w:szCs w:val="17"/>
          <w:color w:val="auto"/>
        </w:rPr>
        <w:t>has been a director since 2006. From 2002 until his retirement in October 2009, Mr. Pruitt was the Chief Executive Officer of Univar N.V., a</w:t>
      </w:r>
      <w:r>
        <w:rPr>
          <w:rFonts w:ascii="Arial" w:cs="Arial" w:eastAsia="Arial" w:hAnsi="Arial"/>
          <w:sz w:val="17"/>
          <w:szCs w:val="17"/>
          <w:b w:val="1"/>
          <w:bCs w:val="1"/>
          <w:color w:val="auto"/>
        </w:rPr>
        <w:t xml:space="preserve"> </w:t>
      </w:r>
      <w:r>
        <w:rPr>
          <w:rFonts w:ascii="Arial" w:cs="Arial" w:eastAsia="Arial" w:hAnsi="Arial"/>
          <w:sz w:val="17"/>
          <w:szCs w:val="17"/>
          <w:color w:val="auto"/>
        </w:rPr>
        <w:t>chemical distribution company with distribution centers in the U.S., Canada, and Europe, where he also served as chairman of the board until November 2010. He had been associated with Univar and related entities since 1978 and held a variety of senior management positions within Univar and Van Waters &amp; Rogers, Inc., which ultimately became Vopak USA Inc. Mr. Pruitt has also worked at Arthur Andersen &amp; Co. as a chartered accountant. He currently serves on the board of Premera Blue Cross, and on the boards of directors of the following NYSE traded companies: Public Storage, Inc.; Esterline Technologies Corporation; and PS Business Parks, Inc. Mr. Pruitt also serves on the executive, compensation, and nominating and corporate governance committees of Esterline and on the audit committees of Public Storage and PS Business Parks.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Pruitt brings to the Board his experience as a chief executive officer of a multi-national company and all the business attributes required of that position, along with operational and manufacturing expertise through his various other management positions held with Univar. His public accounting financial background and other public board experiences provide strategic and global perspectives on our business as well.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2018 (Class 2)</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Kirby A. Dyess </w:t>
      </w:r>
      <w:r>
        <w:rPr>
          <w:rFonts w:ascii="Arial" w:cs="Arial" w:eastAsia="Arial" w:hAnsi="Arial"/>
          <w:sz w:val="17"/>
          <w:szCs w:val="17"/>
          <w:color w:val="auto"/>
        </w:rPr>
        <w:t>has been a director since 2006. Ms. Dyess is a principal in Austin Capital Management LLC where she invests in and assists early stage</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Prior to forming Austin Capital Management LLC in 2003, Ms. Dyess spent 23 years at Intel Corporation where she most recently served as its Corporate Vice President and as Director of Operations for Intel Capital, until her retirement in December 2002. While at Intel, she also served as Vice President and Director of New Business Development and Corporate Vice President and Director of Human Resources worldwide. Ms. Dyess previously served on the board of directors and as chairman of the compensation committee of Viasystems Group Inc., a public company whose shares were traded on the NASDAQ stock exchange prior to its acquisition by TTM Technologies last year. She currently serves on the board of Complí, a privately-held company that provides compliance software to companies, and chairs the board of Prolifiq SW Inc., a privately-held enterprise software company. In 2009, Ms. Dyess was elected to the board of directors of Portland General Electric (PGE), a public utility whose shares are traded on the NYSE, where she serves as a member of its audit committee and chairs the compensation and human resources committee.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her positions at Intel Corporation and her more recent due diligence and investment in numerous early stage technology companies, Ms. Dyess provides the Board with a strong background in technology, brand marketing, human resources, mergers and acquisitions, and business development, in addition to business innovation and research and development knowledge.</w:t>
      </w:r>
    </w:p>
    <w:p>
      <w:pPr>
        <w:spacing w:after="0" w:line="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Peter Mainz </w:t>
      </w:r>
      <w:r>
        <w:rPr>
          <w:rFonts w:ascii="Arial" w:cs="Arial" w:eastAsia="Arial" w:hAnsi="Arial"/>
          <w:sz w:val="18"/>
          <w:szCs w:val="18"/>
          <w:color w:val="auto"/>
        </w:rPr>
        <w:t>was elected a director by the Board effective January 1, 2016. Mr. Mainz served as a Non-Executive Director of Cyan Holdings Plc (Cyan) from</w:t>
      </w:r>
      <w:r>
        <w:rPr>
          <w:rFonts w:ascii="Arial" w:cs="Arial" w:eastAsia="Arial" w:hAnsi="Arial"/>
          <w:sz w:val="18"/>
          <w:szCs w:val="18"/>
          <w:b w:val="1"/>
          <w:bCs w:val="1"/>
          <w:color w:val="auto"/>
        </w:rPr>
        <w:t xml:space="preserve"> </w:t>
      </w:r>
      <w:r>
        <w:rPr>
          <w:rFonts w:ascii="Arial" w:cs="Arial" w:eastAsia="Arial" w:hAnsi="Arial"/>
          <w:sz w:val="18"/>
          <w:szCs w:val="18"/>
          <w:color w:val="auto"/>
        </w:rPr>
        <w:t>2014 until 2015, stepping down from that position upon his appointment to the Itron Board. Cyan provides a communication platform for energy, lighting and emerging applications in the wider ‘Internet of Things’ network. Mr. Mainz also served as President, Chief Executive Officer and a director of Sensus Inc., a global solutions company (and competitor of Itron) offering smart meters, communications systems, software, and services for the electricity, gas and water industries, from 2008 until 2014. Prior to that, he served as the Chief Financial Officer of Sensus from 2003 to 2007 and also served as the Executive Vice President of Operations for one year.</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Mr. Mainz brings to the Board more than 20 years of financial and communication systems business expertise that includes operational and commercial executive leadership expertise. Mr. Mainz’s experience with the smart metering industry brings valuable industry and innovative knowledge to the Board.</w:t>
      </w:r>
    </w:p>
    <w:p>
      <w:pPr>
        <w:spacing w:after="0" w:line="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Philip C. Mezey </w:t>
      </w:r>
      <w:r>
        <w:rPr>
          <w:rFonts w:ascii="Arial" w:cs="Arial" w:eastAsia="Arial" w:hAnsi="Arial"/>
          <w:sz w:val="18"/>
          <w:szCs w:val="18"/>
          <w:color w:val="auto"/>
        </w:rPr>
        <w:t>has been a director since 2013. He was President and Chief Operating Officer of Itron’s Energy segment from March 2011 until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2012. Effective January 1, 2013, he was elected Itron’s President and Chief Executive Officer. Mr. Mezey joined Itron in March 2003 as Managing Director of Software Development for Itron’s Energy Management Solutions Group as part of Itron’s acquisition of Silicon Energy Corp., where he had most recently served as its Senior Vice President of Product Development and Strategy. Mr. Mezey was promoted to Group Vice President and Manager of Software Solutions in 2004. In 2005, he became Senior Vice President Software Solutions, and in 2007 Mr. Mezey became Senior Vice President and Chief Operating Officer Itron North America.</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Mezey brings to the Board more than 13 years of experience in research and development, manufacturing, and business development for metering software and related services. While at Silicon Energy Corp., he managed the marketing department, and was directly involved with a number of mergers and acquisitions prior to Itron’s acquisition of that company. During his tenure at Itron, he has had extensive exposure to international systems and utilities throughout the world, and, as the only employee director, Mr. Mezey provides the Board with valuable insight into management’s views and perspectives, as well as the day-to-day operations of Itron.</w:t>
      </w:r>
    </w:p>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Daniel S. Pelino </w:t>
      </w:r>
      <w:r>
        <w:rPr>
          <w:rFonts w:ascii="Arial" w:cs="Arial" w:eastAsia="Arial" w:hAnsi="Arial"/>
          <w:sz w:val="18"/>
          <w:szCs w:val="18"/>
          <w:color w:val="auto"/>
        </w:rPr>
        <w:t>has been a director since 2014. Mr. Pelino joined International Business Machines Corp (IBM) in 1980, and currently serves as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of its public sector business, with a focus on government, education, healthcare, and life sciences industries, including IBM’s Smarter Cities initiative. Mr. Pelino is a recognized expert in the public sector. He and his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team have helped organizations, states and countries transform and digitize their systems. Additionally, he has advised government officials around the world, is a frequent contributor to the public sector dialogue having appeared on numerous news media programs, and has been quoted in various national and global publications. Mr. Pelino currently serves on the executive committee for the Patient Centered Primary Care Collaborative and on the board of directors of the Healthcare Executive Network.</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Mr. Pelino provides the Board with a strong background in technology, brand marketing, and business innovation and development. With his worldwide experience in governmental business and strategies, he brings a current global business perspective to the Board. In addition, Mr. Pelino’s knowledge of digitized services created for economic development adds invaluable insight to the Company’s smart metering systems and strategies for its utility customers.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2019 (Class 3)</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Thomas S. Glanville </w:t>
      </w:r>
      <w:r>
        <w:rPr>
          <w:rFonts w:ascii="Arial" w:cs="Arial" w:eastAsia="Arial" w:hAnsi="Arial"/>
          <w:sz w:val="17"/>
          <w:szCs w:val="17"/>
          <w:color w:val="auto"/>
        </w:rPr>
        <w:t>has been a director since 2001. Since 2003, Mr. Glanville has been the Managing Partner of Eschelon Energy Partners, LP, Eschelon</w:t>
      </w:r>
      <w:r>
        <w:rPr>
          <w:rFonts w:ascii="Arial" w:cs="Arial" w:eastAsia="Arial" w:hAnsi="Arial"/>
          <w:sz w:val="17"/>
          <w:szCs w:val="17"/>
          <w:b w:val="1"/>
          <w:bCs w:val="1"/>
          <w:color w:val="auto"/>
        </w:rPr>
        <w:t xml:space="preserve"> </w:t>
      </w:r>
      <w:r>
        <w:rPr>
          <w:rFonts w:ascii="Arial" w:cs="Arial" w:eastAsia="Arial" w:hAnsi="Arial"/>
          <w:sz w:val="17"/>
          <w:szCs w:val="17"/>
          <w:color w:val="auto"/>
        </w:rPr>
        <w:t>Advisors, LP, and affiliates, providing energy and private equity investment and advisory services. From 1999 to 2002, Mr. Glanville served as Vice President of Technology and New Ventures for Reliant Energy, Inc., one of the world’s largest international energy services companies, and its affiliate, Reliant Resources, Inc. In September 2015 he was appointed to the board of directors of Mitcham Industries, Inc. (NASDAQ: MIND), a publicly traded seismic equipment company, where he also serves as chair of the board’s audit committee. He currently serves on the board of directors of a privately-held oil and gas exploration and production company, Strand Energy, LLC. He served as Chairman and continues to serve as a director for the Texas Tri-Cities branch (Houston, Austin, San Antonio) of the National Association of Corporate Directors (NACD).</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Glanville brings to the Board financial expertise, industry-related experience through his association with Reliant Energy, energy sector exposure through the Eschelon entities and Mitcham Industries, and technology skills that include his involvement with electric metering studies and research while he was Vice President of Technology and New Ventures for Reliant Energy.</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Diana D. Tremblay </w:t>
      </w:r>
      <w:r>
        <w:rPr>
          <w:rFonts w:ascii="Arial" w:cs="Arial" w:eastAsia="Arial" w:hAnsi="Arial"/>
          <w:sz w:val="17"/>
          <w:szCs w:val="17"/>
          <w:color w:val="auto"/>
        </w:rPr>
        <w:t>was elected a director by the Board in May 2015. Since July 2013, Ms. Tremblay has served as the Vice President of Global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of General Motors Company (NYSE: GM). She has been with that company since 1977, and during her tenure at GM, she has held a variety of positions in engineering, manufacturing and labor relations. As leader of the newly formed Global Business Services business unit, she is charged with streamlining administrative processes to improve service quality, reduce complexity, and achieve cost efficiencies.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Ms. Tremblay brings to the Board her broad business experience that includes her previous roles at GM as an engineer, plant manager, and labor relations negotiator, which together with her knowledge of business services and global manufacturing processes, provides additional international and manufacturing perspectives to the Board.</w:t>
      </w:r>
    </w:p>
    <w:p>
      <w:pPr>
        <w:spacing w:after="0" w:line="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Lynda L. Ziegler </w:t>
      </w:r>
      <w:r>
        <w:rPr>
          <w:rFonts w:ascii="Arial" w:cs="Arial" w:eastAsia="Arial" w:hAnsi="Arial"/>
          <w:sz w:val="17"/>
          <w:szCs w:val="17"/>
          <w:color w:val="auto"/>
        </w:rPr>
        <w:t>has been a director since 2013 and was elected Vice Chairman of the Board in 2015. Ms. Ziegler recently retired from Southern California</w:t>
      </w:r>
      <w:r>
        <w:rPr>
          <w:rFonts w:ascii="Arial" w:cs="Arial" w:eastAsia="Arial" w:hAnsi="Arial"/>
          <w:sz w:val="17"/>
          <w:szCs w:val="17"/>
          <w:b w:val="1"/>
          <w:bCs w:val="1"/>
          <w:color w:val="auto"/>
        </w:rPr>
        <w:t xml:space="preserve"> </w:t>
      </w:r>
      <w:r>
        <w:rPr>
          <w:rFonts w:ascii="Arial" w:cs="Arial" w:eastAsia="Arial" w:hAnsi="Arial"/>
          <w:sz w:val="17"/>
          <w:szCs w:val="17"/>
          <w:color w:val="auto"/>
        </w:rPr>
        <w:t>Edison (SCE), one of the largest electric utilities in the U.S. (and a customer of Itron), whose parent is Edison International. During her tenure at SCE, she held various management positions related to customer program offerings, customer service, development, communication and implementation of energy efficiency programs, marketing and communication of smart meters, and generally led all aspects of delivering power to almost 5 million customers. From 2006 to 2011, Ms. Ziegler was Senior Vice President of Customer Service, and from January 1, 2011 until her retirement in September of 2012, she served as Executive Vice President of Power Delivery Services, where she was responsible for transmission and distribution construction and maintenance, customer service, information technology (IT), and support services including procurement and real estate management. In the past she has served on the advisory committee for power delivery and utilization at the Electric Power Research Institute (EPRI), and was a founding member of the Board of the Association for Women in Water and Energy.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Ms. Ziegler brings to the Board her extensive background with public utilities, especially with her recent responsibilities in the industry related to smart meters and customer relations from the utility perspective. Her breadth of knowledge of software services, transmission and distribution construction and maintenance, IT, and business development adds to the diverse business backgrounds of our other members of the Board.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and titles of our executive officers as of June 29, 2016.</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Philip C. Mezey</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W. Mark Schmitz</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L. Deitrich</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Michel C. Cadieux</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Senior Vice President, Human Resources</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Shannon M. Votava</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21"/>
                <w:szCs w:val="21"/>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80" w:type="dxa"/>
            <w:vAlign w:val="bottom"/>
            <w:shd w:val="clear" w:color="auto" w:fill="CCEEFF"/>
          </w:tcPr>
          <w:p>
            <w:pPr>
              <w:spacing w:after="0"/>
              <w:rPr>
                <w:sz w:val="2"/>
                <w:szCs w:val="2"/>
                <w:color w:val="auto"/>
              </w:rPr>
            </w:pPr>
          </w:p>
        </w:tc>
      </w:tr>
    </w:tbl>
    <w:p>
      <w:pPr>
        <w:spacing w:after="0" w:line="34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Philip C. Mezey </w:t>
      </w:r>
      <w:r>
        <w:rPr>
          <w:rFonts w:ascii="Arial" w:cs="Arial" w:eastAsia="Arial" w:hAnsi="Arial"/>
          <w:sz w:val="17"/>
          <w:szCs w:val="17"/>
          <w:color w:val="auto"/>
        </w:rPr>
        <w:t>is President and Chief Executive Officer and a member of our Board of Directors. Mr. Mezey was appointed to his current position and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in January 2013. Mr. Mezey joined Itron in March 2003, and in 2007 Mr. Mezey became Sr. Vice President and Chief Operating Officer, Itron North America. Mr. Mezey served as President and Chief Operating Officer, Energy from March 2011 through December 2012.</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 Mark Schmitz </w:t>
      </w:r>
      <w:r>
        <w:rPr>
          <w:rFonts w:ascii="Arial" w:cs="Arial" w:eastAsia="Arial" w:hAnsi="Arial"/>
          <w:sz w:val="18"/>
          <w:szCs w:val="18"/>
          <w:color w:val="auto"/>
        </w:rPr>
        <w:t>is Executive Vice President and Chief Financial Officer. Mr. Schmitz was appointed to this role in September 2014. Prior to joining Itron,</w:t>
      </w:r>
      <w:r>
        <w:rPr>
          <w:rFonts w:ascii="Arial" w:cs="Arial" w:eastAsia="Arial" w:hAnsi="Arial"/>
          <w:sz w:val="18"/>
          <w:szCs w:val="18"/>
          <w:b w:val="1"/>
          <w:bCs w:val="1"/>
          <w:color w:val="auto"/>
        </w:rPr>
        <w:t xml:space="preserve"> </w:t>
      </w:r>
      <w:r>
        <w:rPr>
          <w:rFonts w:ascii="Arial" w:cs="Arial" w:eastAsia="Arial" w:hAnsi="Arial"/>
          <w:sz w:val="18"/>
          <w:szCs w:val="18"/>
          <w:color w:val="auto"/>
        </w:rPr>
        <w:t>Mr. Schmitz was Chief Financial Officer of Alghanim Industries from 2009 to 2013. Mr. Schmitz served as the Executive Vice President and Chief Financial Officer of The Goodyear Tire and Rubber Company from 2007 to 2008 and as Vice President and Chief Financial Officer of Tyco International Limited's Fire and Security Segment from 2003 to 2007.</w:t>
      </w:r>
    </w:p>
    <w:p>
      <w:pPr>
        <w:spacing w:after="0" w:line="18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Thomas L. Deitrich </w:t>
      </w:r>
      <w:r>
        <w:rPr>
          <w:rFonts w:ascii="Arial" w:cs="Arial" w:eastAsia="Arial" w:hAnsi="Arial"/>
          <w:sz w:val="16"/>
          <w:szCs w:val="16"/>
          <w:color w:val="auto"/>
        </w:rPr>
        <w:t>is Executive Vice President and Chief Operating Officer. Mr. Deitrich joined Itron in October 2015. From 2012 to September 2015, Mr.</w:t>
      </w:r>
      <w:r>
        <w:rPr>
          <w:rFonts w:ascii="Arial" w:cs="Arial" w:eastAsia="Arial" w:hAnsi="Arial"/>
          <w:sz w:val="16"/>
          <w:szCs w:val="16"/>
          <w:b w:val="1"/>
          <w:bCs w:val="1"/>
          <w:color w:val="auto"/>
        </w:rPr>
        <w:t xml:space="preserve"> </w:t>
      </w:r>
      <w:r>
        <w:rPr>
          <w:rFonts w:ascii="Arial" w:cs="Arial" w:eastAsia="Arial" w:hAnsi="Arial"/>
          <w:sz w:val="16"/>
          <w:szCs w:val="16"/>
          <w:color w:val="auto"/>
        </w:rPr>
        <w:t>Deitrich was Senior Vice President and General Manager for Digital Networking at Freescale Semiconductor, Inc. (Freescale), and he served as the Senior Vice President and General Manager of Freescale's RF, Analog, Sensor, and Cellular Products Group from 2009 to 2012. Mr. Deitrich had other roles of increasing responsibility at Freescale from 2006 to 2009. Prior to Freescale, Mr. Deitrich worked for Flextronics, Sony-Ericsson/Ericsson, and GE.</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Michel C. Cadieux </w:t>
      </w:r>
      <w:r>
        <w:rPr>
          <w:rFonts w:ascii="Arial" w:cs="Arial" w:eastAsia="Arial" w:hAnsi="Arial"/>
          <w:sz w:val="18"/>
          <w:szCs w:val="18"/>
          <w:color w:val="auto"/>
        </w:rPr>
        <w:t>is Senior Vice President, Human Resources and has been so since joining Itron in February 2014. From 2008 to 2012, Mr. Cadieux was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of Human Resources and Security at Freescale Semiconductor, Inc.</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Shannon M. Votava </w:t>
      </w:r>
      <w:r>
        <w:rPr>
          <w:rFonts w:ascii="Arial" w:cs="Arial" w:eastAsia="Arial" w:hAnsi="Arial"/>
          <w:sz w:val="16"/>
          <w:szCs w:val="16"/>
          <w:color w:val="auto"/>
        </w:rPr>
        <w:t>is Senior Vice President, General Counsel and Corporate Secretary. Ms. Votava was promoted to this role in March 2016. Ms. Votava</w:t>
      </w:r>
      <w:r>
        <w:rPr>
          <w:rFonts w:ascii="Arial" w:cs="Arial" w:eastAsia="Arial" w:hAnsi="Arial"/>
          <w:sz w:val="16"/>
          <w:szCs w:val="16"/>
          <w:b w:val="1"/>
          <w:bCs w:val="1"/>
          <w:color w:val="auto"/>
        </w:rPr>
        <w:t xml:space="preserve"> </w:t>
      </w:r>
      <w:r>
        <w:rPr>
          <w:rFonts w:ascii="Arial" w:cs="Arial" w:eastAsia="Arial" w:hAnsi="Arial"/>
          <w:sz w:val="16"/>
          <w:szCs w:val="16"/>
          <w:color w:val="auto"/>
        </w:rPr>
        <w:t>joined Itron in May 2010 as Assistant General Counsel and was promoted to Vice President and General Counsel in January 2012. She assumed the responsibilities of Corporate Secretary in January 2013. Before joining Itron, Ms. Votava served as Associate General Counsel, Commercial at Cooper Industries plc from October 2008 to April 2010, and as General Counsel for Honeywell's Electronic Materials business from 2003 to 2008.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16(a) of the Exchange Act requires our officers and directors and persons who own more than 10% of a registered class of our equity securities, to file reports of ownership and changes in ownership with the SEC. SEC regulations require our officers, directors, and greater than 10% shareholders to provide us with copies of all Section 16(a) forms they file.</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solely on our review of these forms and written representations received from certain reporting persons, we believe that, during 2015 all of our executive officers, directors, and greater than 10% shareholders complied with all Section 16(a) filing requirements applicable to them.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 has adopted a Code of Conduct that applies to all directors, officers, and employees of the Company and any subsidiary of the Company, including the CEO and CFO, and is available on the Company’s website,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by selecting “About Itron”, “Investors” and then “Corporate Governance.” In addition, we have adopted policies and procedures for reporting and investigating suspected violations of the Code of Conduct. The Company intends to satisfy any future disclosure requirement under Item 5.05 of Form 8-K regarding an amendment to or waiver from application of the code of ethics or provisions of the Code of Conduct, that applies to the CEO or the CFO, by posting such information on our website, </w:t>
      </w:r>
      <w:r>
        <w:rPr>
          <w:rFonts w:ascii="Arial" w:cs="Arial" w:eastAsia="Arial" w:hAnsi="Arial"/>
          <w:sz w:val="16"/>
          <w:szCs w:val="16"/>
          <w:i w:val="1"/>
          <w:iCs w:val="1"/>
          <w:color w:val="auto"/>
        </w:rPr>
        <w:t>www.itron.com</w:t>
      </w:r>
      <w:r>
        <w:rPr>
          <w:rFonts w:ascii="Arial" w:cs="Arial" w:eastAsia="Arial" w:hAnsi="Arial"/>
          <w:sz w:val="16"/>
          <w:szCs w:val="16"/>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Audit/Finance Committee</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Audit/Finance Committee monitors our borrowings and capital structure, accounting policies, internal controls over financial reporting, and financial results, and reviews at least quarterly our business financial risks to determine if management and our internal controls are identifying and mitigating risks associated with our business operations. In addition, the Committee determines the compensation of our independent auditors, and makes recommendations to the Board to retain or terminate our independent auditors. The Corporate Governance Committee has determined that all members of the Audit/Finance Committee are independent under SEC rules and NASDAQ listing standards.</w:t>
      </w:r>
    </w:p>
    <w:p>
      <w:pPr>
        <w:spacing w:after="0" w:line="1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Audit/Finance Committee amended its charter in 2015 to expand language related to its purpose with respect to risk assessment and analysis over the Company’s financial reporting and internal control systems, and to include shareholder capital returns and overall capital deployment policies within its stated purposes. A copy of the charter, as amended, can be found on our website, </w:t>
      </w:r>
      <w:r>
        <w:rPr>
          <w:rFonts w:ascii="Arial" w:cs="Arial" w:eastAsia="Arial" w:hAnsi="Arial"/>
          <w:sz w:val="17"/>
          <w:szCs w:val="17"/>
          <w:i w:val="1"/>
          <w:iCs w:val="1"/>
          <w:color w:val="auto"/>
        </w:rPr>
        <w:t>www.itron.com</w:t>
      </w:r>
      <w:r>
        <w:rPr>
          <w:rFonts w:ascii="Arial" w:cs="Arial" w:eastAsia="Arial" w:hAnsi="Arial"/>
          <w:sz w:val="17"/>
          <w:szCs w:val="17"/>
          <w:color w:val="auto"/>
        </w:rPr>
        <w:t>, by selecting “About Itron”, “Investors” and then “Corporate Governance”. The Corporate Governance Committee has also determined that five of the six current members of the Audit/Finance Committee (Messrs. Glanville, Pruitt, Lande, Leyden and Jaehnert) are financially literate in accordance with the Standards of NASDAQ Rule 5605(c) (2) (A) (iv). Ms. Nelson is the additional member of the Audit/Finance Committee. The Audit/Finance Committee held ten meetings during 2015.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5" w:right="239" w:bottom="1440" w:gutter="0" w:footer="0" w:header="0"/>
        </w:sectPr>
      </w:pPr>
    </w:p>
    <w:bookmarkStart w:id="130" w:name="page131"/>
    <w:bookmarkEnd w:id="130"/>
    <w:p>
      <w:pPr>
        <w:spacing w:after="0"/>
        <w:tabs>
          <w:tab w:leader="none" w:pos="92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 (CD&amp;A)</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This CD&amp;A explains our executive compensation program for our named executive officers (NEOs) listed below. The CD&amp;A also describes the Compensation Committee’s process for making pay decisions, as well as its rationale for specific decisions related to fiscal 2015.</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3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8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Title</w:t>
            </w: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69"/>
        </w:trPr>
        <w:tc>
          <w:tcPr>
            <w:tcW w:w="3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Philip C. Mezey</w:t>
            </w:r>
          </w:p>
        </w:tc>
        <w:tc>
          <w:tcPr>
            <w:tcW w:w="8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(CEO)</w:t>
            </w:r>
          </w:p>
        </w:tc>
      </w:tr>
      <w:tr>
        <w:trPr>
          <w:trHeight w:val="237"/>
        </w:trPr>
        <w:tc>
          <w:tcPr>
            <w:tcW w:w="33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 Mark Schmitz</w:t>
            </w:r>
          </w:p>
        </w:tc>
        <w:tc>
          <w:tcPr>
            <w:tcW w:w="8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Financial Officer (CFO)</w:t>
            </w: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69"/>
        </w:trPr>
        <w:tc>
          <w:tcPr>
            <w:tcW w:w="3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John W. Holleran</w:t>
            </w:r>
          </w:p>
        </w:tc>
        <w:tc>
          <w:tcPr>
            <w:tcW w:w="8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Former Executive Vice President and Chief Operating Officer (COO)</w:t>
            </w:r>
          </w:p>
        </w:tc>
      </w:tr>
      <w:tr>
        <w:trPr>
          <w:trHeight w:val="237"/>
        </w:trPr>
        <w:tc>
          <w:tcPr>
            <w:tcW w:w="33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Thomas L. Deitrich</w:t>
            </w:r>
          </w:p>
        </w:tc>
        <w:tc>
          <w:tcPr>
            <w:tcW w:w="8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COO</w:t>
            </w: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69"/>
        </w:trPr>
        <w:tc>
          <w:tcPr>
            <w:tcW w:w="33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Michel C. Cadieux</w:t>
            </w:r>
          </w:p>
        </w:tc>
        <w:tc>
          <w:tcPr>
            <w:tcW w:w="8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Human Resources</w:t>
            </w:r>
          </w:p>
        </w:tc>
      </w:tr>
      <w:tr>
        <w:trPr>
          <w:trHeight w:val="237"/>
        </w:trPr>
        <w:tc>
          <w:tcPr>
            <w:tcW w:w="33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Shannon M. Votava</w:t>
            </w:r>
          </w:p>
        </w:tc>
        <w:tc>
          <w:tcPr>
            <w:tcW w:w="8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bl>
    <w:p>
      <w:pPr>
        <w:ind w:left="260" w:right="40" w:hanging="252"/>
        <w:spacing w:after="0" w:line="261"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May 4, 2015, Itron announced that Mr. Holleran would be departing the Company effective December 31, 2015. Mr. Deitrich succeeded Mr. Holleran as Itron’s COO effective October 10,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8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During 2015, we continued to execute our restructuring plans previously announced in 2014. We intensified our focus on operational effectiveness and added new executive leadership to the Company. We grew our already strong backlog by 4%. We hired a new Senior Vice President of Software and Services to enhance our expertise in that area, and in October, a new COO, Tom Deitrich, joined Itron. He brings with him several years of multi-national operations experience in industry. We remained focused on expanding our energy solutions, especially as they relate to smart systems and smart cities initiatives. We believe these investments will continue to drive our leadership in our industry, help optimize our customers’ investments in their smart systems, and help create a more resourceful world.</w:t>
      </w:r>
    </w:p>
    <w:p>
      <w:pPr>
        <w:spacing w:after="0" w:line="1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Despite these successes, we underachieved against our internal business plan and missed our performance targets. As a result, the Compensation Committee took the following compensation-related actions for fiscal 2015:</w:t>
      </w:r>
    </w:p>
    <w:p>
      <w:pPr>
        <w:spacing w:after="0" w:line="130" w:lineRule="exact"/>
        <w:rPr>
          <w:sz w:val="20"/>
          <w:szCs w:val="20"/>
          <w:color w:val="auto"/>
        </w:rPr>
      </w:pPr>
    </w:p>
    <w:p>
      <w:pPr>
        <w:ind w:left="660" w:right="20" w:hanging="328"/>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None of the NEOs received salary adjustments in 2015, with the exceptions of market adjustments for Mr. Schmitz and Ms. Votava based on a review of market data and achievement of specific goals during the year.</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Both the 2015 Management Incentive Plan (MIP) and the Executive Management Incentive Plan (EMIP) were cancelled. As a result, none of the NEOs received a bonus under the EMIP.</w:t>
      </w:r>
    </w:p>
    <w:p>
      <w:pPr>
        <w:jc w:val="both"/>
        <w:ind w:left="660" w:right="20" w:hanging="328"/>
        <w:spacing w:after="0" w:line="22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intended under the structure of the Long-Term Incentive Plan (LTIP), the performance attainment for Performance-Based Restricted Stock Units (PRSUs) was adjusted downward by 25% since our Total Shareholder Return (TSR) was below the 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of the Russell 3000 index.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2015 Executive Compensation Program in Detail - Long-Term Incentives” </w:t>
      </w:r>
      <w:r>
        <w:rPr>
          <w:rFonts w:ascii="Arial" w:cs="Arial" w:eastAsia="Arial" w:hAnsi="Arial"/>
          <w:sz w:val="18"/>
          <w:szCs w:val="18"/>
          <w:color w:val="auto"/>
        </w:rPr>
        <w:t>in this CD&amp;A.</w:t>
      </w:r>
    </w:p>
    <w:p>
      <w:pPr>
        <w:spacing w:after="0" w:line="16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These actions demonstrate the Compensation Committee’s commitment to aligning executive pay with Company performance. The Compensation Committee believes that the design and structure of the Company’s incentive programs provide a direct link between performance and pay outcomes. When Company performance and/or shareholder returns lag, compensation to our NEOs is directly impacted, as described in greater detail in the following section.</w:t>
      </w:r>
    </w:p>
    <w:p>
      <w:pPr>
        <w:spacing w:after="0" w:line="147"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 xml:space="preserve">Additionally, as a result of an accounting review and analysis of revenue recognition for certain software and maintenance contracts, the Company revised its 2013 and 2014 financial results and finalized its results for 2015 (as reported in our Annual Report on Form 10-K for the year ended December 31, 2015). The revisions primarily reflect deferrals of software-related revenues and associated costs that were previously recognized in one year, to be recognized in a subsequent year. Consistent with our Incentive Repayment (Clawback) Policy, the Compensation Committee, as designated by the Board, reviewed the revised results relative to the cash and equity incentive awards that may have been earned during this timeframe. After careful review, and based on the circumstances of the revision and the immateriality of the adjustments, the Compensation Committee determined that the impact on annual cash incentives paid or PRSUs earned (if any) between 2013 and 2015 was not material and it would not seek recovery from any of the executives. </w:t>
      </w:r>
      <w:r>
        <w:rPr>
          <w:rFonts w:ascii="Arial" w:cs="Arial" w:eastAsia="Arial" w:hAnsi="Arial"/>
          <w:sz w:val="17"/>
          <w:szCs w:val="17"/>
          <w:i w:val="1"/>
          <w:iCs w:val="1"/>
          <w:color w:val="auto"/>
        </w:rPr>
        <w:t>See also “Incentive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Repayment (Clawback) Policy” </w:t>
      </w:r>
      <w:r>
        <w:rPr>
          <w:rFonts w:ascii="Arial" w:cs="Arial" w:eastAsia="Arial" w:hAnsi="Arial"/>
          <w:sz w:val="17"/>
          <w:szCs w:val="17"/>
          <w:color w:val="auto"/>
        </w:rPr>
        <w:t>in this CD&amp;A.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40"/>
          </w:cols>
          <w:pgMar w:left="240" w:top="634" w:right="21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Linking CEO Pay and Performance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 key component of our executive compensation philosophy is the link between compensation and overall business results and shareholder value creation.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strive to clearly communicate this to our shareholders and believe that looking at realizable pay in different contexts can illustrate this point effectively:</w:t>
      </w:r>
    </w:p>
    <w:p>
      <w:pPr>
        <w:spacing w:after="0" w:line="19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Realizable pay versus pay opportunity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Realizable pay for performance relative to peers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CEO Realizable Pay versus Pay Opportunity. </w:t>
      </w:r>
      <w:r>
        <w:rPr>
          <w:rFonts w:ascii="Arial" w:cs="Arial" w:eastAsia="Arial" w:hAnsi="Arial"/>
          <w:sz w:val="18"/>
          <w:szCs w:val="18"/>
          <w:color w:val="auto"/>
        </w:rPr>
        <w:t>Many of the required disclosures concerning CEO compensation discuss pay elements or opportunities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earned by the CEO. Realizable pay, on the other hand, more closely considers actual compensation earned (or earnable) based on performance. To illustrate the differences, we compared pay opportunity to realizable pay on a year-by-year basis over the past three years; for this purpose, we use the following definitions:</w:t>
      </w:r>
    </w:p>
    <w:p>
      <w:pPr>
        <w:spacing w:after="0" w:line="14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Pay opportunity </w:t>
      </w:r>
      <w:r>
        <w:rPr>
          <w:rFonts w:ascii="Arial" w:cs="Arial" w:eastAsia="Arial" w:hAnsi="Arial"/>
          <w:sz w:val="18"/>
          <w:szCs w:val="18"/>
          <w:color w:val="auto"/>
        </w:rPr>
        <w:t>represents:</w:t>
      </w:r>
    </w:p>
    <w:p>
      <w:pPr>
        <w:spacing w:after="0" w:line="27" w:lineRule="exact"/>
        <w:rPr>
          <w:rFonts w:ascii="Arial" w:cs="Arial" w:eastAsia="Arial" w:hAnsi="Arial"/>
          <w:sz w:val="18"/>
          <w:szCs w:val="18"/>
          <w:color w:val="auto"/>
        </w:rPr>
      </w:pPr>
    </w:p>
    <w:p>
      <w:pPr>
        <w:ind w:left="1300" w:hanging="320"/>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sum of base salary and target EMIP opportunity for each fiscal year;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grant date fair value of stock options, Time-Vested Restricted Stock Units (RSUs) and PRSUs granted in each fiscal year.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Realizable pay </w:t>
      </w:r>
      <w:r>
        <w:rPr>
          <w:rFonts w:ascii="Arial" w:cs="Arial" w:eastAsia="Arial" w:hAnsi="Arial"/>
          <w:sz w:val="18"/>
          <w:szCs w:val="18"/>
          <w:color w:val="auto"/>
        </w:rPr>
        <w:t>represents:</w:t>
      </w:r>
    </w:p>
    <w:p>
      <w:pPr>
        <w:spacing w:after="0" w:line="27" w:lineRule="exact"/>
        <w:rPr>
          <w:sz w:val="20"/>
          <w:szCs w:val="20"/>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sum of base salary and actual EMIP paid for each fiscal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 the money” value of any stock options granted in each fiscal year, valued as of December 31, 2015;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value of RSUs granted in each fiscal year valued at their vesting date, or as of December 31, 2015 if unvested;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PRSUs actually earned based on performance, valued as of the fiscal year-end of the year earned; and</w:t>
      </w:r>
    </w:p>
    <w:p>
      <w:pPr>
        <w:spacing w:after="0" w:line="9" w:lineRule="exact"/>
        <w:rPr>
          <w:rFonts w:ascii="Arial" w:cs="Arial" w:eastAsia="Arial" w:hAnsi="Arial"/>
          <w:sz w:val="18"/>
          <w:szCs w:val="18"/>
          <w:color w:val="auto"/>
        </w:rPr>
      </w:pPr>
    </w:p>
    <w:p>
      <w:pPr>
        <w:ind w:left="1300" w:right="20" w:hanging="320"/>
        <w:spacing w:after="0" w:line="261"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outstanding PRSUs (uncompleted performance cycles), the estimated number of PRSUs based on performance to date, valued as of December 31, 2015.</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chart below illustrates Mr. Mezey’s realizable pay compared to his pay opportunity, as well as the corresponding year-end stock price. As the chart indicates, Mr. Mezey’s realizable pay was well below his pay opportunity for 2013 through 2015, and his realizable pay declined in 2015, tracking closely with our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73025</wp:posOffset>
            </wp:positionV>
            <wp:extent cx="3884930" cy="20237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8493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CEO Realizable Pay for Performance Relative to Peer Group. </w:t>
      </w:r>
      <w:r>
        <w:rPr>
          <w:rFonts w:ascii="Arial" w:cs="Arial" w:eastAsia="Arial" w:hAnsi="Arial"/>
          <w:sz w:val="16"/>
          <w:szCs w:val="16"/>
          <w:color w:val="auto"/>
        </w:rPr>
        <w:t>To provide another perspective, it is also helpful to understand the degree of alignment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between CEO realizable pay and </w:t>
      </w:r>
      <w:r>
        <w:rPr>
          <w:rFonts w:ascii="Arial" w:cs="Arial" w:eastAsia="Arial" w:hAnsi="Arial"/>
          <w:sz w:val="16"/>
          <w:szCs w:val="16"/>
          <w:i w:val="1"/>
          <w:iCs w:val="1"/>
          <w:color w:val="auto"/>
        </w:rPr>
        <w:t>performance relative to our peer companies (See “Our Decision Making Process--The Role of Peer Companies”</w:t>
      </w:r>
      <w:r>
        <w:rPr>
          <w:rFonts w:ascii="Arial" w:cs="Arial" w:eastAsia="Arial" w:hAnsi="Arial"/>
          <w:sz w:val="16"/>
          <w:szCs w:val="16"/>
          <w:color w:val="auto"/>
        </w:rPr>
        <w:t xml:space="preserve"> in this CD&amp;A for a list of the peer companies). To evaluate this alignment, we analyzed the relationship between realizable total direct compensation (TDC) for the CEO over 2013-14 for the peer companies and for the Company, and TSR for the two years ended December 31, 2014. This time period was selected because it was most closely aligned with the compensation information available for our peer group companies for the years that Mr. Mezey has been our CEO.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realizable TDC is defined as the sum of:</w:t>
      </w:r>
    </w:p>
    <w:p>
      <w:pPr>
        <w:spacing w:after="0" w:line="14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base salaries paid over the two-year period;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annual incentives (bonuses) paid over the two-year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“In-the-money” value as of December 31, 2014 of any stock options granted over the two-year period;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value as of December 31, 2014 of any restricted shares granted (including vested and unvested shares) over the two-year period; and</w:t>
      </w:r>
    </w:p>
    <w:p>
      <w:pPr>
        <w:spacing w:after="0" w:line="34" w:lineRule="exact"/>
        <w:rPr>
          <w:rFonts w:ascii="Arial" w:cs="Arial" w:eastAsia="Arial" w:hAnsi="Arial"/>
          <w:sz w:val="17"/>
          <w:szCs w:val="17"/>
          <w:color w:val="auto"/>
        </w:rPr>
      </w:pPr>
    </w:p>
    <w:p>
      <w:pPr>
        <w:ind w:left="660" w:right="2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Cash-based long-term incentives awarded during the period, and the value as of December 31, 2014 of any performance shares granted over the two-year period (assuming target performance for cycles not completed).</w:t>
      </w:r>
    </w:p>
    <w:p>
      <w:pPr>
        <w:spacing w:after="0" w:line="14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chart below illustrates the percentile ranking of our three-year TSR and Mr. Mezey’s realizable TDC relative to our peer companies. As the chart indicates, during the two-year period our TSR performance was below the median of the peer companies and Mr. Mezey’s realizable TDC was also below the median. Mr. Mezey’s realizable TDC was within an “alignment corridor” representing a strong correlation between compensation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50800</wp:posOffset>
            </wp:positionV>
            <wp:extent cx="4879340" cy="3464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79340" cy="346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Best Compensation Practices &amp; Policies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also believe the following practices and policies promote sound compensation governance and are in the best interests of our shareholders and executives:</w:t>
      </w:r>
    </w:p>
    <w:p>
      <w:pPr>
        <w:spacing w:after="0" w:line="32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340" w:type="dxa"/>
            <w:vAlign w:val="bottom"/>
            <w:tcBorders>
              <w:top w:val="single" w:sz="8" w:color="auto"/>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What We Do</w:t>
            </w:r>
          </w:p>
        </w:tc>
        <w:tc>
          <w:tcPr>
            <w:tcW w:w="400" w:type="dxa"/>
            <w:vAlign w:val="bottom"/>
            <w:tcBorders>
              <w:top w:val="single" w:sz="8" w:color="auto"/>
              <w:right w:val="single" w:sz="8" w:color="auto"/>
            </w:tcBorders>
          </w:tcPr>
          <w:p>
            <w:pPr>
              <w:spacing w:after="0"/>
              <w:rPr>
                <w:sz w:val="22"/>
                <w:szCs w:val="22"/>
                <w:color w:val="auto"/>
              </w:rPr>
            </w:pPr>
          </w:p>
        </w:tc>
        <w:tc>
          <w:tcPr>
            <w:tcW w:w="57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What We Don’t Do</w:t>
            </w:r>
          </w:p>
        </w:tc>
      </w:tr>
      <w:tr>
        <w:trPr>
          <w:trHeight w:val="27"/>
        </w:trPr>
        <w:tc>
          <w:tcPr>
            <w:tcW w:w="660" w:type="dxa"/>
            <w:vAlign w:val="bottom"/>
            <w:tcBorders>
              <w:left w:val="single" w:sz="8" w:color="auto"/>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100" w:type="dxa"/>
            <w:vAlign w:val="bottom"/>
            <w:tcBorders>
              <w:bottom w:val="single" w:sz="8" w:color="auto"/>
              <w:right w:val="single" w:sz="8" w:color="auto"/>
            </w:tcBorders>
          </w:tcPr>
          <w:p>
            <w:pPr>
              <w:spacing w:after="0"/>
              <w:rPr>
                <w:sz w:val="2"/>
                <w:szCs w:val="2"/>
                <w:color w:val="auto"/>
              </w:rPr>
            </w:pPr>
          </w:p>
        </w:tc>
      </w:tr>
      <w:tr>
        <w:trPr>
          <w:trHeight w:val="269"/>
        </w:trPr>
        <w:tc>
          <w:tcPr>
            <w:tcW w:w="660" w:type="dxa"/>
            <w:vAlign w:val="bottom"/>
            <w:tcBorders>
              <w:left w:val="single" w:sz="8" w:color="auto"/>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w:t>
            </w:r>
          </w:p>
        </w:tc>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Heavy emphasis on variable compensation</w:t>
            </w: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w:t>
            </w:r>
          </w:p>
        </w:tc>
        <w:tc>
          <w:tcPr>
            <w:tcW w:w="510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 employment agreements</w:t>
            </w:r>
          </w:p>
        </w:tc>
      </w:tr>
      <w:tr>
        <w:trPr>
          <w:trHeight w:val="237"/>
        </w:trPr>
        <w:tc>
          <w:tcPr>
            <w:tcW w:w="660" w:type="dxa"/>
            <w:vAlign w:val="bottom"/>
            <w:tcBorders>
              <w:top w:val="single" w:sz="8" w:color="auto"/>
              <w:left w:val="single" w:sz="8" w:color="auto"/>
            </w:tcBorders>
          </w:tcPr>
          <w:p>
            <w:pPr>
              <w:ind w:left="380"/>
              <w:spacing w:after="0"/>
              <w:rPr>
                <w:sz w:val="20"/>
                <w:szCs w:val="20"/>
                <w:color w:val="auto"/>
              </w:rPr>
            </w:pPr>
            <w:r>
              <w:rPr>
                <w:rFonts w:ascii="Arial" w:cs="Arial" w:eastAsia="Arial" w:hAnsi="Arial"/>
                <w:sz w:val="18"/>
                <w:szCs w:val="18"/>
                <w:color w:val="auto"/>
              </w:rPr>
              <w:t>a</w:t>
            </w:r>
          </w:p>
        </w:tc>
        <w:tc>
          <w:tcPr>
            <w:tcW w:w="46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5"/>
              </w:rPr>
              <w:t>50% of annual long-term incentives vest upon performance</w:t>
            </w:r>
          </w:p>
        </w:tc>
        <w:tc>
          <w:tcPr>
            <w:tcW w:w="400" w:type="dxa"/>
            <w:vAlign w:val="bottom"/>
            <w:tcBorders>
              <w:top w:val="single" w:sz="8" w:color="auto"/>
              <w:right w:val="single" w:sz="8" w:color="auto"/>
            </w:tcBorders>
          </w:tcPr>
          <w:p>
            <w:pPr>
              <w:spacing w:after="0"/>
              <w:rPr>
                <w:sz w:val="20"/>
                <w:szCs w:val="20"/>
                <w:color w:val="auto"/>
              </w:rPr>
            </w:pPr>
          </w:p>
        </w:tc>
        <w:tc>
          <w:tcPr>
            <w:tcW w:w="600" w:type="dxa"/>
            <w:vAlign w:val="bottom"/>
            <w:tcBorders>
              <w:top w:val="single" w:sz="8" w:color="auto"/>
            </w:tcBorders>
          </w:tcPr>
          <w:p>
            <w:pPr>
              <w:ind w:left="360"/>
              <w:spacing w:after="0"/>
              <w:rPr>
                <w:sz w:val="20"/>
                <w:szCs w:val="20"/>
                <w:color w:val="auto"/>
              </w:rPr>
            </w:pPr>
            <w:r>
              <w:rPr>
                <w:rFonts w:ascii="Arial" w:cs="Arial" w:eastAsia="Arial" w:hAnsi="Arial"/>
                <w:sz w:val="14"/>
                <w:szCs w:val="14"/>
                <w:color w:val="auto"/>
              </w:rPr>
              <w:t>r</w:t>
            </w:r>
          </w:p>
        </w:tc>
        <w:tc>
          <w:tcPr>
            <w:tcW w:w="510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No “single trigger” change-in-control cash payments</w:t>
            </w:r>
          </w:p>
        </w:tc>
      </w:tr>
      <w:tr>
        <w:trPr>
          <w:trHeight w:val="27"/>
        </w:trPr>
        <w:tc>
          <w:tcPr>
            <w:tcW w:w="660" w:type="dxa"/>
            <w:vAlign w:val="bottom"/>
            <w:tcBorders>
              <w:left w:val="single" w:sz="8" w:color="auto"/>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100" w:type="dxa"/>
            <w:vAlign w:val="bottom"/>
            <w:tcBorders>
              <w:bottom w:val="single" w:sz="8" w:color="auto"/>
              <w:right w:val="single" w:sz="8" w:color="auto"/>
            </w:tcBorders>
          </w:tcPr>
          <w:p>
            <w:pPr>
              <w:spacing w:after="0"/>
              <w:rPr>
                <w:sz w:val="2"/>
                <w:szCs w:val="2"/>
                <w:color w:val="auto"/>
              </w:rPr>
            </w:pPr>
          </w:p>
        </w:tc>
      </w:tr>
      <w:tr>
        <w:trPr>
          <w:trHeight w:val="269"/>
        </w:trPr>
        <w:tc>
          <w:tcPr>
            <w:tcW w:w="660" w:type="dxa"/>
            <w:vAlign w:val="bottom"/>
            <w:tcBorders>
              <w:left w:val="single" w:sz="8" w:color="auto"/>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w:t>
            </w:r>
          </w:p>
        </w:tc>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Rigorous stock ownership guidelines</w:t>
            </w: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w:t>
            </w:r>
          </w:p>
        </w:tc>
        <w:tc>
          <w:tcPr>
            <w:tcW w:w="510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 tax gross ups in our change-in-control agreements</w:t>
            </w:r>
          </w:p>
        </w:tc>
      </w:tr>
      <w:tr>
        <w:trPr>
          <w:trHeight w:val="237"/>
        </w:trPr>
        <w:tc>
          <w:tcPr>
            <w:tcW w:w="660" w:type="dxa"/>
            <w:vAlign w:val="bottom"/>
            <w:tcBorders>
              <w:top w:val="single" w:sz="8" w:color="auto"/>
              <w:left w:val="single" w:sz="8" w:color="auto"/>
            </w:tcBorders>
          </w:tcPr>
          <w:p>
            <w:pPr>
              <w:ind w:left="380"/>
              <w:spacing w:after="0"/>
              <w:rPr>
                <w:sz w:val="20"/>
                <w:szCs w:val="20"/>
                <w:color w:val="auto"/>
              </w:rPr>
            </w:pPr>
            <w:r>
              <w:rPr>
                <w:rFonts w:ascii="Arial" w:cs="Arial" w:eastAsia="Arial" w:hAnsi="Arial"/>
                <w:sz w:val="18"/>
                <w:szCs w:val="18"/>
                <w:color w:val="auto"/>
              </w:rPr>
              <w:t>a</w:t>
            </w:r>
          </w:p>
        </w:tc>
        <w:tc>
          <w:tcPr>
            <w:tcW w:w="46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Incentive Repayment (Clawback) Policy</w:t>
            </w:r>
          </w:p>
        </w:tc>
        <w:tc>
          <w:tcPr>
            <w:tcW w:w="400" w:type="dxa"/>
            <w:vAlign w:val="bottom"/>
            <w:tcBorders>
              <w:top w:val="single" w:sz="8" w:color="auto"/>
              <w:right w:val="single" w:sz="8" w:color="auto"/>
            </w:tcBorders>
          </w:tcPr>
          <w:p>
            <w:pPr>
              <w:spacing w:after="0"/>
              <w:rPr>
                <w:sz w:val="20"/>
                <w:szCs w:val="20"/>
                <w:color w:val="auto"/>
              </w:rPr>
            </w:pPr>
          </w:p>
        </w:tc>
        <w:tc>
          <w:tcPr>
            <w:tcW w:w="600" w:type="dxa"/>
            <w:vAlign w:val="bottom"/>
            <w:tcBorders>
              <w:top w:val="single" w:sz="8" w:color="auto"/>
            </w:tcBorders>
          </w:tcPr>
          <w:p>
            <w:pPr>
              <w:ind w:left="360"/>
              <w:spacing w:after="0"/>
              <w:rPr>
                <w:sz w:val="20"/>
                <w:szCs w:val="20"/>
                <w:color w:val="auto"/>
              </w:rPr>
            </w:pPr>
            <w:r>
              <w:rPr>
                <w:rFonts w:ascii="Arial" w:cs="Arial" w:eastAsia="Arial" w:hAnsi="Arial"/>
                <w:sz w:val="14"/>
                <w:szCs w:val="14"/>
                <w:color w:val="auto"/>
              </w:rPr>
              <w:t>r</w:t>
            </w:r>
          </w:p>
        </w:tc>
        <w:tc>
          <w:tcPr>
            <w:tcW w:w="510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No option backdating or repricing</w:t>
            </w:r>
          </w:p>
        </w:tc>
      </w:tr>
      <w:tr>
        <w:trPr>
          <w:trHeight w:val="27"/>
        </w:trPr>
        <w:tc>
          <w:tcPr>
            <w:tcW w:w="660" w:type="dxa"/>
            <w:vAlign w:val="bottom"/>
            <w:tcBorders>
              <w:left w:val="single" w:sz="8" w:color="auto"/>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100" w:type="dxa"/>
            <w:vAlign w:val="bottom"/>
            <w:tcBorders>
              <w:bottom w:val="single" w:sz="8" w:color="auto"/>
              <w:right w:val="single" w:sz="8" w:color="auto"/>
            </w:tcBorders>
          </w:tcPr>
          <w:p>
            <w:pPr>
              <w:spacing w:after="0"/>
              <w:rPr>
                <w:sz w:val="2"/>
                <w:szCs w:val="2"/>
                <w:color w:val="auto"/>
              </w:rPr>
            </w:pPr>
          </w:p>
        </w:tc>
      </w:tr>
      <w:tr>
        <w:trPr>
          <w:trHeight w:val="269"/>
        </w:trPr>
        <w:tc>
          <w:tcPr>
            <w:tcW w:w="660" w:type="dxa"/>
            <w:vAlign w:val="bottom"/>
            <w:tcBorders>
              <w:left w:val="single" w:sz="8" w:color="auto"/>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w:t>
            </w:r>
          </w:p>
        </w:tc>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Independent compensation consultant</w:t>
            </w: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w:t>
            </w:r>
          </w:p>
        </w:tc>
        <w:tc>
          <w:tcPr>
            <w:tcW w:w="510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 hedging or pledging</w:t>
            </w:r>
          </w:p>
        </w:tc>
      </w:tr>
      <w:tr>
        <w:trPr>
          <w:trHeight w:val="237"/>
        </w:trPr>
        <w:tc>
          <w:tcPr>
            <w:tcW w:w="660" w:type="dxa"/>
            <w:vAlign w:val="bottom"/>
            <w:tcBorders>
              <w:top w:val="single" w:sz="8" w:color="auto"/>
              <w:left w:val="single" w:sz="8" w:color="auto"/>
            </w:tcBorders>
          </w:tcPr>
          <w:p>
            <w:pPr>
              <w:ind w:left="380"/>
              <w:spacing w:after="0"/>
              <w:rPr>
                <w:sz w:val="20"/>
                <w:szCs w:val="20"/>
                <w:color w:val="auto"/>
              </w:rPr>
            </w:pPr>
            <w:r>
              <w:rPr>
                <w:rFonts w:ascii="Arial" w:cs="Arial" w:eastAsia="Arial" w:hAnsi="Arial"/>
                <w:sz w:val="18"/>
                <w:szCs w:val="18"/>
                <w:color w:val="auto"/>
              </w:rPr>
              <w:t>a</w:t>
            </w:r>
          </w:p>
        </w:tc>
        <w:tc>
          <w:tcPr>
            <w:tcW w:w="46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Annual risk assessments</w:t>
            </w:r>
          </w:p>
        </w:tc>
        <w:tc>
          <w:tcPr>
            <w:tcW w:w="400" w:type="dxa"/>
            <w:vAlign w:val="bottom"/>
            <w:tcBorders>
              <w:top w:val="single" w:sz="8" w:color="auto"/>
              <w:right w:val="single" w:sz="8" w:color="auto"/>
            </w:tcBorders>
          </w:tcPr>
          <w:p>
            <w:pPr>
              <w:spacing w:after="0"/>
              <w:rPr>
                <w:sz w:val="20"/>
                <w:szCs w:val="20"/>
                <w:color w:val="auto"/>
              </w:rPr>
            </w:pPr>
          </w:p>
        </w:tc>
        <w:tc>
          <w:tcPr>
            <w:tcW w:w="600" w:type="dxa"/>
            <w:vAlign w:val="bottom"/>
            <w:tcBorders>
              <w:top w:val="single" w:sz="8" w:color="auto"/>
            </w:tcBorders>
          </w:tcPr>
          <w:p>
            <w:pPr>
              <w:ind w:left="360"/>
              <w:spacing w:after="0"/>
              <w:rPr>
                <w:sz w:val="20"/>
                <w:szCs w:val="20"/>
                <w:color w:val="auto"/>
              </w:rPr>
            </w:pPr>
            <w:r>
              <w:rPr>
                <w:rFonts w:ascii="Arial" w:cs="Arial" w:eastAsia="Arial" w:hAnsi="Arial"/>
                <w:sz w:val="14"/>
                <w:szCs w:val="14"/>
                <w:color w:val="auto"/>
              </w:rPr>
              <w:t>r</w:t>
            </w:r>
          </w:p>
        </w:tc>
        <w:tc>
          <w:tcPr>
            <w:tcW w:w="510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No special perquisites</w:t>
            </w:r>
          </w:p>
        </w:tc>
      </w:tr>
      <w:tr>
        <w:trPr>
          <w:trHeight w:val="27"/>
        </w:trPr>
        <w:tc>
          <w:tcPr>
            <w:tcW w:w="660" w:type="dxa"/>
            <w:vAlign w:val="bottom"/>
            <w:tcBorders>
              <w:left w:val="single" w:sz="8" w:color="auto"/>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100" w:type="dxa"/>
            <w:vAlign w:val="bottom"/>
            <w:tcBorders>
              <w:bottom w:val="single" w:sz="8" w:color="auto"/>
              <w:right w:val="single" w:sz="8" w:color="auto"/>
            </w:tcBorders>
          </w:tcPr>
          <w:p>
            <w:pPr>
              <w:spacing w:after="0"/>
              <w:rPr>
                <w:sz w:val="2"/>
                <w:szCs w:val="2"/>
                <w:color w:val="auto"/>
              </w:rPr>
            </w:pPr>
          </w:p>
        </w:tc>
      </w:tr>
      <w:tr>
        <w:trPr>
          <w:trHeight w:val="669"/>
        </w:trPr>
        <w:tc>
          <w:tcPr>
            <w:tcW w:w="6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0" w:type="dxa"/>
            <w:vAlign w:val="bottom"/>
            <w:gridSpan w:val="2"/>
          </w:tcPr>
          <w:p>
            <w:pPr>
              <w:jc w:val="right"/>
              <w:ind w:right="425"/>
              <w:spacing w:after="0"/>
              <w:rPr>
                <w:sz w:val="20"/>
                <w:szCs w:val="20"/>
                <w:color w:val="auto"/>
              </w:rPr>
            </w:pPr>
            <w:r>
              <w:rPr>
                <w:rFonts w:ascii="Arial" w:cs="Arial" w:eastAsia="Arial" w:hAnsi="Arial"/>
                <w:sz w:val="18"/>
                <w:szCs w:val="18"/>
                <w:color w:val="auto"/>
              </w:rPr>
              <w:t>131</w:t>
            </w:r>
          </w:p>
        </w:tc>
        <w:tc>
          <w:tcPr>
            <w:tcW w:w="5100" w:type="dxa"/>
            <w:vAlign w:val="bottom"/>
          </w:tcPr>
          <w:p>
            <w:pPr>
              <w:spacing w:after="0"/>
              <w:rPr>
                <w:sz w:val="24"/>
                <w:szCs w:val="24"/>
                <w:color w:val="auto"/>
              </w:rPr>
            </w:pPr>
          </w:p>
        </w:tc>
      </w:tr>
    </w:tbl>
    <w:p>
      <w:pPr>
        <w:sectPr>
          <w:pgSz w:w="11900" w:h="16838" w:orient="portrait"/>
          <w:cols w:equalWidth="0" w:num="1">
            <w:col w:w="11440"/>
          </w:cols>
          <w:pgMar w:left="240" w:top="125" w:right="21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Say-On-Pay &amp; Shareholder Engagement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year, we carefully consider the results of our shareholder say-on-pay vote from the preceding year. We also take into account the feedback we receive from our major shareholders, which is solicited by the Chairman of the Board, the Vice Chairman of the Board, and the Chairman of the Compensation Committee, either in person or via telephone. These discussions generally take place in early January.</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2015, approximately 76% of the votes cast supported our executive compensation decisions. Based on the positive feedback we received from our major shareholders, in addition to the favorable vote result in 2015, we did not make substantive changes to the structure of our program. We did, however, adjust the metric weightings for the CEO and COO under the EMIP. The CEO and COO now have the same financial performance objectives and weightings as all of the other NEOs as shown in the table below. The Committee felt that creating a common emphasis on strategic objectives for all the NEOs was critical to drive results aligned with the overall business strategy. The Committee, specifically, placed more focus on growing the software services business, creating a high-performance culture, and driving improvements in quality and on time delivery.</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000" w:type="dxa"/>
            <w:vAlign w:val="bottom"/>
            <w:tcBorders>
              <w:top w:val="single" w:sz="8" w:color="auto"/>
              <w:left w:val="single" w:sz="8" w:color="auto"/>
              <w:right w:val="single" w:sz="8" w:color="auto"/>
            </w:tcBorders>
          </w:tcPr>
          <w:p>
            <w:pPr>
              <w:spacing w:after="0"/>
              <w:rPr>
                <w:sz w:val="22"/>
                <w:szCs w:val="22"/>
                <w:color w:val="auto"/>
              </w:rPr>
            </w:pPr>
          </w:p>
        </w:tc>
        <w:tc>
          <w:tcPr>
            <w:tcW w:w="3420" w:type="dxa"/>
            <w:vAlign w:val="bottom"/>
            <w:tcBorders>
              <w:top w:val="single" w:sz="8" w:color="auto"/>
              <w:right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Weightings for CEO &amp; COO</w:t>
            </w:r>
          </w:p>
        </w:tc>
        <w:tc>
          <w:tcPr>
            <w:tcW w:w="0" w:type="dxa"/>
            <w:vAlign w:val="bottom"/>
          </w:tcPr>
          <w:p>
            <w:pPr>
              <w:spacing w:after="0"/>
              <w:rPr>
                <w:sz w:val="1"/>
                <w:szCs w:val="1"/>
                <w:color w:val="auto"/>
              </w:rPr>
            </w:pPr>
          </w:p>
        </w:tc>
      </w:tr>
      <w:tr>
        <w:trPr>
          <w:trHeight w:val="27"/>
        </w:trPr>
        <w:tc>
          <w:tcPr>
            <w:tcW w:w="80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EMIP Metrics</w:t>
            </w:r>
          </w:p>
        </w:tc>
        <w:tc>
          <w:tcPr>
            <w:tcW w:w="172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0" w:type="dxa"/>
            <w:vAlign w:val="bottom"/>
            <w:tcBorders>
              <w:left w:val="single" w:sz="8" w:color="auto"/>
              <w:right w:val="single" w:sz="8" w:color="auto"/>
            </w:tcBorders>
            <w:vMerge w:val="continue"/>
          </w:tcPr>
          <w:p>
            <w:pPr>
              <w:spacing w:after="0"/>
              <w:rPr>
                <w:sz w:val="20"/>
                <w:szCs w:val="20"/>
                <w:color w:val="auto"/>
              </w:rPr>
            </w:pPr>
          </w:p>
        </w:tc>
        <w:tc>
          <w:tcPr>
            <w:tcW w:w="1720" w:type="dxa"/>
            <w:vAlign w:val="bottom"/>
            <w:tcBorders>
              <w:right w:val="single" w:sz="8" w:color="auto"/>
            </w:tcBorders>
          </w:tcPr>
          <w:p>
            <w:pPr>
              <w:ind w:left="620"/>
              <w:spacing w:after="0"/>
              <w:rPr>
                <w:sz w:val="20"/>
                <w:szCs w:val="20"/>
                <w:color w:val="auto"/>
              </w:rPr>
            </w:pPr>
            <w:r>
              <w:rPr>
                <w:rFonts w:ascii="Arial" w:cs="Arial" w:eastAsia="Arial" w:hAnsi="Arial"/>
                <w:sz w:val="18"/>
                <w:szCs w:val="18"/>
                <w:i w:val="1"/>
                <w:iCs w:val="1"/>
                <w:color w:val="auto"/>
              </w:rPr>
              <w:t>From:</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4"/>
              </w:rPr>
              <w:t>To:</w:t>
            </w:r>
          </w:p>
        </w:tc>
        <w:tc>
          <w:tcPr>
            <w:tcW w:w="0" w:type="dxa"/>
            <w:vAlign w:val="bottom"/>
          </w:tcPr>
          <w:p>
            <w:pPr>
              <w:spacing w:after="0"/>
              <w:rPr>
                <w:sz w:val="1"/>
                <w:szCs w:val="1"/>
                <w:color w:val="auto"/>
              </w:rPr>
            </w:pPr>
          </w:p>
        </w:tc>
      </w:tr>
      <w:tr>
        <w:trPr>
          <w:trHeight w:val="27"/>
        </w:trPr>
        <w:tc>
          <w:tcPr>
            <w:tcW w:w="80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Company Consolidated Revenue</w:t>
            </w:r>
          </w:p>
        </w:tc>
        <w:tc>
          <w:tcPr>
            <w:tcW w:w="1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40%</w:t>
            </w:r>
          </w:p>
        </w:tc>
        <w:tc>
          <w:tcPr>
            <w:tcW w:w="0" w:type="dxa"/>
            <w:vAlign w:val="bottom"/>
          </w:tcPr>
          <w:p>
            <w:pPr>
              <w:spacing w:after="0"/>
              <w:rPr>
                <w:sz w:val="1"/>
                <w:szCs w:val="1"/>
                <w:color w:val="auto"/>
              </w:rPr>
            </w:pPr>
          </w:p>
        </w:tc>
      </w:tr>
      <w:tr>
        <w:trPr>
          <w:trHeight w:val="264"/>
        </w:trPr>
        <w:tc>
          <w:tcPr>
            <w:tcW w:w="8000" w:type="dxa"/>
            <w:vAlign w:val="bottom"/>
            <w:tcBorders>
              <w:top w:val="single" w:sz="8" w:color="auto"/>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5"/>
                <w:szCs w:val="25"/>
                <w:color w:val="auto"/>
                <w:vertAlign w:val="superscript"/>
              </w:rPr>
              <w:t>1</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0" w:type="dxa"/>
            <w:vAlign w:val="bottom"/>
          </w:tcPr>
          <w:p>
            <w:pPr>
              <w:spacing w:after="0"/>
              <w:rPr>
                <w:sz w:val="1"/>
                <w:szCs w:val="1"/>
                <w:color w:val="auto"/>
              </w:rPr>
            </w:pPr>
          </w:p>
        </w:tc>
      </w:tr>
      <w:tr>
        <w:trPr>
          <w:trHeight w:val="244"/>
        </w:trPr>
        <w:tc>
          <w:tcPr>
            <w:tcW w:w="80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Strategic Objectives</w:t>
            </w:r>
          </w:p>
        </w:tc>
        <w:tc>
          <w:tcPr>
            <w:tcW w:w="1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0"/>
        </w:trPr>
        <w:tc>
          <w:tcPr>
            <w:tcW w:w="80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17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8"/>
        <w:spacing w:after="0" w:line="247" w:lineRule="auto"/>
        <w:tabs>
          <w:tab w:leader="none" w:pos="67" w:val="left"/>
        </w:tabs>
        <w:numPr>
          <w:ilvl w:val="0"/>
          <w:numId w:val="36"/>
        </w:numPr>
        <w:rPr>
          <w:rFonts w:ascii="Arial" w:cs="Arial" w:eastAsia="Arial" w:hAnsi="Arial"/>
          <w:sz w:val="9"/>
          <w:szCs w:val="9"/>
          <w:color w:val="auto"/>
        </w:rPr>
      </w:pPr>
      <w:r>
        <w:rPr>
          <w:rFonts w:ascii="Arial" w:cs="Arial" w:eastAsia="Arial" w:hAnsi="Arial"/>
          <w:sz w:val="14"/>
          <w:szCs w:val="14"/>
          <w:color w:val="auto"/>
        </w:rPr>
        <w:t>We define Adjusted EBITDA Margin as GAAP net income or loss minus interest income, plus interest expense, depreciation, and amortization of intangible asset expenses, restructuring expense, acquisition-related expense, goodwill impairment, and we exclude the tax expense or benefit (as calculated in the manner set forth on pages 39-41) divided by Company Consolidated Revenue. A schedule reconciling GAAP to non-GAAP results is available on our website at www.itron.com.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Guides Our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Philosophy &amp; Objectives</w:t>
      </w:r>
    </w:p>
    <w:p>
      <w:pPr>
        <w:spacing w:after="0" w:line="27"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The philosophy underlying our executive compensation program-employ the best leaders in our industry to ensure we execute on our business goals, promote both short-and long-term profitable growth of the Company, and create long-term shareholder value is grounded in the following guiding principles: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76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Pay for Performance</w:t>
            </w:r>
          </w:p>
        </w:tc>
        <w:tc>
          <w:tcPr>
            <w:tcW w:w="8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A significant portion of an executive’s total compensation should be variable (“at risk”) and dependent upon the</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vMerge w:val="continue"/>
          </w:tcPr>
          <w:p>
            <w:pPr>
              <w:spacing w:after="0"/>
              <w:rPr>
                <w:sz w:val="20"/>
                <w:szCs w:val="20"/>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attainment of certain specific and measurable annual- and long-term business performance objectives.</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Shareholder Alignment</w:t>
            </w: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Executives should be compensated through pay elements (base salaries, annual- and long-term incentives) designed to</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vMerge w:val="continue"/>
          </w:tcPr>
          <w:p>
            <w:pPr>
              <w:spacing w:after="0"/>
              <w:rPr>
                <w:sz w:val="20"/>
                <w:szCs w:val="20"/>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create long-term value for our shareholders, as well as foster a culture of ownership.</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60" w:type="dxa"/>
            <w:vAlign w:val="bottom"/>
            <w:tcBorders>
              <w:left w:val="single" w:sz="8" w:color="auto"/>
              <w:right w:val="single" w:sz="8" w:color="auto"/>
            </w:tcBorders>
          </w:tcPr>
          <w:p>
            <w:pPr>
              <w:spacing w:after="0"/>
              <w:rPr>
                <w:sz w:val="19"/>
                <w:szCs w:val="19"/>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Target compensation should be set at the median (or above with requisite performance) of market to ensure that</w:t>
            </w:r>
          </w:p>
        </w:tc>
        <w:tc>
          <w:tcPr>
            <w:tcW w:w="0" w:type="dxa"/>
            <w:vAlign w:val="bottom"/>
          </w:tcPr>
          <w:p>
            <w:pPr>
              <w:spacing w:after="0"/>
              <w:rPr>
                <w:sz w:val="1"/>
                <w:szCs w:val="1"/>
                <w:color w:val="auto"/>
              </w:rPr>
            </w:pPr>
          </w:p>
        </w:tc>
      </w:tr>
      <w:tr>
        <w:trPr>
          <w:trHeight w:val="216"/>
        </w:trPr>
        <w:tc>
          <w:tcPr>
            <w:tcW w:w="2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Competitiveness</w:t>
            </w: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compensation is at a level that is competitive with that being offered to individuals holding comparable positions at</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vMerge w:val="continue"/>
          </w:tcPr>
          <w:p>
            <w:pPr>
              <w:spacing w:after="0"/>
              <w:rPr>
                <w:sz w:val="20"/>
                <w:szCs w:val="20"/>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other companies with which we compete for business and leadership talent.</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Attraction and Retention</w:t>
            </w: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The executive compensation program should enable the Company to attract highly-talented people with exceptional</w:t>
            </w:r>
          </w:p>
        </w:tc>
        <w:tc>
          <w:tcPr>
            <w:tcW w:w="0" w:type="dxa"/>
            <w:vAlign w:val="bottom"/>
          </w:tcPr>
          <w:p>
            <w:pPr>
              <w:spacing w:after="0"/>
              <w:rPr>
                <w:sz w:val="1"/>
                <w:szCs w:val="1"/>
                <w:color w:val="auto"/>
              </w:rPr>
            </w:pPr>
          </w:p>
        </w:tc>
      </w:tr>
      <w:tr>
        <w:trPr>
          <w:trHeight w:val="230"/>
        </w:trPr>
        <w:tc>
          <w:tcPr>
            <w:tcW w:w="2760" w:type="dxa"/>
            <w:vAlign w:val="bottom"/>
            <w:tcBorders>
              <w:left w:val="single" w:sz="8" w:color="auto"/>
              <w:right w:val="single" w:sz="8" w:color="auto"/>
            </w:tcBorders>
            <w:vMerge w:val="continue"/>
          </w:tcPr>
          <w:p>
            <w:pPr>
              <w:spacing w:after="0"/>
              <w:rPr>
                <w:sz w:val="20"/>
                <w:szCs w:val="20"/>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leadership capabilities and retain high-caliber talent.</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Principal Elements of Pay: Total Direct Compensation (TDC)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philosophy is supported by the following principal pay elements:</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74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Pay Element</w:t>
            </w:r>
          </w:p>
        </w:tc>
        <w:tc>
          <w:tcPr>
            <w:tcW w:w="17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How Its Paid</w:t>
            </w:r>
          </w:p>
        </w:tc>
        <w:tc>
          <w:tcPr>
            <w:tcW w:w="40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What It Does</w:t>
            </w:r>
          </w:p>
        </w:tc>
        <w:tc>
          <w:tcPr>
            <w:tcW w:w="3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How It Links to Performance</w:t>
            </w:r>
          </w:p>
        </w:tc>
        <w:tc>
          <w:tcPr>
            <w:tcW w:w="0" w:type="dxa"/>
            <w:vAlign w:val="bottom"/>
          </w:tcPr>
          <w:p>
            <w:pPr>
              <w:spacing w:after="0"/>
              <w:rPr>
                <w:sz w:val="1"/>
                <w:szCs w:val="1"/>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Base Salary</w:t>
            </w:r>
          </w:p>
        </w:tc>
        <w:tc>
          <w:tcPr>
            <w:tcW w:w="17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Cash</w:t>
            </w:r>
          </w:p>
        </w:tc>
        <w:tc>
          <w:tcPr>
            <w:tcW w:w="4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Provides a competitive rate relative to similar</w:t>
            </w:r>
          </w:p>
        </w:tc>
        <w:tc>
          <w:tcPr>
            <w:tcW w:w="39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Based on job scope, level of responsibilities,</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(Fixed)</w:t>
            </w:r>
          </w:p>
        </w:tc>
        <w:tc>
          <w:tcPr>
            <w:tcW w:w="4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positions in the market, and enables the Company to</w:t>
            </w:r>
          </w:p>
        </w:tc>
        <w:tc>
          <w:tcPr>
            <w:tcW w:w="39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5"/>
              </w:rPr>
              <w:t>individual performance, experience, tenure and</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4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attract and retain critical executive talent</w:t>
            </w:r>
          </w:p>
        </w:tc>
        <w:tc>
          <w:tcPr>
            <w:tcW w:w="39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market levels</w:t>
            </w:r>
          </w:p>
        </w:tc>
        <w:tc>
          <w:tcPr>
            <w:tcW w:w="0" w:type="dxa"/>
            <w:vAlign w:val="bottom"/>
          </w:tcPr>
          <w:p>
            <w:pPr>
              <w:spacing w:after="0"/>
              <w:rPr>
                <w:sz w:val="1"/>
                <w:szCs w:val="1"/>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Annual Cash</w:t>
            </w:r>
          </w:p>
        </w:tc>
        <w:tc>
          <w:tcPr>
            <w:tcW w:w="17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Cash</w:t>
            </w:r>
          </w:p>
        </w:tc>
        <w:tc>
          <w:tcPr>
            <w:tcW w:w="4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Focuses executives on achieving annual financial and</w:t>
            </w:r>
          </w:p>
        </w:tc>
        <w:tc>
          <w:tcPr>
            <w:tcW w:w="39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-Payouts: 0% to 180% of target based on</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Incentive (EMIP)</w:t>
            </w:r>
          </w:p>
        </w:tc>
        <w:tc>
          <w:tcPr>
            <w:tcW w:w="17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(Variable)</w:t>
            </w:r>
          </w:p>
        </w:tc>
        <w:tc>
          <w:tcPr>
            <w:tcW w:w="4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strategic goals that drive long-term shareholder value</w:t>
            </w:r>
          </w:p>
        </w:tc>
        <w:tc>
          <w:tcPr>
            <w:tcW w:w="39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9"/>
              </w:rPr>
              <w:t>financial results against pre-established goals</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3"/>
              </w:rPr>
              <w:t>-Financial metrics: Total Company Consolidated</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Revenue and Total Adjusted EBITDA Margin</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-Individual goals: tied to specific strategic</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4000" w:type="dxa"/>
            <w:vAlign w:val="bottom"/>
            <w:tcBorders>
              <w:right w:val="single" w:sz="8" w:color="auto"/>
            </w:tcBorders>
          </w:tcPr>
          <w:p>
            <w:pPr>
              <w:spacing w:after="0"/>
              <w:rPr>
                <w:sz w:val="20"/>
                <w:szCs w:val="20"/>
                <w:color w:val="auto"/>
              </w:rPr>
            </w:pPr>
          </w:p>
        </w:tc>
        <w:tc>
          <w:tcPr>
            <w:tcW w:w="39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objectives</w:t>
            </w:r>
          </w:p>
        </w:tc>
        <w:tc>
          <w:tcPr>
            <w:tcW w:w="0" w:type="dxa"/>
            <w:vAlign w:val="bottom"/>
          </w:tcPr>
          <w:p>
            <w:pPr>
              <w:spacing w:after="0"/>
              <w:rPr>
                <w:sz w:val="1"/>
                <w:szCs w:val="1"/>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Long-Term Incentive</w:t>
            </w:r>
          </w:p>
        </w:tc>
        <w:tc>
          <w:tcPr>
            <w:tcW w:w="17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Equity</w:t>
            </w:r>
          </w:p>
        </w:tc>
        <w:tc>
          <w:tcPr>
            <w:tcW w:w="4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Provides incentives for executives to execute on</w:t>
            </w:r>
          </w:p>
        </w:tc>
        <w:tc>
          <w:tcPr>
            <w:tcW w:w="3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Plan (LTIP)</w:t>
            </w:r>
          </w:p>
        </w:tc>
        <w:tc>
          <w:tcPr>
            <w:tcW w:w="17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(Variable)</w:t>
            </w:r>
          </w:p>
        </w:tc>
        <w:tc>
          <w:tcPr>
            <w:tcW w:w="4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longer-term financial/strategic growth goals that drive</w:t>
            </w:r>
          </w:p>
        </w:tc>
        <w:tc>
          <w:tcPr>
            <w:tcW w:w="3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See below</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shareholder value creation and support the Company’s</w:t>
            </w:r>
          </w:p>
        </w:tc>
        <w:tc>
          <w:tcPr>
            <w:tcW w:w="39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4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retention strategy</w:t>
            </w:r>
          </w:p>
        </w:tc>
        <w:tc>
          <w:tcPr>
            <w:tcW w:w="3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80" w:type="dxa"/>
            <w:vAlign w:val="bottom"/>
            <w:tcBorders>
              <w:left w:val="single" w:sz="8" w:color="auto"/>
            </w:tcBorders>
          </w:tcPr>
          <w:p>
            <w:pPr>
              <w:spacing w:after="0"/>
              <w:rPr>
                <w:sz w:val="17"/>
                <w:szCs w:val="17"/>
                <w:color w:val="auto"/>
              </w:rPr>
            </w:pPr>
          </w:p>
        </w:tc>
        <w:tc>
          <w:tcPr>
            <w:tcW w:w="308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b w:val="1"/>
                <w:bCs w:val="1"/>
                <w:i w:val="1"/>
                <w:iCs w:val="1"/>
                <w:color w:val="auto"/>
              </w:rPr>
              <w:t>50% of LTIP Grant:</w:t>
            </w:r>
          </w:p>
        </w:tc>
        <w:tc>
          <w:tcPr>
            <w:tcW w:w="400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w w:val="97"/>
              </w:rPr>
              <w:t>Rewards achievement of financial goals measured</w:t>
            </w:r>
          </w:p>
        </w:tc>
        <w:tc>
          <w:tcPr>
            <w:tcW w:w="3980" w:type="dxa"/>
            <w:vAlign w:val="bottom"/>
            <w:tcBorders>
              <w:right w:val="single" w:sz="8" w:color="auto"/>
            </w:tcBorders>
          </w:tcPr>
          <w:p>
            <w:pPr>
              <w:ind w:left="340"/>
              <w:spacing w:after="0" w:line="196" w:lineRule="exact"/>
              <w:rPr>
                <w:sz w:val="20"/>
                <w:szCs w:val="20"/>
                <w:color w:val="auto"/>
              </w:rPr>
            </w:pPr>
            <w:r>
              <w:rPr>
                <w:rFonts w:ascii="Arial" w:cs="Arial" w:eastAsia="Arial" w:hAnsi="Arial"/>
                <w:sz w:val="18"/>
                <w:szCs w:val="18"/>
                <w:color w:val="auto"/>
                <w:w w:val="89"/>
              </w:rPr>
              <w:t>-Payouts: 0% to 200% of a target based on results</w:t>
            </w:r>
          </w:p>
        </w:tc>
        <w:tc>
          <w:tcPr>
            <w:tcW w:w="0" w:type="dxa"/>
            <w:vAlign w:val="bottom"/>
          </w:tcPr>
          <w:p>
            <w:pPr>
              <w:spacing w:after="0"/>
              <w:rPr>
                <w:sz w:val="1"/>
                <w:szCs w:val="1"/>
                <w:color w:val="auto"/>
              </w:rPr>
            </w:pPr>
          </w:p>
        </w:tc>
      </w:tr>
      <w:tr>
        <w:trPr>
          <w:trHeight w:val="20"/>
        </w:trPr>
        <w:tc>
          <w:tcPr>
            <w:tcW w:w="380" w:type="dxa"/>
            <w:vAlign w:val="bottom"/>
            <w:tcBorders>
              <w:left w:val="single" w:sz="8" w:color="auto"/>
            </w:tcBorders>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4000" w:type="dxa"/>
            <w:vAlign w:val="bottom"/>
            <w:tcBorders>
              <w:right w:val="single" w:sz="8" w:color="auto"/>
            </w:tcBorders>
          </w:tcPr>
          <w:p>
            <w:pPr>
              <w:spacing w:after="0" w:line="20" w:lineRule="exact"/>
              <w:rPr>
                <w:sz w:val="1"/>
                <w:szCs w:val="1"/>
                <w:color w:val="auto"/>
              </w:rPr>
            </w:pPr>
          </w:p>
        </w:tc>
        <w:tc>
          <w:tcPr>
            <w:tcW w:w="3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 w:type="dxa"/>
            <w:vAlign w:val="bottom"/>
            <w:tcBorders>
              <w:left w:val="single" w:sz="8" w:color="auto"/>
            </w:tcBorders>
          </w:tcPr>
          <w:p>
            <w:pPr>
              <w:spacing w:after="0"/>
              <w:rPr>
                <w:sz w:val="19"/>
                <w:szCs w:val="19"/>
                <w:color w:val="auto"/>
              </w:rPr>
            </w:pPr>
          </w:p>
        </w:tc>
        <w:tc>
          <w:tcPr>
            <w:tcW w:w="3080" w:type="dxa"/>
            <w:vAlign w:val="bottom"/>
            <w:tcBorders>
              <w:right w:val="single" w:sz="8" w:color="auto"/>
            </w:tcBorders>
            <w:gridSpan w:val="3"/>
          </w:tcPr>
          <w:p>
            <w:pPr>
              <w:spacing w:after="0"/>
              <w:rPr>
                <w:sz w:val="20"/>
                <w:szCs w:val="20"/>
                <w:color w:val="auto"/>
              </w:rPr>
            </w:pPr>
            <w:r>
              <w:rPr>
                <w:rFonts w:ascii="Arial" w:cs="Arial" w:eastAsia="Arial" w:hAnsi="Arial"/>
                <w:sz w:val="18"/>
                <w:szCs w:val="18"/>
                <w:i w:val="1"/>
                <w:iCs w:val="1"/>
                <w:color w:val="auto"/>
              </w:rPr>
              <w:t>Performance- Based Restricted Stock</w:t>
            </w:r>
          </w:p>
        </w:tc>
        <w:tc>
          <w:tcPr>
            <w:tcW w:w="4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over a three-year performance period</w:t>
            </w:r>
          </w:p>
        </w:tc>
        <w:tc>
          <w:tcPr>
            <w:tcW w:w="39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against pre-established financial goals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rPr>
              <w:t>Units (PRSUs)</w:t>
            </w:r>
          </w:p>
        </w:tc>
        <w:tc>
          <w:tcPr>
            <w:tcW w:w="14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4000" w:type="dxa"/>
            <w:vAlign w:val="bottom"/>
            <w:tcBorders>
              <w:right w:val="single" w:sz="8" w:color="auto"/>
            </w:tcBorders>
          </w:tcPr>
          <w:p>
            <w:pPr>
              <w:spacing w:after="0"/>
              <w:rPr>
                <w:sz w:val="20"/>
                <w:szCs w:val="20"/>
                <w:color w:val="auto"/>
              </w:rPr>
            </w:pPr>
          </w:p>
        </w:tc>
        <w:tc>
          <w:tcPr>
            <w:tcW w:w="39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-Financial metrics: EPS and relative TSR</w:t>
            </w:r>
          </w:p>
        </w:tc>
        <w:tc>
          <w:tcPr>
            <w:tcW w:w="0" w:type="dxa"/>
            <w:vAlign w:val="bottom"/>
          </w:tcPr>
          <w:p>
            <w:pPr>
              <w:spacing w:after="0"/>
              <w:rPr>
                <w:sz w:val="1"/>
                <w:szCs w:val="1"/>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80" w:type="dxa"/>
            <w:vAlign w:val="bottom"/>
            <w:tcBorders>
              <w:left w:val="single" w:sz="8" w:color="auto"/>
            </w:tcBorders>
          </w:tcPr>
          <w:p>
            <w:pPr>
              <w:spacing w:after="0"/>
              <w:rPr>
                <w:sz w:val="17"/>
                <w:szCs w:val="17"/>
                <w:color w:val="auto"/>
              </w:rPr>
            </w:pPr>
          </w:p>
        </w:tc>
        <w:tc>
          <w:tcPr>
            <w:tcW w:w="308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b w:val="1"/>
                <w:bCs w:val="1"/>
                <w:i w:val="1"/>
                <w:iCs w:val="1"/>
                <w:color w:val="auto"/>
              </w:rPr>
              <w:t>25% of LTIP Grant:</w:t>
            </w:r>
          </w:p>
        </w:tc>
        <w:tc>
          <w:tcPr>
            <w:tcW w:w="400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Rewards for stock price appreciation</w:t>
            </w:r>
          </w:p>
        </w:tc>
        <w:tc>
          <w:tcPr>
            <w:tcW w:w="3980" w:type="dxa"/>
            <w:vAlign w:val="bottom"/>
            <w:tcBorders>
              <w:right w:val="single" w:sz="8" w:color="auto"/>
            </w:tcBorders>
          </w:tcPr>
          <w:p>
            <w:pPr>
              <w:ind w:left="340"/>
              <w:spacing w:after="0" w:line="196" w:lineRule="exact"/>
              <w:rPr>
                <w:sz w:val="20"/>
                <w:szCs w:val="20"/>
                <w:color w:val="auto"/>
              </w:rPr>
            </w:pPr>
            <w:r>
              <w:rPr>
                <w:rFonts w:ascii="Arial" w:cs="Arial" w:eastAsia="Arial" w:hAnsi="Arial"/>
                <w:sz w:val="18"/>
                <w:szCs w:val="18"/>
                <w:color w:val="auto"/>
                <w:w w:val="92"/>
              </w:rPr>
              <w:t>-Exercise price: 100% of fair market value on the</w:t>
            </w:r>
          </w:p>
        </w:tc>
        <w:tc>
          <w:tcPr>
            <w:tcW w:w="0" w:type="dxa"/>
            <w:vAlign w:val="bottom"/>
          </w:tcPr>
          <w:p>
            <w:pPr>
              <w:spacing w:after="0"/>
              <w:rPr>
                <w:sz w:val="1"/>
                <w:szCs w:val="1"/>
                <w:color w:val="auto"/>
              </w:rPr>
            </w:pPr>
          </w:p>
        </w:tc>
      </w:tr>
      <w:tr>
        <w:trPr>
          <w:trHeight w:val="222"/>
        </w:trPr>
        <w:tc>
          <w:tcPr>
            <w:tcW w:w="380" w:type="dxa"/>
            <w:vAlign w:val="bottom"/>
            <w:tcBorders>
              <w:left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Stock Options</w:t>
            </w:r>
          </w:p>
        </w:tc>
        <w:tc>
          <w:tcPr>
            <w:tcW w:w="140" w:type="dxa"/>
            <w:vAlign w:val="bottom"/>
            <w:tcBorders>
              <w:top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4000" w:type="dxa"/>
            <w:vAlign w:val="bottom"/>
            <w:tcBorders>
              <w:right w:val="single" w:sz="8" w:color="auto"/>
            </w:tcBorders>
          </w:tcPr>
          <w:p>
            <w:pPr>
              <w:spacing w:after="0"/>
              <w:rPr>
                <w:sz w:val="19"/>
                <w:szCs w:val="19"/>
                <w:color w:val="auto"/>
              </w:rPr>
            </w:pPr>
          </w:p>
        </w:tc>
        <w:tc>
          <w:tcPr>
            <w:tcW w:w="39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grant date</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5"/>
              </w:rPr>
              <w:t>-Vesting: 1/3 per year on the anniversary of the</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grant date</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4000" w:type="dxa"/>
            <w:vAlign w:val="bottom"/>
            <w:tcBorders>
              <w:right w:val="single" w:sz="8" w:color="auto"/>
            </w:tcBorders>
          </w:tcPr>
          <w:p>
            <w:pPr>
              <w:spacing w:after="0"/>
              <w:rPr>
                <w:sz w:val="20"/>
                <w:szCs w:val="20"/>
                <w:color w:val="auto"/>
              </w:rPr>
            </w:pPr>
          </w:p>
        </w:tc>
        <w:tc>
          <w:tcPr>
            <w:tcW w:w="39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-Exercise term: 10 years</w:t>
            </w:r>
          </w:p>
        </w:tc>
        <w:tc>
          <w:tcPr>
            <w:tcW w:w="0" w:type="dxa"/>
            <w:vAlign w:val="bottom"/>
          </w:tcPr>
          <w:p>
            <w:pPr>
              <w:spacing w:after="0"/>
              <w:rPr>
                <w:sz w:val="1"/>
                <w:szCs w:val="1"/>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80" w:type="dxa"/>
            <w:vAlign w:val="bottom"/>
            <w:tcBorders>
              <w:left w:val="single" w:sz="8" w:color="auto"/>
            </w:tcBorders>
          </w:tcPr>
          <w:p>
            <w:pPr>
              <w:spacing w:after="0"/>
              <w:rPr>
                <w:sz w:val="17"/>
                <w:szCs w:val="17"/>
                <w:color w:val="auto"/>
              </w:rPr>
            </w:pPr>
          </w:p>
        </w:tc>
        <w:tc>
          <w:tcPr>
            <w:tcW w:w="308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b w:val="1"/>
                <w:bCs w:val="1"/>
                <w:i w:val="1"/>
                <w:iCs w:val="1"/>
                <w:color w:val="auto"/>
              </w:rPr>
              <w:t>25% of LTIP Grant:</w:t>
            </w:r>
          </w:p>
        </w:tc>
        <w:tc>
          <w:tcPr>
            <w:tcW w:w="400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Supports retention</w:t>
            </w:r>
          </w:p>
        </w:tc>
        <w:tc>
          <w:tcPr>
            <w:tcW w:w="3980" w:type="dxa"/>
            <w:vAlign w:val="bottom"/>
            <w:tcBorders>
              <w:right w:val="single" w:sz="8" w:color="auto"/>
            </w:tcBorders>
          </w:tcPr>
          <w:p>
            <w:pPr>
              <w:ind w:left="340"/>
              <w:spacing w:after="0" w:line="196" w:lineRule="exact"/>
              <w:rPr>
                <w:sz w:val="20"/>
                <w:szCs w:val="20"/>
                <w:color w:val="auto"/>
              </w:rPr>
            </w:pPr>
            <w:r>
              <w:rPr>
                <w:rFonts w:ascii="Arial" w:cs="Arial" w:eastAsia="Arial" w:hAnsi="Arial"/>
                <w:sz w:val="18"/>
                <w:szCs w:val="18"/>
                <w:color w:val="auto"/>
                <w:w w:val="95"/>
              </w:rPr>
              <w:t>-Vesting: 1/3 per year on the anniversary of the</w:t>
            </w:r>
          </w:p>
        </w:tc>
        <w:tc>
          <w:tcPr>
            <w:tcW w:w="0" w:type="dxa"/>
            <w:vAlign w:val="bottom"/>
          </w:tcPr>
          <w:p>
            <w:pPr>
              <w:spacing w:after="0"/>
              <w:rPr>
                <w:sz w:val="1"/>
                <w:szCs w:val="1"/>
                <w:color w:val="auto"/>
              </w:rPr>
            </w:pPr>
          </w:p>
        </w:tc>
      </w:tr>
      <w:tr>
        <w:trPr>
          <w:trHeight w:val="20"/>
        </w:trPr>
        <w:tc>
          <w:tcPr>
            <w:tcW w:w="380" w:type="dxa"/>
            <w:vAlign w:val="bottom"/>
            <w:tcBorders>
              <w:left w:val="single" w:sz="8" w:color="auto"/>
            </w:tcBorders>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4000" w:type="dxa"/>
            <w:vAlign w:val="bottom"/>
            <w:tcBorders>
              <w:right w:val="single" w:sz="8" w:color="auto"/>
            </w:tcBorders>
          </w:tcPr>
          <w:p>
            <w:pPr>
              <w:spacing w:after="0" w:line="20" w:lineRule="exact"/>
              <w:rPr>
                <w:sz w:val="1"/>
                <w:szCs w:val="1"/>
                <w:color w:val="auto"/>
              </w:rPr>
            </w:pPr>
          </w:p>
        </w:tc>
        <w:tc>
          <w:tcPr>
            <w:tcW w:w="3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 w:type="dxa"/>
            <w:vAlign w:val="bottom"/>
            <w:tcBorders>
              <w:left w:val="single" w:sz="8" w:color="auto"/>
            </w:tcBorders>
          </w:tcPr>
          <w:p>
            <w:pPr>
              <w:spacing w:after="0"/>
              <w:rPr>
                <w:sz w:val="19"/>
                <w:szCs w:val="19"/>
                <w:color w:val="auto"/>
              </w:rPr>
            </w:pPr>
          </w:p>
        </w:tc>
        <w:tc>
          <w:tcPr>
            <w:tcW w:w="3080" w:type="dxa"/>
            <w:vAlign w:val="bottom"/>
            <w:tcBorders>
              <w:right w:val="single" w:sz="8" w:color="auto"/>
            </w:tcBorders>
            <w:gridSpan w:val="3"/>
          </w:tcPr>
          <w:p>
            <w:pPr>
              <w:spacing w:after="0"/>
              <w:rPr>
                <w:sz w:val="20"/>
                <w:szCs w:val="20"/>
                <w:color w:val="auto"/>
              </w:rPr>
            </w:pPr>
            <w:r>
              <w:rPr>
                <w:rFonts w:ascii="Arial" w:cs="Arial" w:eastAsia="Arial" w:hAnsi="Arial"/>
                <w:sz w:val="18"/>
                <w:szCs w:val="18"/>
                <w:i w:val="1"/>
                <w:iCs w:val="1"/>
                <w:color w:val="auto"/>
              </w:rPr>
              <w:t>Time-Vested Restricted Stock Units</w:t>
            </w:r>
          </w:p>
        </w:tc>
        <w:tc>
          <w:tcPr>
            <w:tcW w:w="4000" w:type="dxa"/>
            <w:vAlign w:val="bottom"/>
            <w:tcBorders>
              <w:right w:val="single" w:sz="8" w:color="auto"/>
            </w:tcBorders>
          </w:tcPr>
          <w:p>
            <w:pPr>
              <w:spacing w:after="0"/>
              <w:rPr>
                <w:sz w:val="19"/>
                <w:szCs w:val="19"/>
                <w:color w:val="auto"/>
              </w:rPr>
            </w:pPr>
          </w:p>
        </w:tc>
        <w:tc>
          <w:tcPr>
            <w:tcW w:w="39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grant date</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rPr>
              <w:t>(RSUs)</w:t>
            </w:r>
          </w:p>
        </w:tc>
        <w:tc>
          <w:tcPr>
            <w:tcW w:w="14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4000" w:type="dxa"/>
            <w:vAlign w:val="bottom"/>
            <w:tcBorders>
              <w:right w:val="single" w:sz="8" w:color="auto"/>
            </w:tcBorders>
          </w:tcPr>
          <w:p>
            <w:pPr>
              <w:spacing w:after="0"/>
              <w:rPr>
                <w:sz w:val="20"/>
                <w:szCs w:val="20"/>
                <w:color w:val="auto"/>
              </w:rPr>
            </w:pPr>
          </w:p>
        </w:tc>
        <w:tc>
          <w:tcPr>
            <w:tcW w:w="398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-Paid in Itron shares at vesting</w:t>
            </w:r>
          </w:p>
        </w:tc>
        <w:tc>
          <w:tcPr>
            <w:tcW w:w="0" w:type="dxa"/>
            <w:vAlign w:val="bottom"/>
          </w:tcPr>
          <w:p>
            <w:pPr>
              <w:spacing w:after="0"/>
              <w:rPr>
                <w:sz w:val="1"/>
                <w:szCs w:val="1"/>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0" w:type="dxa"/>
            <w:vAlign w:val="bottom"/>
          </w:tcPr>
          <w:p>
            <w:pPr>
              <w:ind w:left="2120"/>
              <w:spacing w:after="0"/>
              <w:rPr>
                <w:sz w:val="20"/>
                <w:szCs w:val="20"/>
                <w:color w:val="auto"/>
              </w:rPr>
            </w:pPr>
            <w:r>
              <w:rPr>
                <w:rFonts w:ascii="Arial" w:cs="Arial" w:eastAsia="Arial" w:hAnsi="Arial"/>
                <w:sz w:val="18"/>
                <w:szCs w:val="18"/>
                <w:color w:val="auto"/>
              </w:rPr>
              <w:t>133</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Mix</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charts below show the target TDC of our CEO and our other NEOs for fiscal 2015. These charts illustrate that a majority of NEO TDC is variable (84% for our CEO and an average of 75% for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74295</wp:posOffset>
            </wp:positionV>
            <wp:extent cx="5848985" cy="19894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4898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Decision Making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Compensation Committee</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The Compensation Committee oversees the executive compensation program for our NEOs. The Committee is comprised of independent, non-employee members of the Board of Directors (the “Board”). The Committee works very closely with its independent consultant and management to examine the effectiveness of the Company’s executive compensation program throughout the year. Details of the Committee’s authority and responsibilities are specified in the Committee’s charter, which may be accessed at our website, </w:t>
      </w:r>
      <w:r>
        <w:rPr>
          <w:rFonts w:ascii="Arial" w:cs="Arial" w:eastAsia="Arial" w:hAnsi="Arial"/>
          <w:sz w:val="16"/>
          <w:szCs w:val="16"/>
          <w:i w:val="1"/>
          <w:iCs w:val="1"/>
          <w:color w:val="auto"/>
        </w:rPr>
        <w:t>www.itron.com</w:t>
      </w:r>
      <w:r>
        <w:rPr>
          <w:rFonts w:ascii="Arial" w:cs="Arial" w:eastAsia="Arial" w:hAnsi="Arial"/>
          <w:sz w:val="16"/>
          <w:szCs w:val="16"/>
          <w:color w:val="auto"/>
        </w:rPr>
        <w:t>, by clicking “About Itron,” “Investors,” and then “Corporate Governance.”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makes all final compensation and equity award decisions regarding our NEOs, except for the CEO, whose compensation is determined by the independent members of the full Board, based upon recommendations of the Committee.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Management</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Members of our management team typically attend meetings where executive compensation, Company and individual performance, and competitive compensation levels and practices are discussed and evaluated; however, only the Committee members are allowed to vote on decisions regarding executive compensation. The Committee also receives recommendations from the CEO regarding the compensation of our other executive officers, including the other NEOs. The CEO does not participate in the deliberations of the Committee regarding his own compensation.</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Independent Consultant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Committee engages an independent compensation consultant to provide expertise on competitive pay practices, program design, and an objective assessment of any inherent risks of any programs. Pursuant to authority granted to it under its charter, the Committee has hired Frederic W. Cook &amp; Co. (FWC) as its independent consultant. FWC reports directly to the Committee and does not provide any additional services to management. The Committee has conducted an independence assessment of FWC in accordance with recently adopted SEC rules and has determined that work performed by FWC does not create a conflict of interest.</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Peer Companies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Some of our direct competitors (Sensus and Landis &amp; Gyr) are private, and there is no publicly available compensation information about them. As a result, our Peer Companies for purposes of benchmarking executive compensation generally consist of direct competitors for which public information is available, who are part of the same broad Standard &amp; Poor’s (S&amp;P) industry classifications of technology hardware and equipment or in software and services, and who are similar in size and scope of global operations as Itron. The Committee reviews the Peer Companies on an annual basis.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2015, in conjunction with the recommendation of FWC, the Committee increased the number of Peer Companies from 14 to 17, keeping eight companies from 2014 to maintain consistency, and adding five companies with software services as part of their business mix.</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125"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07"/>
        </w:trPr>
        <w:tc>
          <w:tcPr>
            <w:tcW w:w="2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12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line="202" w:lineRule="exact"/>
              <w:rPr>
                <w:sz w:val="20"/>
                <w:szCs w:val="20"/>
                <w:color w:val="auto"/>
              </w:rPr>
            </w:pPr>
            <w:r>
              <w:rPr>
                <w:rFonts w:ascii="Arial" w:cs="Arial" w:eastAsia="Arial" w:hAnsi="Arial"/>
                <w:sz w:val="18"/>
                <w:szCs w:val="18"/>
                <w:b w:val="1"/>
                <w:bCs w:val="1"/>
                <w:color w:val="auto"/>
                <w:w w:val="87"/>
              </w:rPr>
              <w:t>Peer Companies</w:t>
            </w:r>
          </w:p>
        </w:tc>
        <w:tc>
          <w:tcPr>
            <w:tcW w:w="2840" w:type="dxa"/>
            <w:vAlign w:val="bottom"/>
            <w:tcBorders>
              <w:right w:val="single" w:sz="8" w:color="auto"/>
            </w:tcBorders>
          </w:tcPr>
          <w:p>
            <w:pPr>
              <w:spacing w:after="0"/>
              <w:rPr>
                <w:sz w:val="17"/>
                <w:szCs w:val="17"/>
                <w:color w:val="auto"/>
              </w:rPr>
            </w:pPr>
          </w:p>
        </w:tc>
        <w:tc>
          <w:tcPr>
            <w:tcW w:w="1600" w:type="dxa"/>
            <w:vAlign w:val="bottom"/>
            <w:shd w:val="clear" w:color="auto" w:fill="EEECE1"/>
          </w:tcPr>
          <w:p>
            <w:pPr>
              <w:spacing w:after="0"/>
              <w:rPr>
                <w:sz w:val="17"/>
                <w:szCs w:val="17"/>
                <w:color w:val="auto"/>
              </w:rPr>
            </w:pPr>
          </w:p>
        </w:tc>
        <w:tc>
          <w:tcPr>
            <w:tcW w:w="2160" w:type="dxa"/>
            <w:vAlign w:val="bottom"/>
            <w:gridSpan w:val="4"/>
            <w:shd w:val="clear" w:color="auto" w:fill="EEECE1"/>
          </w:tcPr>
          <w:p>
            <w:pPr>
              <w:jc w:val="center"/>
              <w:ind w:right="300"/>
              <w:spacing w:after="0" w:line="202" w:lineRule="exact"/>
              <w:rPr>
                <w:sz w:val="20"/>
                <w:szCs w:val="20"/>
                <w:color w:val="auto"/>
              </w:rPr>
            </w:pPr>
            <w:r>
              <w:rPr>
                <w:rFonts w:ascii="Arial" w:cs="Arial" w:eastAsia="Arial" w:hAnsi="Arial"/>
                <w:sz w:val="18"/>
                <w:szCs w:val="18"/>
                <w:b w:val="1"/>
                <w:bCs w:val="1"/>
                <w:color w:val="auto"/>
                <w:w w:val="90"/>
              </w:rPr>
              <w:t>Peer Data as 12-31-2014</w:t>
            </w:r>
          </w:p>
        </w:tc>
        <w:tc>
          <w:tcPr>
            <w:tcW w:w="1340" w:type="dxa"/>
            <w:vAlign w:val="bottom"/>
            <w:tcBorders>
              <w:right w:val="single" w:sz="8" w:color="auto"/>
            </w:tcBorders>
            <w:shd w:val="clear" w:color="auto" w:fill="EEECE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40" w:type="dxa"/>
            <w:vAlign w:val="bottom"/>
            <w:tcBorders>
              <w:right w:val="single" w:sz="8" w:color="auto"/>
            </w:tcBorders>
          </w:tcPr>
          <w:p>
            <w:pPr>
              <w:spacing w:after="0" w:line="20" w:lineRule="exact"/>
              <w:rPr>
                <w:sz w:val="1"/>
                <w:szCs w:val="1"/>
                <w:color w:val="auto"/>
              </w:rPr>
            </w:pPr>
          </w:p>
        </w:tc>
        <w:tc>
          <w:tcPr>
            <w:tcW w:w="1600" w:type="dxa"/>
            <w:vAlign w:val="bottom"/>
            <w:shd w:val="clear" w:color="auto" w:fill="EEEC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EEECE1"/>
          </w:tcPr>
          <w:p>
            <w:pPr>
              <w:spacing w:after="0" w:line="20" w:lineRule="exact"/>
              <w:rPr>
                <w:sz w:val="1"/>
                <w:szCs w:val="1"/>
                <w:color w:val="auto"/>
              </w:rPr>
            </w:pPr>
          </w:p>
        </w:tc>
        <w:tc>
          <w:tcPr>
            <w:tcW w:w="1340" w:type="dxa"/>
            <w:vAlign w:val="bottom"/>
            <w:tcBorders>
              <w:right w:val="single" w:sz="8" w:color="auto"/>
            </w:tcBorders>
            <w:shd w:val="clear" w:color="auto" w:fill="EEEC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240" w:type="dxa"/>
            <w:vAlign w:val="bottom"/>
            <w:gridSpan w:val="2"/>
          </w:tcPr>
          <w:p>
            <w:pPr>
              <w:ind w:left="40"/>
              <w:spacing w:after="0"/>
              <w:rPr>
                <w:sz w:val="20"/>
                <w:szCs w:val="20"/>
                <w:color w:val="auto"/>
              </w:rPr>
            </w:pPr>
            <w:r>
              <w:rPr>
                <w:rFonts w:ascii="Arial" w:cs="Arial" w:eastAsia="Arial" w:hAnsi="Arial"/>
                <w:sz w:val="18"/>
                <w:szCs w:val="18"/>
                <w:color w:val="auto"/>
              </w:rPr>
              <w:t>Ametek Inc.†</w:t>
            </w:r>
          </w:p>
        </w:tc>
        <w:tc>
          <w:tcPr>
            <w:tcW w:w="410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Mueller Water Products, Inc. †</w:t>
            </w:r>
          </w:p>
        </w:tc>
        <w:tc>
          <w:tcPr>
            <w:tcW w:w="1600" w:type="dxa"/>
            <w:vAlign w:val="bottom"/>
            <w:tcBorders>
              <w:bottom w:val="single" w:sz="8" w:color="EEECE1"/>
            </w:tcBorders>
            <w:shd w:val="clear" w:color="auto" w:fill="EEECE1"/>
          </w:tcPr>
          <w:p>
            <w:pPr>
              <w:spacing w:after="0"/>
              <w:rPr>
                <w:sz w:val="24"/>
                <w:szCs w:val="24"/>
                <w:color w:val="auto"/>
              </w:rPr>
            </w:pPr>
          </w:p>
        </w:tc>
        <w:tc>
          <w:tcPr>
            <w:tcW w:w="80" w:type="dxa"/>
            <w:vAlign w:val="bottom"/>
            <w:tcBorders>
              <w:bottom w:val="single" w:sz="8" w:color="EEECE1"/>
            </w:tcBorders>
            <w:shd w:val="clear" w:color="auto" w:fill="EEECE1"/>
          </w:tcPr>
          <w:p>
            <w:pPr>
              <w:spacing w:after="0"/>
              <w:rPr>
                <w:sz w:val="24"/>
                <w:szCs w:val="24"/>
                <w:color w:val="auto"/>
              </w:rPr>
            </w:pPr>
          </w:p>
        </w:tc>
        <w:tc>
          <w:tcPr>
            <w:tcW w:w="2080" w:type="dxa"/>
            <w:vAlign w:val="bottom"/>
            <w:tcBorders>
              <w:bottom w:val="single" w:sz="8" w:color="EEECE1"/>
            </w:tcBorders>
            <w:gridSpan w:val="3"/>
            <w:shd w:val="clear" w:color="auto" w:fill="EEECE1"/>
          </w:tcPr>
          <w:p>
            <w:pPr>
              <w:ind w:left="1320"/>
              <w:spacing w:after="0"/>
              <w:rPr>
                <w:sz w:val="20"/>
                <w:szCs w:val="20"/>
                <w:color w:val="auto"/>
              </w:rPr>
            </w:pPr>
            <w:r>
              <w:rPr>
                <w:rFonts w:ascii="Arial" w:cs="Arial" w:eastAsia="Arial" w:hAnsi="Arial"/>
                <w:sz w:val="18"/>
                <w:szCs w:val="18"/>
                <w:color w:val="auto"/>
                <w:w w:val="98"/>
              </w:rPr>
              <w:t>$ Millions</w:t>
            </w:r>
          </w:p>
        </w:tc>
        <w:tc>
          <w:tcPr>
            <w:tcW w:w="1340" w:type="dxa"/>
            <w:vAlign w:val="bottom"/>
            <w:tcBorders>
              <w:bottom w:val="single" w:sz="8" w:color="EEECE1"/>
              <w:right w:val="single" w:sz="8" w:color="auto"/>
            </w:tcBorders>
            <w:shd w:val="clear" w:color="auto" w:fill="EEEC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gridSpan w:val="2"/>
          </w:tcPr>
          <w:p>
            <w:pPr>
              <w:ind w:left="40"/>
              <w:spacing w:after="0"/>
              <w:rPr>
                <w:sz w:val="20"/>
                <w:szCs w:val="20"/>
                <w:color w:val="auto"/>
              </w:rPr>
            </w:pPr>
            <w:r>
              <w:rPr>
                <w:rFonts w:ascii="Arial" w:cs="Arial" w:eastAsia="Arial" w:hAnsi="Arial"/>
                <w:sz w:val="18"/>
                <w:szCs w:val="18"/>
                <w:color w:val="auto"/>
              </w:rPr>
              <w:t>Atmel Corporation</w:t>
            </w:r>
          </w:p>
        </w:tc>
        <w:tc>
          <w:tcPr>
            <w:tcW w:w="410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OSI Systems, Inc</w:t>
            </w:r>
          </w:p>
        </w:tc>
        <w:tc>
          <w:tcPr>
            <w:tcW w:w="1680" w:type="dxa"/>
            <w:vAlign w:val="bottom"/>
            <w:tcBorders>
              <w:top w:val="single" w:sz="8" w:color="EEECE1"/>
            </w:tcBorders>
            <w:gridSpan w:val="2"/>
            <w:shd w:val="clear" w:color="auto" w:fill="EEECE1"/>
          </w:tcPr>
          <w:p>
            <w:pPr>
              <w:jc w:val="center"/>
              <w:spacing w:after="0"/>
              <w:rPr>
                <w:sz w:val="20"/>
                <w:szCs w:val="20"/>
                <w:color w:val="auto"/>
              </w:rPr>
            </w:pPr>
            <w:r>
              <w:rPr>
                <w:rFonts w:ascii="Arial" w:cs="Arial" w:eastAsia="Arial" w:hAnsi="Arial"/>
                <w:sz w:val="18"/>
                <w:szCs w:val="18"/>
                <w:i w:val="1"/>
                <w:iCs w:val="1"/>
                <w:color w:val="auto"/>
                <w:w w:val="89"/>
              </w:rPr>
              <w:t>Percentile</w:t>
            </w:r>
          </w:p>
        </w:tc>
        <w:tc>
          <w:tcPr>
            <w:tcW w:w="1700" w:type="dxa"/>
            <w:vAlign w:val="bottom"/>
            <w:tcBorders>
              <w:top w:val="single" w:sz="8" w:color="auto"/>
            </w:tcBorders>
            <w:shd w:val="clear" w:color="auto" w:fill="EEECE1"/>
          </w:tcPr>
          <w:p>
            <w:pPr>
              <w:jc w:val="center"/>
              <w:spacing w:after="0"/>
              <w:rPr>
                <w:sz w:val="20"/>
                <w:szCs w:val="20"/>
                <w:color w:val="auto"/>
              </w:rPr>
            </w:pPr>
            <w:r>
              <w:rPr>
                <w:rFonts w:ascii="Arial" w:cs="Arial" w:eastAsia="Arial" w:hAnsi="Arial"/>
                <w:sz w:val="18"/>
                <w:szCs w:val="18"/>
                <w:color w:val="auto"/>
                <w:w w:val="85"/>
              </w:rPr>
              <w:t>Revenue</w:t>
            </w:r>
          </w:p>
        </w:tc>
        <w:tc>
          <w:tcPr>
            <w:tcW w:w="80" w:type="dxa"/>
            <w:vAlign w:val="bottom"/>
            <w:tcBorders>
              <w:top w:val="single" w:sz="8" w:color="auto"/>
            </w:tcBorders>
            <w:shd w:val="clear" w:color="auto" w:fill="EEECE1"/>
          </w:tcPr>
          <w:p>
            <w:pPr>
              <w:spacing w:after="0"/>
              <w:rPr>
                <w:sz w:val="20"/>
                <w:szCs w:val="20"/>
                <w:color w:val="auto"/>
              </w:rPr>
            </w:pPr>
          </w:p>
        </w:tc>
        <w:tc>
          <w:tcPr>
            <w:tcW w:w="300" w:type="dxa"/>
            <w:vAlign w:val="bottom"/>
            <w:tcBorders>
              <w:top w:val="single" w:sz="8" w:color="auto"/>
            </w:tcBorders>
            <w:shd w:val="clear" w:color="auto" w:fill="EEECE1"/>
          </w:tcPr>
          <w:p>
            <w:pPr>
              <w:spacing w:after="0"/>
              <w:rPr>
                <w:sz w:val="20"/>
                <w:szCs w:val="20"/>
                <w:color w:val="auto"/>
              </w:rPr>
            </w:pPr>
          </w:p>
        </w:tc>
        <w:tc>
          <w:tcPr>
            <w:tcW w:w="1340" w:type="dxa"/>
            <w:vAlign w:val="bottom"/>
            <w:tcBorders>
              <w:top w:val="single" w:sz="8" w:color="auto"/>
              <w:right w:val="single" w:sz="8" w:color="auto"/>
            </w:tcBorders>
            <w:shd w:val="clear" w:color="auto" w:fill="EEECE1"/>
          </w:tcPr>
          <w:p>
            <w:pPr>
              <w:ind w:left="40"/>
              <w:spacing w:after="0"/>
              <w:rPr>
                <w:sz w:val="20"/>
                <w:szCs w:val="20"/>
                <w:color w:val="auto"/>
              </w:rPr>
            </w:pPr>
            <w:r>
              <w:rPr>
                <w:rFonts w:ascii="Arial" w:cs="Arial" w:eastAsia="Arial" w:hAnsi="Arial"/>
                <w:sz w:val="18"/>
                <w:szCs w:val="18"/>
                <w:color w:val="auto"/>
              </w:rPr>
              <w:t>Market Cap</w:t>
            </w:r>
          </w:p>
        </w:tc>
        <w:tc>
          <w:tcPr>
            <w:tcW w:w="0" w:type="dxa"/>
            <w:vAlign w:val="bottom"/>
          </w:tcPr>
          <w:p>
            <w:pPr>
              <w:spacing w:after="0"/>
              <w:rPr>
                <w:sz w:val="1"/>
                <w:szCs w:val="1"/>
                <w:color w:val="auto"/>
              </w:rPr>
            </w:pPr>
          </w:p>
        </w:tc>
      </w:tr>
      <w:tr>
        <w:trPr>
          <w:trHeight w:val="368"/>
        </w:trPr>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Ciber, Inc*</w:t>
            </w:r>
          </w:p>
        </w:tc>
        <w:tc>
          <w:tcPr>
            <w:tcW w:w="4100" w:type="dxa"/>
            <w:vAlign w:val="bottom"/>
            <w:tcBorders>
              <w:right w:val="single" w:sz="8" w:color="auto"/>
            </w:tcBorders>
            <w:gridSpan w:val="2"/>
            <w:vMerge w:val="restart"/>
          </w:tcPr>
          <w:p>
            <w:pPr>
              <w:ind w:left="660"/>
              <w:spacing w:after="0"/>
              <w:rPr>
                <w:sz w:val="20"/>
                <w:szCs w:val="20"/>
                <w:color w:val="auto"/>
              </w:rPr>
            </w:pPr>
            <w:r>
              <w:rPr>
                <w:rFonts w:ascii="Arial" w:cs="Arial" w:eastAsia="Arial" w:hAnsi="Arial"/>
                <w:sz w:val="18"/>
                <w:szCs w:val="18"/>
                <w:color w:val="auto"/>
              </w:rPr>
              <w:t>Roper Industries Inc. †</w:t>
            </w:r>
          </w:p>
        </w:tc>
        <w:tc>
          <w:tcPr>
            <w:tcW w:w="1680" w:type="dxa"/>
            <w:vAlign w:val="bottom"/>
            <w:gridSpan w:val="2"/>
            <w:shd w:val="clear" w:color="auto" w:fill="EEECE1"/>
          </w:tcPr>
          <w:p>
            <w:pPr>
              <w:jc w:val="center"/>
              <w:spacing w:after="0"/>
              <w:rPr>
                <w:sz w:val="20"/>
                <w:szCs w:val="20"/>
                <w:color w:val="auto"/>
              </w:rPr>
            </w:pPr>
            <w:r>
              <w:rPr>
                <w:rFonts w:ascii="Arial" w:cs="Arial" w:eastAsia="Arial" w:hAnsi="Arial"/>
                <w:sz w:val="18"/>
                <w:szCs w:val="18"/>
                <w:i w:val="1"/>
                <w:iCs w:val="1"/>
                <w:color w:val="auto"/>
                <w:w w:val="82"/>
              </w:rPr>
              <w:t>25</w:t>
            </w:r>
            <w:r>
              <w:rPr>
                <w:rFonts w:ascii="Arial" w:cs="Arial" w:eastAsia="Arial" w:hAnsi="Arial"/>
                <w:sz w:val="25"/>
                <w:szCs w:val="25"/>
                <w:i w:val="1"/>
                <w:iCs w:val="1"/>
                <w:color w:val="auto"/>
                <w:w w:val="82"/>
                <w:vertAlign w:val="superscript"/>
              </w:rPr>
              <w:t>th</w:t>
            </w:r>
          </w:p>
        </w:tc>
        <w:tc>
          <w:tcPr>
            <w:tcW w:w="1700" w:type="dxa"/>
            <w:vAlign w:val="bottom"/>
            <w:vMerge w:val="restart"/>
            <w:shd w:val="clear" w:color="auto" w:fill="EEECE1"/>
          </w:tcPr>
          <w:p>
            <w:pPr>
              <w:jc w:val="center"/>
              <w:spacing w:after="0"/>
              <w:rPr>
                <w:sz w:val="20"/>
                <w:szCs w:val="20"/>
                <w:color w:val="auto"/>
              </w:rPr>
            </w:pPr>
            <w:r>
              <w:rPr>
                <w:rFonts w:ascii="Arial" w:cs="Arial" w:eastAsia="Arial" w:hAnsi="Arial"/>
                <w:sz w:val="18"/>
                <w:szCs w:val="18"/>
                <w:color w:val="auto"/>
                <w:w w:val="90"/>
              </w:rPr>
              <w:t>$1,185</w:t>
            </w:r>
          </w:p>
        </w:tc>
        <w:tc>
          <w:tcPr>
            <w:tcW w:w="80" w:type="dxa"/>
            <w:vAlign w:val="bottom"/>
            <w:shd w:val="clear" w:color="auto" w:fill="EEECE1"/>
          </w:tcPr>
          <w:p>
            <w:pPr>
              <w:spacing w:after="0"/>
              <w:rPr>
                <w:sz w:val="24"/>
                <w:szCs w:val="24"/>
                <w:color w:val="auto"/>
              </w:rPr>
            </w:pPr>
          </w:p>
        </w:tc>
        <w:tc>
          <w:tcPr>
            <w:tcW w:w="300" w:type="dxa"/>
            <w:vAlign w:val="bottom"/>
            <w:shd w:val="clear" w:color="auto" w:fill="EEECE1"/>
          </w:tcPr>
          <w:p>
            <w:pPr>
              <w:spacing w:after="0"/>
              <w:rPr>
                <w:sz w:val="24"/>
                <w:szCs w:val="24"/>
                <w:color w:val="auto"/>
              </w:rPr>
            </w:pPr>
          </w:p>
        </w:tc>
        <w:tc>
          <w:tcPr>
            <w:tcW w:w="1340" w:type="dxa"/>
            <w:vAlign w:val="bottom"/>
            <w:tcBorders>
              <w:right w:val="single" w:sz="8" w:color="auto"/>
            </w:tcBorders>
            <w:vMerge w:val="restart"/>
            <w:shd w:val="clear" w:color="auto" w:fill="EEECE1"/>
          </w:tcPr>
          <w:p>
            <w:pPr>
              <w:jc w:val="center"/>
              <w:ind w:right="330"/>
              <w:spacing w:after="0"/>
              <w:rPr>
                <w:sz w:val="20"/>
                <w:szCs w:val="20"/>
                <w:color w:val="auto"/>
              </w:rPr>
            </w:pPr>
            <w:r>
              <w:rPr>
                <w:rFonts w:ascii="Arial" w:cs="Arial" w:eastAsia="Arial" w:hAnsi="Arial"/>
                <w:sz w:val="18"/>
                <w:szCs w:val="18"/>
                <w:color w:val="auto"/>
                <w:w w:val="87"/>
              </w:rPr>
              <w:t>$1,642</w:t>
            </w:r>
          </w:p>
        </w:tc>
        <w:tc>
          <w:tcPr>
            <w:tcW w:w="0" w:type="dxa"/>
            <w:vAlign w:val="bottom"/>
          </w:tcPr>
          <w:p>
            <w:pPr>
              <w:spacing w:after="0"/>
              <w:rPr>
                <w:sz w:val="1"/>
                <w:szCs w:val="1"/>
                <w:color w:val="auto"/>
              </w:rPr>
            </w:pPr>
          </w:p>
        </w:tc>
      </w:tr>
      <w:tr>
        <w:trPr>
          <w:trHeight w:val="77"/>
        </w:trPr>
        <w:tc>
          <w:tcPr>
            <w:tcW w:w="2240" w:type="dxa"/>
            <w:vAlign w:val="bottom"/>
            <w:gridSpan w:val="2"/>
            <w:vMerge w:val="continue"/>
          </w:tcPr>
          <w:p>
            <w:pPr>
              <w:spacing w:after="0"/>
              <w:rPr>
                <w:sz w:val="6"/>
                <w:szCs w:val="6"/>
                <w:color w:val="auto"/>
              </w:rPr>
            </w:pPr>
          </w:p>
        </w:tc>
        <w:tc>
          <w:tcPr>
            <w:tcW w:w="4100" w:type="dxa"/>
            <w:vAlign w:val="bottom"/>
            <w:tcBorders>
              <w:right w:val="single" w:sz="8" w:color="auto"/>
            </w:tcBorders>
            <w:gridSpan w:val="2"/>
            <w:vMerge w:val="continue"/>
          </w:tcPr>
          <w:p>
            <w:pPr>
              <w:spacing w:after="0"/>
              <w:rPr>
                <w:sz w:val="6"/>
                <w:szCs w:val="6"/>
                <w:color w:val="auto"/>
              </w:rPr>
            </w:pPr>
          </w:p>
        </w:tc>
        <w:tc>
          <w:tcPr>
            <w:tcW w:w="1600" w:type="dxa"/>
            <w:vAlign w:val="bottom"/>
            <w:shd w:val="clear" w:color="auto" w:fill="EEECE1"/>
          </w:tcPr>
          <w:p>
            <w:pPr>
              <w:spacing w:after="0"/>
              <w:rPr>
                <w:sz w:val="6"/>
                <w:szCs w:val="6"/>
                <w:color w:val="auto"/>
              </w:rPr>
            </w:pPr>
          </w:p>
        </w:tc>
        <w:tc>
          <w:tcPr>
            <w:tcW w:w="80" w:type="dxa"/>
            <w:vAlign w:val="bottom"/>
            <w:shd w:val="clear" w:color="auto" w:fill="EEECE1"/>
          </w:tcPr>
          <w:p>
            <w:pPr>
              <w:spacing w:after="0"/>
              <w:rPr>
                <w:sz w:val="6"/>
                <w:szCs w:val="6"/>
                <w:color w:val="auto"/>
              </w:rPr>
            </w:pPr>
          </w:p>
        </w:tc>
        <w:tc>
          <w:tcPr>
            <w:tcW w:w="1700" w:type="dxa"/>
            <w:vAlign w:val="bottom"/>
            <w:vMerge w:val="continue"/>
            <w:shd w:val="clear" w:color="auto" w:fill="EEECE1"/>
          </w:tcPr>
          <w:p>
            <w:pPr>
              <w:spacing w:after="0"/>
              <w:rPr>
                <w:sz w:val="6"/>
                <w:szCs w:val="6"/>
                <w:color w:val="auto"/>
              </w:rPr>
            </w:pPr>
          </w:p>
        </w:tc>
        <w:tc>
          <w:tcPr>
            <w:tcW w:w="80" w:type="dxa"/>
            <w:vAlign w:val="bottom"/>
            <w:shd w:val="clear" w:color="auto" w:fill="EEECE1"/>
          </w:tcPr>
          <w:p>
            <w:pPr>
              <w:spacing w:after="0"/>
              <w:rPr>
                <w:sz w:val="6"/>
                <w:szCs w:val="6"/>
                <w:color w:val="auto"/>
              </w:rPr>
            </w:pPr>
          </w:p>
        </w:tc>
        <w:tc>
          <w:tcPr>
            <w:tcW w:w="300" w:type="dxa"/>
            <w:vAlign w:val="bottom"/>
            <w:shd w:val="clear" w:color="auto" w:fill="EEECE1"/>
          </w:tcPr>
          <w:p>
            <w:pPr>
              <w:spacing w:after="0"/>
              <w:rPr>
                <w:sz w:val="6"/>
                <w:szCs w:val="6"/>
                <w:color w:val="auto"/>
              </w:rPr>
            </w:pPr>
          </w:p>
        </w:tc>
        <w:tc>
          <w:tcPr>
            <w:tcW w:w="1340" w:type="dxa"/>
            <w:vAlign w:val="bottom"/>
            <w:tcBorders>
              <w:right w:val="single" w:sz="8" w:color="auto"/>
            </w:tcBorders>
            <w:vMerge w:val="continue"/>
            <w:shd w:val="clear" w:color="auto" w:fill="EEECE1"/>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Diebold, Incorporated†</w:t>
            </w:r>
          </w:p>
        </w:tc>
        <w:tc>
          <w:tcPr>
            <w:tcW w:w="4100" w:type="dxa"/>
            <w:vAlign w:val="bottom"/>
            <w:tcBorders>
              <w:right w:val="single" w:sz="8" w:color="auto"/>
            </w:tcBorders>
            <w:gridSpan w:val="2"/>
            <w:vMerge w:val="restart"/>
          </w:tcPr>
          <w:p>
            <w:pPr>
              <w:ind w:left="660"/>
              <w:spacing w:after="0"/>
              <w:rPr>
                <w:sz w:val="20"/>
                <w:szCs w:val="20"/>
                <w:color w:val="auto"/>
              </w:rPr>
            </w:pPr>
            <w:r>
              <w:rPr>
                <w:rFonts w:ascii="Arial" w:cs="Arial" w:eastAsia="Arial" w:hAnsi="Arial"/>
                <w:sz w:val="18"/>
                <w:szCs w:val="18"/>
                <w:color w:val="auto"/>
              </w:rPr>
              <w:t>Teradyne Inc.</w:t>
            </w:r>
          </w:p>
        </w:tc>
        <w:tc>
          <w:tcPr>
            <w:tcW w:w="1680" w:type="dxa"/>
            <w:vAlign w:val="bottom"/>
            <w:gridSpan w:val="2"/>
            <w:shd w:val="clear" w:color="auto" w:fill="EEECE1"/>
          </w:tcPr>
          <w:p>
            <w:pPr>
              <w:jc w:val="center"/>
              <w:spacing w:after="0"/>
              <w:rPr>
                <w:sz w:val="20"/>
                <w:szCs w:val="20"/>
                <w:color w:val="auto"/>
              </w:rPr>
            </w:pPr>
            <w:r>
              <w:rPr>
                <w:rFonts w:ascii="Arial" w:cs="Arial" w:eastAsia="Arial" w:hAnsi="Arial"/>
                <w:sz w:val="18"/>
                <w:szCs w:val="18"/>
                <w:i w:val="1"/>
                <w:iCs w:val="1"/>
                <w:color w:val="auto"/>
                <w:w w:val="82"/>
              </w:rPr>
              <w:t>50</w:t>
            </w:r>
            <w:r>
              <w:rPr>
                <w:rFonts w:ascii="Arial" w:cs="Arial" w:eastAsia="Arial" w:hAnsi="Arial"/>
                <w:sz w:val="25"/>
                <w:szCs w:val="25"/>
                <w:i w:val="1"/>
                <w:iCs w:val="1"/>
                <w:color w:val="auto"/>
                <w:w w:val="82"/>
                <w:vertAlign w:val="superscript"/>
              </w:rPr>
              <w:t>th</w:t>
            </w:r>
          </w:p>
        </w:tc>
        <w:tc>
          <w:tcPr>
            <w:tcW w:w="1700" w:type="dxa"/>
            <w:vAlign w:val="bottom"/>
            <w:vMerge w:val="restart"/>
            <w:shd w:val="clear" w:color="auto" w:fill="EEECE1"/>
          </w:tcPr>
          <w:p>
            <w:pPr>
              <w:jc w:val="center"/>
              <w:spacing w:after="0"/>
              <w:rPr>
                <w:sz w:val="20"/>
                <w:szCs w:val="20"/>
                <w:color w:val="auto"/>
              </w:rPr>
            </w:pPr>
            <w:r>
              <w:rPr>
                <w:rFonts w:ascii="Arial" w:cs="Arial" w:eastAsia="Arial" w:hAnsi="Arial"/>
                <w:sz w:val="18"/>
                <w:szCs w:val="18"/>
                <w:color w:val="auto"/>
                <w:w w:val="90"/>
              </w:rPr>
              <w:t>$1,648</w:t>
            </w:r>
          </w:p>
        </w:tc>
        <w:tc>
          <w:tcPr>
            <w:tcW w:w="80" w:type="dxa"/>
            <w:vAlign w:val="bottom"/>
            <w:shd w:val="clear" w:color="auto" w:fill="EEECE1"/>
          </w:tcPr>
          <w:p>
            <w:pPr>
              <w:spacing w:after="0"/>
              <w:rPr>
                <w:sz w:val="24"/>
                <w:szCs w:val="24"/>
                <w:color w:val="auto"/>
              </w:rPr>
            </w:pPr>
          </w:p>
        </w:tc>
        <w:tc>
          <w:tcPr>
            <w:tcW w:w="300" w:type="dxa"/>
            <w:vAlign w:val="bottom"/>
            <w:shd w:val="clear" w:color="auto" w:fill="EEECE1"/>
          </w:tcPr>
          <w:p>
            <w:pPr>
              <w:spacing w:after="0"/>
              <w:rPr>
                <w:sz w:val="24"/>
                <w:szCs w:val="24"/>
                <w:color w:val="auto"/>
              </w:rPr>
            </w:pPr>
          </w:p>
        </w:tc>
        <w:tc>
          <w:tcPr>
            <w:tcW w:w="1340" w:type="dxa"/>
            <w:vAlign w:val="bottom"/>
            <w:tcBorders>
              <w:right w:val="single" w:sz="8" w:color="auto"/>
            </w:tcBorders>
            <w:vMerge w:val="restart"/>
            <w:shd w:val="clear" w:color="auto" w:fill="EEECE1"/>
          </w:tcPr>
          <w:p>
            <w:pPr>
              <w:jc w:val="center"/>
              <w:ind w:right="330"/>
              <w:spacing w:after="0"/>
              <w:rPr>
                <w:sz w:val="20"/>
                <w:szCs w:val="20"/>
                <w:color w:val="auto"/>
              </w:rPr>
            </w:pPr>
            <w:r>
              <w:rPr>
                <w:rFonts w:ascii="Arial" w:cs="Arial" w:eastAsia="Arial" w:hAnsi="Arial"/>
                <w:sz w:val="18"/>
                <w:szCs w:val="18"/>
                <w:color w:val="auto"/>
                <w:w w:val="87"/>
              </w:rPr>
              <w:t>$3,504</w:t>
            </w:r>
          </w:p>
        </w:tc>
        <w:tc>
          <w:tcPr>
            <w:tcW w:w="0" w:type="dxa"/>
            <w:vAlign w:val="bottom"/>
          </w:tcPr>
          <w:p>
            <w:pPr>
              <w:spacing w:after="0"/>
              <w:rPr>
                <w:sz w:val="1"/>
                <w:szCs w:val="1"/>
                <w:color w:val="auto"/>
              </w:rPr>
            </w:pPr>
          </w:p>
        </w:tc>
      </w:tr>
      <w:tr>
        <w:trPr>
          <w:trHeight w:val="77"/>
        </w:trPr>
        <w:tc>
          <w:tcPr>
            <w:tcW w:w="2240" w:type="dxa"/>
            <w:vAlign w:val="bottom"/>
            <w:gridSpan w:val="2"/>
            <w:vMerge w:val="continue"/>
          </w:tcPr>
          <w:p>
            <w:pPr>
              <w:spacing w:after="0"/>
              <w:rPr>
                <w:sz w:val="6"/>
                <w:szCs w:val="6"/>
                <w:color w:val="auto"/>
              </w:rPr>
            </w:pPr>
          </w:p>
        </w:tc>
        <w:tc>
          <w:tcPr>
            <w:tcW w:w="4100" w:type="dxa"/>
            <w:vAlign w:val="bottom"/>
            <w:tcBorders>
              <w:right w:val="single" w:sz="8" w:color="auto"/>
            </w:tcBorders>
            <w:gridSpan w:val="2"/>
            <w:vMerge w:val="continue"/>
          </w:tcPr>
          <w:p>
            <w:pPr>
              <w:spacing w:after="0"/>
              <w:rPr>
                <w:sz w:val="6"/>
                <w:szCs w:val="6"/>
                <w:color w:val="auto"/>
              </w:rPr>
            </w:pPr>
          </w:p>
        </w:tc>
        <w:tc>
          <w:tcPr>
            <w:tcW w:w="1600" w:type="dxa"/>
            <w:vAlign w:val="bottom"/>
            <w:shd w:val="clear" w:color="auto" w:fill="EEECE1"/>
          </w:tcPr>
          <w:p>
            <w:pPr>
              <w:spacing w:after="0"/>
              <w:rPr>
                <w:sz w:val="6"/>
                <w:szCs w:val="6"/>
                <w:color w:val="auto"/>
              </w:rPr>
            </w:pPr>
          </w:p>
        </w:tc>
        <w:tc>
          <w:tcPr>
            <w:tcW w:w="80" w:type="dxa"/>
            <w:vAlign w:val="bottom"/>
            <w:shd w:val="clear" w:color="auto" w:fill="EEECE1"/>
          </w:tcPr>
          <w:p>
            <w:pPr>
              <w:spacing w:after="0"/>
              <w:rPr>
                <w:sz w:val="6"/>
                <w:szCs w:val="6"/>
                <w:color w:val="auto"/>
              </w:rPr>
            </w:pPr>
          </w:p>
        </w:tc>
        <w:tc>
          <w:tcPr>
            <w:tcW w:w="1700" w:type="dxa"/>
            <w:vAlign w:val="bottom"/>
            <w:vMerge w:val="continue"/>
            <w:shd w:val="clear" w:color="auto" w:fill="EEECE1"/>
          </w:tcPr>
          <w:p>
            <w:pPr>
              <w:spacing w:after="0"/>
              <w:rPr>
                <w:sz w:val="6"/>
                <w:szCs w:val="6"/>
                <w:color w:val="auto"/>
              </w:rPr>
            </w:pPr>
          </w:p>
        </w:tc>
        <w:tc>
          <w:tcPr>
            <w:tcW w:w="80" w:type="dxa"/>
            <w:vAlign w:val="bottom"/>
            <w:shd w:val="clear" w:color="auto" w:fill="EEECE1"/>
          </w:tcPr>
          <w:p>
            <w:pPr>
              <w:spacing w:after="0"/>
              <w:rPr>
                <w:sz w:val="6"/>
                <w:szCs w:val="6"/>
                <w:color w:val="auto"/>
              </w:rPr>
            </w:pPr>
          </w:p>
        </w:tc>
        <w:tc>
          <w:tcPr>
            <w:tcW w:w="300" w:type="dxa"/>
            <w:vAlign w:val="bottom"/>
            <w:shd w:val="clear" w:color="auto" w:fill="EEECE1"/>
          </w:tcPr>
          <w:p>
            <w:pPr>
              <w:spacing w:after="0"/>
              <w:rPr>
                <w:sz w:val="6"/>
                <w:szCs w:val="6"/>
                <w:color w:val="auto"/>
              </w:rPr>
            </w:pPr>
          </w:p>
        </w:tc>
        <w:tc>
          <w:tcPr>
            <w:tcW w:w="1340" w:type="dxa"/>
            <w:vAlign w:val="bottom"/>
            <w:tcBorders>
              <w:right w:val="single" w:sz="8" w:color="auto"/>
            </w:tcBorders>
            <w:vMerge w:val="continue"/>
            <w:shd w:val="clear" w:color="auto" w:fill="EEECE1"/>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EPAM Systems, Inc.*</w:t>
            </w:r>
          </w:p>
        </w:tc>
        <w:tc>
          <w:tcPr>
            <w:tcW w:w="4100" w:type="dxa"/>
            <w:vAlign w:val="bottom"/>
            <w:tcBorders>
              <w:right w:val="single" w:sz="8" w:color="auto"/>
            </w:tcBorders>
            <w:gridSpan w:val="2"/>
            <w:vMerge w:val="restart"/>
          </w:tcPr>
          <w:p>
            <w:pPr>
              <w:ind w:left="660"/>
              <w:spacing w:after="0"/>
              <w:rPr>
                <w:sz w:val="20"/>
                <w:szCs w:val="20"/>
                <w:color w:val="auto"/>
              </w:rPr>
            </w:pPr>
            <w:r>
              <w:rPr>
                <w:rFonts w:ascii="Arial" w:cs="Arial" w:eastAsia="Arial" w:hAnsi="Arial"/>
                <w:sz w:val="18"/>
                <w:szCs w:val="18"/>
                <w:color w:val="auto"/>
              </w:rPr>
              <w:t>Trimble Navigation Limited†</w:t>
            </w:r>
          </w:p>
        </w:tc>
        <w:tc>
          <w:tcPr>
            <w:tcW w:w="1680" w:type="dxa"/>
            <w:vAlign w:val="bottom"/>
            <w:gridSpan w:val="2"/>
            <w:shd w:val="clear" w:color="auto" w:fill="EEECE1"/>
          </w:tcPr>
          <w:p>
            <w:pPr>
              <w:jc w:val="center"/>
              <w:spacing w:after="0"/>
              <w:rPr>
                <w:sz w:val="20"/>
                <w:szCs w:val="20"/>
                <w:color w:val="auto"/>
              </w:rPr>
            </w:pPr>
            <w:r>
              <w:rPr>
                <w:rFonts w:ascii="Arial" w:cs="Arial" w:eastAsia="Arial" w:hAnsi="Arial"/>
                <w:sz w:val="18"/>
                <w:szCs w:val="18"/>
                <w:i w:val="1"/>
                <w:iCs w:val="1"/>
                <w:color w:val="auto"/>
                <w:w w:val="82"/>
              </w:rPr>
              <w:t>75</w:t>
            </w:r>
            <w:r>
              <w:rPr>
                <w:rFonts w:ascii="Arial" w:cs="Arial" w:eastAsia="Arial" w:hAnsi="Arial"/>
                <w:sz w:val="25"/>
                <w:szCs w:val="25"/>
                <w:i w:val="1"/>
                <w:iCs w:val="1"/>
                <w:color w:val="auto"/>
                <w:w w:val="82"/>
                <w:vertAlign w:val="superscript"/>
              </w:rPr>
              <w:t>th</w:t>
            </w:r>
          </w:p>
        </w:tc>
        <w:tc>
          <w:tcPr>
            <w:tcW w:w="1700" w:type="dxa"/>
            <w:vAlign w:val="bottom"/>
            <w:vMerge w:val="restart"/>
            <w:shd w:val="clear" w:color="auto" w:fill="EEECE1"/>
          </w:tcPr>
          <w:p>
            <w:pPr>
              <w:jc w:val="center"/>
              <w:spacing w:after="0"/>
              <w:rPr>
                <w:sz w:val="20"/>
                <w:szCs w:val="20"/>
                <w:color w:val="auto"/>
              </w:rPr>
            </w:pPr>
            <w:r>
              <w:rPr>
                <w:rFonts w:ascii="Arial" w:cs="Arial" w:eastAsia="Arial" w:hAnsi="Arial"/>
                <w:sz w:val="18"/>
                <w:szCs w:val="18"/>
                <w:color w:val="auto"/>
                <w:w w:val="90"/>
              </w:rPr>
              <w:t>$3,356</w:t>
            </w:r>
          </w:p>
        </w:tc>
        <w:tc>
          <w:tcPr>
            <w:tcW w:w="80" w:type="dxa"/>
            <w:vAlign w:val="bottom"/>
            <w:shd w:val="clear" w:color="auto" w:fill="EEECE1"/>
          </w:tcPr>
          <w:p>
            <w:pPr>
              <w:spacing w:after="0"/>
              <w:rPr>
                <w:sz w:val="24"/>
                <w:szCs w:val="24"/>
                <w:color w:val="auto"/>
              </w:rPr>
            </w:pPr>
          </w:p>
        </w:tc>
        <w:tc>
          <w:tcPr>
            <w:tcW w:w="300" w:type="dxa"/>
            <w:vAlign w:val="bottom"/>
            <w:shd w:val="clear" w:color="auto" w:fill="EEECE1"/>
          </w:tcPr>
          <w:p>
            <w:pPr>
              <w:spacing w:after="0"/>
              <w:rPr>
                <w:sz w:val="24"/>
                <w:szCs w:val="24"/>
                <w:color w:val="auto"/>
              </w:rPr>
            </w:pPr>
          </w:p>
        </w:tc>
        <w:tc>
          <w:tcPr>
            <w:tcW w:w="1340" w:type="dxa"/>
            <w:vAlign w:val="bottom"/>
            <w:tcBorders>
              <w:right w:val="single" w:sz="8" w:color="auto"/>
            </w:tcBorders>
            <w:vMerge w:val="restart"/>
            <w:shd w:val="clear" w:color="auto" w:fill="EEECE1"/>
          </w:tcPr>
          <w:p>
            <w:pPr>
              <w:jc w:val="center"/>
              <w:ind w:right="330"/>
              <w:spacing w:after="0"/>
              <w:rPr>
                <w:sz w:val="20"/>
                <w:szCs w:val="20"/>
                <w:color w:val="auto"/>
              </w:rPr>
            </w:pPr>
            <w:r>
              <w:rPr>
                <w:rFonts w:ascii="Arial" w:cs="Arial" w:eastAsia="Arial" w:hAnsi="Arial"/>
                <w:sz w:val="18"/>
                <w:szCs w:val="18"/>
                <w:color w:val="auto"/>
                <w:w w:val="87"/>
              </w:rPr>
              <w:t>$6,874</w:t>
            </w:r>
          </w:p>
        </w:tc>
        <w:tc>
          <w:tcPr>
            <w:tcW w:w="0" w:type="dxa"/>
            <w:vAlign w:val="bottom"/>
          </w:tcPr>
          <w:p>
            <w:pPr>
              <w:spacing w:after="0"/>
              <w:rPr>
                <w:sz w:val="1"/>
                <w:szCs w:val="1"/>
                <w:color w:val="auto"/>
              </w:rPr>
            </w:pPr>
          </w:p>
        </w:tc>
      </w:tr>
      <w:tr>
        <w:trPr>
          <w:trHeight w:val="77"/>
        </w:trPr>
        <w:tc>
          <w:tcPr>
            <w:tcW w:w="2240" w:type="dxa"/>
            <w:vAlign w:val="bottom"/>
            <w:gridSpan w:val="2"/>
            <w:vMerge w:val="continue"/>
          </w:tcPr>
          <w:p>
            <w:pPr>
              <w:spacing w:after="0"/>
              <w:rPr>
                <w:sz w:val="6"/>
                <w:szCs w:val="6"/>
                <w:color w:val="auto"/>
              </w:rPr>
            </w:pPr>
          </w:p>
        </w:tc>
        <w:tc>
          <w:tcPr>
            <w:tcW w:w="4100" w:type="dxa"/>
            <w:vAlign w:val="bottom"/>
            <w:tcBorders>
              <w:right w:val="single" w:sz="8" w:color="auto"/>
            </w:tcBorders>
            <w:gridSpan w:val="2"/>
            <w:vMerge w:val="continue"/>
          </w:tcPr>
          <w:p>
            <w:pPr>
              <w:spacing w:after="0"/>
              <w:rPr>
                <w:sz w:val="6"/>
                <w:szCs w:val="6"/>
                <w:color w:val="auto"/>
              </w:rPr>
            </w:pPr>
          </w:p>
        </w:tc>
        <w:tc>
          <w:tcPr>
            <w:tcW w:w="1600" w:type="dxa"/>
            <w:vAlign w:val="bottom"/>
            <w:shd w:val="clear" w:color="auto" w:fill="EEECE1"/>
          </w:tcPr>
          <w:p>
            <w:pPr>
              <w:spacing w:after="0"/>
              <w:rPr>
                <w:sz w:val="6"/>
                <w:szCs w:val="6"/>
                <w:color w:val="auto"/>
              </w:rPr>
            </w:pPr>
          </w:p>
        </w:tc>
        <w:tc>
          <w:tcPr>
            <w:tcW w:w="80" w:type="dxa"/>
            <w:vAlign w:val="bottom"/>
            <w:shd w:val="clear" w:color="auto" w:fill="EEECE1"/>
          </w:tcPr>
          <w:p>
            <w:pPr>
              <w:spacing w:after="0"/>
              <w:rPr>
                <w:sz w:val="6"/>
                <w:szCs w:val="6"/>
                <w:color w:val="auto"/>
              </w:rPr>
            </w:pPr>
          </w:p>
        </w:tc>
        <w:tc>
          <w:tcPr>
            <w:tcW w:w="1700" w:type="dxa"/>
            <w:vAlign w:val="bottom"/>
            <w:vMerge w:val="continue"/>
            <w:shd w:val="clear" w:color="auto" w:fill="EEECE1"/>
          </w:tcPr>
          <w:p>
            <w:pPr>
              <w:spacing w:after="0"/>
              <w:rPr>
                <w:sz w:val="6"/>
                <w:szCs w:val="6"/>
                <w:color w:val="auto"/>
              </w:rPr>
            </w:pPr>
          </w:p>
        </w:tc>
        <w:tc>
          <w:tcPr>
            <w:tcW w:w="80" w:type="dxa"/>
            <w:vAlign w:val="bottom"/>
            <w:shd w:val="clear" w:color="auto" w:fill="EEECE1"/>
          </w:tcPr>
          <w:p>
            <w:pPr>
              <w:spacing w:after="0"/>
              <w:rPr>
                <w:sz w:val="6"/>
                <w:szCs w:val="6"/>
                <w:color w:val="auto"/>
              </w:rPr>
            </w:pPr>
          </w:p>
        </w:tc>
        <w:tc>
          <w:tcPr>
            <w:tcW w:w="300" w:type="dxa"/>
            <w:vAlign w:val="bottom"/>
            <w:shd w:val="clear" w:color="auto" w:fill="EEECE1"/>
          </w:tcPr>
          <w:p>
            <w:pPr>
              <w:spacing w:after="0"/>
              <w:rPr>
                <w:sz w:val="6"/>
                <w:szCs w:val="6"/>
                <w:color w:val="auto"/>
              </w:rPr>
            </w:pPr>
          </w:p>
        </w:tc>
        <w:tc>
          <w:tcPr>
            <w:tcW w:w="1340" w:type="dxa"/>
            <w:vAlign w:val="bottom"/>
            <w:tcBorders>
              <w:right w:val="single" w:sz="8" w:color="auto"/>
            </w:tcBorders>
            <w:vMerge w:val="continue"/>
            <w:shd w:val="clear" w:color="auto" w:fill="EEECE1"/>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240" w:type="dxa"/>
            <w:vAlign w:val="bottom"/>
            <w:gridSpan w:val="2"/>
          </w:tcPr>
          <w:p>
            <w:pPr>
              <w:ind w:left="40"/>
              <w:spacing w:after="0"/>
              <w:rPr>
                <w:sz w:val="20"/>
                <w:szCs w:val="20"/>
                <w:color w:val="auto"/>
              </w:rPr>
            </w:pPr>
            <w:r>
              <w:rPr>
                <w:rFonts w:ascii="Arial" w:cs="Arial" w:eastAsia="Arial" w:hAnsi="Arial"/>
                <w:sz w:val="18"/>
                <w:szCs w:val="18"/>
                <w:color w:val="auto"/>
              </w:rPr>
              <w:t>ESCO Technologies Inc.†</w:t>
            </w:r>
          </w:p>
        </w:tc>
        <w:tc>
          <w:tcPr>
            <w:tcW w:w="410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Unisys Corporation*</w:t>
            </w:r>
          </w:p>
        </w:tc>
        <w:tc>
          <w:tcPr>
            <w:tcW w:w="1600" w:type="dxa"/>
            <w:vAlign w:val="bottom"/>
            <w:shd w:val="clear" w:color="auto" w:fill="EEECE1"/>
          </w:tcPr>
          <w:p>
            <w:pPr>
              <w:spacing w:after="0"/>
              <w:rPr>
                <w:sz w:val="23"/>
                <w:szCs w:val="23"/>
                <w:color w:val="auto"/>
              </w:rPr>
            </w:pPr>
          </w:p>
        </w:tc>
        <w:tc>
          <w:tcPr>
            <w:tcW w:w="80" w:type="dxa"/>
            <w:vAlign w:val="bottom"/>
            <w:shd w:val="clear" w:color="auto" w:fill="EEECE1"/>
          </w:tcPr>
          <w:p>
            <w:pPr>
              <w:spacing w:after="0"/>
              <w:rPr>
                <w:sz w:val="23"/>
                <w:szCs w:val="23"/>
                <w:color w:val="auto"/>
              </w:rPr>
            </w:pPr>
          </w:p>
        </w:tc>
        <w:tc>
          <w:tcPr>
            <w:tcW w:w="1700" w:type="dxa"/>
            <w:vAlign w:val="bottom"/>
            <w:shd w:val="clear" w:color="auto" w:fill="EEECE1"/>
          </w:tcPr>
          <w:p>
            <w:pPr>
              <w:spacing w:after="0"/>
              <w:rPr>
                <w:sz w:val="23"/>
                <w:szCs w:val="23"/>
                <w:color w:val="auto"/>
              </w:rPr>
            </w:pPr>
          </w:p>
        </w:tc>
        <w:tc>
          <w:tcPr>
            <w:tcW w:w="80" w:type="dxa"/>
            <w:vAlign w:val="bottom"/>
            <w:shd w:val="clear" w:color="auto" w:fill="EEECE1"/>
          </w:tcPr>
          <w:p>
            <w:pPr>
              <w:spacing w:after="0"/>
              <w:rPr>
                <w:sz w:val="23"/>
                <w:szCs w:val="23"/>
                <w:color w:val="auto"/>
              </w:rPr>
            </w:pPr>
          </w:p>
        </w:tc>
        <w:tc>
          <w:tcPr>
            <w:tcW w:w="300" w:type="dxa"/>
            <w:vAlign w:val="bottom"/>
            <w:shd w:val="clear" w:color="auto" w:fill="EEECE1"/>
          </w:tcPr>
          <w:p>
            <w:pPr>
              <w:spacing w:after="0"/>
              <w:rPr>
                <w:sz w:val="23"/>
                <w:szCs w:val="23"/>
                <w:color w:val="auto"/>
              </w:rPr>
            </w:pPr>
          </w:p>
        </w:tc>
        <w:tc>
          <w:tcPr>
            <w:tcW w:w="1340" w:type="dxa"/>
            <w:vAlign w:val="bottom"/>
            <w:tcBorders>
              <w:right w:val="single" w:sz="8" w:color="auto"/>
            </w:tcBorders>
            <w:shd w:val="clear" w:color="auto" w:fill="EEECE1"/>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40" w:type="dxa"/>
            <w:vAlign w:val="bottom"/>
            <w:gridSpan w:val="2"/>
          </w:tcPr>
          <w:p>
            <w:pPr>
              <w:ind w:left="40"/>
              <w:spacing w:after="0"/>
              <w:rPr>
                <w:sz w:val="20"/>
                <w:szCs w:val="20"/>
                <w:color w:val="auto"/>
              </w:rPr>
            </w:pPr>
            <w:r>
              <w:rPr>
                <w:rFonts w:ascii="Arial" w:cs="Arial" w:eastAsia="Arial" w:hAnsi="Arial"/>
                <w:sz w:val="18"/>
                <w:szCs w:val="18"/>
                <w:color w:val="auto"/>
              </w:rPr>
              <w:t>FLIR Systems, Inc.†</w:t>
            </w:r>
          </w:p>
        </w:tc>
        <w:tc>
          <w:tcPr>
            <w:tcW w:w="410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Watts Water Technologies, Inc</w:t>
            </w:r>
          </w:p>
        </w:tc>
        <w:tc>
          <w:tcPr>
            <w:tcW w:w="1680" w:type="dxa"/>
            <w:vAlign w:val="bottom"/>
            <w:gridSpan w:val="2"/>
            <w:shd w:val="clear" w:color="auto" w:fill="EEECE1"/>
          </w:tcPr>
          <w:p>
            <w:pPr>
              <w:jc w:val="right"/>
              <w:spacing w:after="0"/>
              <w:rPr>
                <w:sz w:val="20"/>
                <w:szCs w:val="20"/>
                <w:color w:val="auto"/>
              </w:rPr>
            </w:pPr>
            <w:r>
              <w:rPr>
                <w:rFonts w:ascii="Arial" w:cs="Arial" w:eastAsia="Arial" w:hAnsi="Arial"/>
                <w:sz w:val="18"/>
                <w:szCs w:val="18"/>
                <w:color w:val="auto"/>
              </w:rPr>
              <w:t>Itron</w:t>
            </w:r>
          </w:p>
        </w:tc>
        <w:tc>
          <w:tcPr>
            <w:tcW w:w="1700" w:type="dxa"/>
            <w:vAlign w:val="bottom"/>
            <w:shd w:val="clear" w:color="auto" w:fill="EEECE1"/>
          </w:tcPr>
          <w:p>
            <w:pPr>
              <w:jc w:val="center"/>
              <w:spacing w:after="0"/>
              <w:rPr>
                <w:sz w:val="20"/>
                <w:szCs w:val="20"/>
                <w:color w:val="auto"/>
              </w:rPr>
            </w:pPr>
            <w:r>
              <w:rPr>
                <w:rFonts w:ascii="Arial" w:cs="Arial" w:eastAsia="Arial" w:hAnsi="Arial"/>
                <w:sz w:val="18"/>
                <w:szCs w:val="18"/>
                <w:color w:val="auto"/>
                <w:w w:val="90"/>
              </w:rPr>
              <w:t>$1,971</w:t>
            </w:r>
          </w:p>
        </w:tc>
        <w:tc>
          <w:tcPr>
            <w:tcW w:w="80" w:type="dxa"/>
            <w:vAlign w:val="bottom"/>
            <w:shd w:val="clear" w:color="auto" w:fill="EEECE1"/>
          </w:tcPr>
          <w:p>
            <w:pPr>
              <w:spacing w:after="0"/>
              <w:rPr>
                <w:sz w:val="23"/>
                <w:szCs w:val="23"/>
                <w:color w:val="auto"/>
              </w:rPr>
            </w:pPr>
          </w:p>
        </w:tc>
        <w:tc>
          <w:tcPr>
            <w:tcW w:w="300" w:type="dxa"/>
            <w:vAlign w:val="bottom"/>
            <w:shd w:val="clear" w:color="auto" w:fill="EEECE1"/>
          </w:tcPr>
          <w:p>
            <w:pPr>
              <w:spacing w:after="0"/>
              <w:rPr>
                <w:sz w:val="23"/>
                <w:szCs w:val="23"/>
                <w:color w:val="auto"/>
              </w:rPr>
            </w:pPr>
          </w:p>
        </w:tc>
        <w:tc>
          <w:tcPr>
            <w:tcW w:w="1340" w:type="dxa"/>
            <w:vAlign w:val="bottom"/>
            <w:tcBorders>
              <w:right w:val="single" w:sz="8" w:color="auto"/>
            </w:tcBorders>
            <w:shd w:val="clear" w:color="auto" w:fill="EEECE1"/>
          </w:tcPr>
          <w:p>
            <w:pPr>
              <w:jc w:val="center"/>
              <w:ind w:right="330"/>
              <w:spacing w:after="0"/>
              <w:rPr>
                <w:sz w:val="20"/>
                <w:szCs w:val="20"/>
                <w:color w:val="auto"/>
              </w:rPr>
            </w:pPr>
            <w:r>
              <w:rPr>
                <w:rFonts w:ascii="Arial" w:cs="Arial" w:eastAsia="Arial" w:hAnsi="Arial"/>
                <w:sz w:val="18"/>
                <w:szCs w:val="18"/>
                <w:color w:val="auto"/>
                <w:w w:val="87"/>
              </w:rPr>
              <w:t>$1,652</w:t>
            </w:r>
          </w:p>
        </w:tc>
        <w:tc>
          <w:tcPr>
            <w:tcW w:w="0" w:type="dxa"/>
            <w:vAlign w:val="bottom"/>
          </w:tcPr>
          <w:p>
            <w:pPr>
              <w:spacing w:after="0"/>
              <w:rPr>
                <w:sz w:val="1"/>
                <w:szCs w:val="1"/>
                <w:color w:val="auto"/>
              </w:rPr>
            </w:pPr>
          </w:p>
        </w:tc>
      </w:tr>
      <w:tr>
        <w:trPr>
          <w:trHeight w:val="318"/>
        </w:trPr>
        <w:tc>
          <w:tcPr>
            <w:tcW w:w="2240" w:type="dxa"/>
            <w:vAlign w:val="bottom"/>
            <w:gridSpan w:val="2"/>
          </w:tcPr>
          <w:p>
            <w:pPr>
              <w:ind w:left="40"/>
              <w:spacing w:after="0"/>
              <w:rPr>
                <w:sz w:val="20"/>
                <w:szCs w:val="20"/>
                <w:color w:val="auto"/>
              </w:rPr>
            </w:pPr>
            <w:r>
              <w:rPr>
                <w:rFonts w:ascii="Arial" w:cs="Arial" w:eastAsia="Arial" w:hAnsi="Arial"/>
                <w:sz w:val="18"/>
                <w:szCs w:val="18"/>
                <w:color w:val="auto"/>
              </w:rPr>
              <w:t>Juniper Networks, Inc.*</w:t>
            </w:r>
          </w:p>
        </w:tc>
        <w:tc>
          <w:tcPr>
            <w:tcW w:w="410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Xylem Inc.</w:t>
            </w:r>
          </w:p>
        </w:tc>
        <w:tc>
          <w:tcPr>
            <w:tcW w:w="1680" w:type="dxa"/>
            <w:vAlign w:val="bottom"/>
            <w:tcBorders>
              <w:bottom w:val="single" w:sz="8" w:color="auto"/>
            </w:tcBorders>
            <w:gridSpan w:val="2"/>
            <w:shd w:val="clear" w:color="auto" w:fill="EEECE1"/>
          </w:tcPr>
          <w:p>
            <w:pPr>
              <w:jc w:val="right"/>
              <w:spacing w:after="0"/>
              <w:rPr>
                <w:sz w:val="20"/>
                <w:szCs w:val="20"/>
                <w:color w:val="auto"/>
              </w:rPr>
            </w:pPr>
            <w:r>
              <w:rPr>
                <w:rFonts w:ascii="Arial" w:cs="Arial" w:eastAsia="Arial" w:hAnsi="Arial"/>
                <w:sz w:val="18"/>
                <w:szCs w:val="18"/>
                <w:color w:val="auto"/>
              </w:rPr>
              <w:t>Percentile Rank</w:t>
            </w:r>
          </w:p>
        </w:tc>
        <w:tc>
          <w:tcPr>
            <w:tcW w:w="1700" w:type="dxa"/>
            <w:vAlign w:val="bottom"/>
            <w:tcBorders>
              <w:bottom w:val="single" w:sz="8" w:color="auto"/>
            </w:tcBorders>
            <w:shd w:val="clear" w:color="auto" w:fill="EEECE1"/>
          </w:tcPr>
          <w:p>
            <w:pPr>
              <w:jc w:val="center"/>
              <w:spacing w:after="0"/>
              <w:rPr>
                <w:sz w:val="20"/>
                <w:szCs w:val="20"/>
                <w:color w:val="auto"/>
              </w:rPr>
            </w:pPr>
            <w:r>
              <w:rPr>
                <w:rFonts w:ascii="Arial" w:cs="Arial" w:eastAsia="Arial" w:hAnsi="Arial"/>
                <w:sz w:val="18"/>
                <w:szCs w:val="18"/>
                <w:color w:val="auto"/>
                <w:w w:val="94"/>
              </w:rPr>
              <w:t>59%</w:t>
            </w:r>
          </w:p>
        </w:tc>
        <w:tc>
          <w:tcPr>
            <w:tcW w:w="80" w:type="dxa"/>
            <w:vAlign w:val="bottom"/>
            <w:tcBorders>
              <w:bottom w:val="single" w:sz="8" w:color="auto"/>
            </w:tcBorders>
            <w:shd w:val="clear" w:color="auto" w:fill="EEECE1"/>
          </w:tcPr>
          <w:p>
            <w:pPr>
              <w:spacing w:after="0"/>
              <w:rPr>
                <w:sz w:val="24"/>
                <w:szCs w:val="24"/>
                <w:color w:val="auto"/>
              </w:rPr>
            </w:pPr>
          </w:p>
        </w:tc>
        <w:tc>
          <w:tcPr>
            <w:tcW w:w="300" w:type="dxa"/>
            <w:vAlign w:val="bottom"/>
            <w:tcBorders>
              <w:bottom w:val="single" w:sz="8" w:color="auto"/>
            </w:tcBorders>
            <w:shd w:val="clear" w:color="auto" w:fill="EEECE1"/>
          </w:tcPr>
          <w:p>
            <w:pPr>
              <w:spacing w:after="0"/>
              <w:rPr>
                <w:sz w:val="24"/>
                <w:szCs w:val="24"/>
                <w:color w:val="auto"/>
              </w:rPr>
            </w:pPr>
          </w:p>
        </w:tc>
        <w:tc>
          <w:tcPr>
            <w:tcW w:w="1340" w:type="dxa"/>
            <w:vAlign w:val="bottom"/>
            <w:tcBorders>
              <w:bottom w:val="single" w:sz="8" w:color="auto"/>
              <w:right w:val="single" w:sz="8" w:color="auto"/>
            </w:tcBorders>
            <w:shd w:val="clear" w:color="auto" w:fill="EEECE1"/>
          </w:tcPr>
          <w:p>
            <w:pPr>
              <w:jc w:val="center"/>
              <w:ind w:right="330"/>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Zebra Technologies Corp*†</w:t>
            </w: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Retained from 2014 Peer Companies group;*Software services included in their business mix</w:t>
      </w:r>
    </w:p>
    <w:p>
      <w:pPr>
        <w:spacing w:after="0" w:line="104"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For each of the Peer Companies, data regarding base salaries, annual incentives, and long-term incentives was obtained from their annual proxy statements and reviewed by the Committee’s compensation consultant, FWC. This data was supplemented with survey data prepared by Radford Survey &amp; Consulting (Radford Survey), which provides compensation market information on more than 700 technology companies, presented anonymously. The Radford Survey data was narrowed to those technology companies with revenues similar to Itron’s of between $1 billion and $3 billion.</w:t>
      </w:r>
    </w:p>
    <w:p>
      <w:pPr>
        <w:spacing w:after="0" w:line="11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With the support of FWC, the Committee evaluates this data for informational purposes when establishing a range of competitive compensation for our NEOs. For each NEO, the Committee determines the salary range, annual incentive target, and long-term incentive generally between the median and 75th percentile of the market data for the position being evaluated. However, market data is not the sole determinant of the Company’s practices or executive compensation levels. The Committee also takes into account the experience, performance, responsibilities, and contributions to the Company by each NEO when making its decisions. For the CEO, the Committee makes a recommendation to the full Board, and the Board reviews and approves the CEO’s compensation.</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2015 Executive Compensation Program in Detail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Base salary represents annual fixed compensation and is a standard element of compensation necessary to attract and retain talent. In making base salary decisions, the Committee considers the CEO’s recommendations, as well as each NEO’s position and level of responsibility within the Company. The Committee takes into account factors such as relevant market data, individual performance and contributions, and length of service. The Committee determined the appropriate annual base salary rate for each NEO as follows:</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NEO</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28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 Increase</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69"/>
        </w:trPr>
        <w:tc>
          <w:tcPr>
            <w:tcW w:w="2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Philip C. Mezey</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$800,000</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$800,000</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37"/>
        </w:trPr>
        <w:tc>
          <w:tcPr>
            <w:tcW w:w="2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 Mark Schmitz*</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$450,000</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$475,000</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5.6%</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69"/>
        </w:trPr>
        <w:tc>
          <w:tcPr>
            <w:tcW w:w="2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John W. Holleran</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$600,000</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$600,000</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37"/>
        </w:trPr>
        <w:tc>
          <w:tcPr>
            <w:tcW w:w="2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Thomas L. Deitrich</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$550,000</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69"/>
        </w:trPr>
        <w:tc>
          <w:tcPr>
            <w:tcW w:w="2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Michel C. Cadieux</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$400,000</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$400,000</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37"/>
        </w:trPr>
        <w:tc>
          <w:tcPr>
            <w:tcW w:w="2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Shannon M. Votava**</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$350,000</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$382,200</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9.2%</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adjustment for Mr. Schmitz was based on market data for his position.</w:t>
      </w:r>
    </w:p>
    <w:p>
      <w:pPr>
        <w:spacing w:after="0" w:line="9" w:lineRule="exact"/>
        <w:rPr>
          <w:sz w:val="20"/>
          <w:szCs w:val="20"/>
          <w:color w:val="auto"/>
        </w:rPr>
      </w:pPr>
    </w:p>
    <w:p>
      <w:pPr>
        <w:ind w:left="260" w:right="20" w:hanging="252"/>
        <w:spacing w:after="0" w:line="261" w:lineRule="auto"/>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adjustments for Ms. Votava included a 5% increase on July 7, 2015 and 4% increase on August 31, 2015. These increases were provided to Ms. Votava for the achievement of specific goals established during the year and after a review of the market data for her role.</w:t>
      </w:r>
    </w:p>
    <w:p>
      <w:pPr>
        <w:spacing w:after="0" w:line="184"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In October 2015, Tom Deitrich succeeded John Holleran as our Executive Vice President and COO. To effect an orderly transition of his responsibilities, however, Mr. Holleran remained employed by the Company as Advisor to the CEO and received his full salary until the end of 2015. In accordance with our Severance Policy for executive officers, Mr. Holleran was paid severance in the amount of one year’s base salary and was also entitled to receive employer benefit premium payments on medical benefits for one year following his termination and outplacement assistance. Beginning January 1, 2016, Mr. Holleran served in the capacity of a consultant through the end of February 2016, for which he was paid a monthly stipend of $2,000.</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40"/>
          </w:cols>
          <w:pgMar w:left="240" w:top="108" w:right="21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Sign-On Bonus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part of his new-hire compensation, Mr. Deitrich received a lump-sum cash sign-on bonus of $424,375, to offset the bonus he forfeited from his previous employer.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Incentives: The Executive Management Incentive Plan (EMIP)</w:t>
      </w:r>
    </w:p>
    <w:p>
      <w:pPr>
        <w:spacing w:after="0" w:line="2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2015 EMIP provided our NEOs the opportunity to earn a performance-based annual cash bonus. Actual bonus payouts depend on the achievement of pre-established performance objectives and can range from 0% to 180% of target award amounts. Target annual bonus opportunities are expressed as a percentage of base salary, and were established by the NEO’s level of responsibility and his or her ability to impact overall results. The Committee also considers market data in setting target award amounts. 2015 target award opportunities were as follows: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8600" w:type="dxa"/>
            <w:vAlign w:val="bottom"/>
            <w:tcBorders>
              <w:top w:val="single" w:sz="8" w:color="auto"/>
              <w:left w:val="single" w:sz="8" w:color="auto"/>
              <w:right w:val="single" w:sz="8" w:color="auto"/>
            </w:tcBorders>
          </w:tcPr>
          <w:p>
            <w:pPr>
              <w:spacing w:after="0"/>
              <w:rPr>
                <w:sz w:val="20"/>
                <w:szCs w:val="20"/>
                <w:color w:val="auto"/>
              </w:rPr>
            </w:pPr>
          </w:p>
        </w:tc>
        <w:tc>
          <w:tcPr>
            <w:tcW w:w="2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Target EMIP</w:t>
            </w:r>
          </w:p>
        </w:tc>
      </w:tr>
      <w:tr>
        <w:trPr>
          <w:trHeight w:val="234"/>
        </w:trPr>
        <w:tc>
          <w:tcPr>
            <w:tcW w:w="8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NEO</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(as a % of Base Salary)</w:t>
            </w:r>
          </w:p>
        </w:tc>
      </w:tr>
      <w:tr>
        <w:trPr>
          <w:trHeight w:val="27"/>
        </w:trPr>
        <w:tc>
          <w:tcPr>
            <w:tcW w:w="86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69"/>
        </w:trPr>
        <w:tc>
          <w:tcPr>
            <w:tcW w:w="86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Philip C. Mezey</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125%</w:t>
            </w:r>
          </w:p>
        </w:tc>
      </w:tr>
      <w:tr>
        <w:trPr>
          <w:trHeight w:val="237"/>
        </w:trPr>
        <w:tc>
          <w:tcPr>
            <w:tcW w:w="8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 Mark Schmitz</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r>
      <w:tr>
        <w:trPr>
          <w:trHeight w:val="27"/>
        </w:trPr>
        <w:tc>
          <w:tcPr>
            <w:tcW w:w="86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69"/>
        </w:trPr>
        <w:tc>
          <w:tcPr>
            <w:tcW w:w="86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John W. Holleran</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37"/>
        </w:trPr>
        <w:tc>
          <w:tcPr>
            <w:tcW w:w="8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Thomas L. Deitrich</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86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69"/>
        </w:trPr>
        <w:tc>
          <w:tcPr>
            <w:tcW w:w="86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Michel C. Cadieux</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75%</w:t>
            </w:r>
          </w:p>
        </w:tc>
      </w:tr>
      <w:tr>
        <w:trPr>
          <w:trHeight w:val="237"/>
        </w:trPr>
        <w:tc>
          <w:tcPr>
            <w:tcW w:w="8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Shannon M. Votava*</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65%</w:t>
            </w:r>
          </w:p>
        </w:tc>
      </w:tr>
      <w:tr>
        <w:trPr>
          <w:trHeight w:val="27"/>
        </w:trPr>
        <w:tc>
          <w:tcPr>
            <w:tcW w:w="86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ind w:left="260" w:right="20" w:hanging="252"/>
        <w:spacing w:after="0" w:line="261"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Ms. Votava’s target bonus opportunity increased from 50% to 65% on September 1, 2015. This adjustment was provided to Ms. Votava after a review of the market data for her role.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2015 Performance Objectives. </w:t>
      </w:r>
      <w:r>
        <w:rPr>
          <w:rFonts w:ascii="Arial" w:cs="Arial" w:eastAsia="Arial" w:hAnsi="Arial"/>
          <w:sz w:val="18"/>
          <w:szCs w:val="18"/>
          <w:color w:val="auto"/>
        </w:rPr>
        <w:t>An individual NEO’s EMIP award is based on a combination of financial and strategic objectives.</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260" w:type="dxa"/>
            <w:vAlign w:val="bottom"/>
            <w:tcBorders>
              <w:top w:val="single" w:sz="8" w:color="auto"/>
              <w:left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Performance Objectives</w:t>
            </w:r>
          </w:p>
        </w:tc>
        <w:tc>
          <w:tcPr>
            <w:tcW w:w="434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rPr>
              <w:t>Metrics</w:t>
            </w:r>
          </w:p>
        </w:tc>
        <w:tc>
          <w:tcPr>
            <w:tcW w:w="284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b w:val="1"/>
                <w:bCs w:val="1"/>
                <w:color w:val="auto"/>
              </w:rPr>
              <w:t>Weighting</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64"/>
        </w:trPr>
        <w:tc>
          <w:tcPr>
            <w:tcW w:w="4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43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Company Consolidated Revenue</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40%</w:t>
            </w:r>
          </w:p>
        </w:tc>
      </w:tr>
      <w:tr>
        <w:trPr>
          <w:trHeight w:val="237"/>
        </w:trPr>
        <w:tc>
          <w:tcPr>
            <w:tcW w:w="4260" w:type="dxa"/>
            <w:vAlign w:val="bottom"/>
            <w:tcBorders>
              <w:left w:val="single" w:sz="8" w:color="auto"/>
              <w:right w:val="single" w:sz="8" w:color="auto"/>
            </w:tcBorders>
          </w:tcPr>
          <w:p>
            <w:pPr>
              <w:spacing w:after="0"/>
              <w:rPr>
                <w:sz w:val="20"/>
                <w:szCs w:val="20"/>
                <w:color w:val="auto"/>
              </w:rPr>
            </w:pPr>
          </w:p>
        </w:tc>
        <w:tc>
          <w:tcPr>
            <w:tcW w:w="4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 Company Adjusted EBITDA Margin</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69"/>
        </w:trPr>
        <w:tc>
          <w:tcPr>
            <w:tcW w:w="42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Strategic</w:t>
            </w:r>
          </w:p>
        </w:tc>
        <w:tc>
          <w:tcPr>
            <w:tcW w:w="43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Strategic Objectives</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r>
      <w:tr>
        <w:trPr>
          <w:trHeight w:val="237"/>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340" w:type="dxa"/>
            <w:vAlign w:val="bottom"/>
            <w:tcBorders>
              <w:top w:val="single" w:sz="8" w:color="auto"/>
              <w:right w:val="single" w:sz="8" w:color="auto"/>
            </w:tcBorders>
          </w:tcPr>
          <w:p>
            <w:pPr>
              <w:spacing w:after="0"/>
              <w:rPr>
                <w:sz w:val="20"/>
                <w:szCs w:val="20"/>
                <w:color w:val="auto"/>
              </w:rPr>
            </w:pP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use Total Company Consolidated Revenue and Total Company Adjusted EBITDA Margin as performance metrics in the EMIP because we believe that it is important to focus on both top line growth (revenue), as well as profitability. Total Company Adjusted EBITDA Margin provides a more useful illustration of our financial performance and the ongoing operations of our business, since the adjustments exclude certain expenses that are not indicative of our recurring core operating results. This facilitates better comparisons to our historical performance and our competitors’ operating results. A schedule reconciling GAAP to non-GAAP results is available on our website at www.itron.com.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performance levels necessary to achieve threshold, target and maximum bonus payout amounts for 2015:</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300" w:type="dxa"/>
            <w:vAlign w:val="bottom"/>
            <w:tcBorders>
              <w:top w:val="single" w:sz="8" w:color="auto"/>
              <w:left w:val="single" w:sz="8" w:color="auto"/>
              <w:right w:val="single" w:sz="8" w:color="auto"/>
            </w:tcBorders>
          </w:tcPr>
          <w:p>
            <w:pPr>
              <w:spacing w:after="0"/>
              <w:rPr>
                <w:sz w:val="22"/>
                <w:szCs w:val="22"/>
                <w:color w:val="auto"/>
              </w:rPr>
            </w:pPr>
          </w:p>
        </w:tc>
        <w:tc>
          <w:tcPr>
            <w:tcW w:w="172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Threshold</w:t>
            </w:r>
          </w:p>
        </w:tc>
        <w:tc>
          <w:tcPr>
            <w:tcW w:w="172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Target</w:t>
            </w:r>
          </w:p>
        </w:tc>
        <w:tc>
          <w:tcPr>
            <w:tcW w:w="170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Maximum</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69"/>
        </w:trPr>
        <w:tc>
          <w:tcPr>
            <w:tcW w:w="63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Company Consolidated Revenue</w:t>
            </w:r>
          </w:p>
        </w:tc>
        <w:tc>
          <w:tcPr>
            <w:tcW w:w="1720" w:type="dxa"/>
            <w:vAlign w:val="bottom"/>
            <w:tcBorders>
              <w:bottom w:val="single" w:sz="8" w:color="CCEEFF"/>
              <w:right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$1,744.8</w:t>
            </w:r>
          </w:p>
        </w:tc>
        <w:tc>
          <w:tcPr>
            <w:tcW w:w="1720" w:type="dxa"/>
            <w:vAlign w:val="bottom"/>
            <w:tcBorders>
              <w:bottom w:val="single" w:sz="8" w:color="CCEEFF"/>
              <w:right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$1,856.2</w:t>
            </w:r>
          </w:p>
        </w:tc>
        <w:tc>
          <w:tcPr>
            <w:tcW w:w="1700" w:type="dxa"/>
            <w:vAlign w:val="bottom"/>
            <w:tcBorders>
              <w:bottom w:val="single" w:sz="8" w:color="CCEEFF"/>
              <w:right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$2,041.8</w:t>
            </w:r>
          </w:p>
        </w:tc>
      </w:tr>
      <w:tr>
        <w:trPr>
          <w:trHeight w:val="237"/>
        </w:trPr>
        <w:tc>
          <w:tcPr>
            <w:tcW w:w="6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Company Adjusted EBITDA Margin</w:t>
            </w:r>
          </w:p>
        </w:tc>
        <w:tc>
          <w:tcPr>
            <w:tcW w:w="1720" w:type="dxa"/>
            <w:vAlign w:val="bottom"/>
            <w:tcBorders>
              <w:top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8.5%</w:t>
            </w:r>
          </w:p>
        </w:tc>
        <w:tc>
          <w:tcPr>
            <w:tcW w:w="1720" w:type="dxa"/>
            <w:vAlign w:val="bottom"/>
            <w:tcBorders>
              <w:top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9.5%</w:t>
            </w:r>
          </w:p>
        </w:tc>
        <w:tc>
          <w:tcPr>
            <w:tcW w:w="1700" w:type="dxa"/>
            <w:vAlign w:val="bottom"/>
            <w:tcBorders>
              <w:top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10.4%</w:t>
            </w:r>
          </w:p>
        </w:tc>
      </w:tr>
      <w:tr>
        <w:trPr>
          <w:trHeight w:val="27"/>
        </w:trPr>
        <w:tc>
          <w:tcPr>
            <w:tcW w:w="63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i w:val="1"/>
          <w:iCs w:val="1"/>
          <w:color w:val="auto"/>
        </w:rPr>
        <w:t xml:space="preserve">2015 Payout Results. </w:t>
      </w:r>
      <w:r>
        <w:rPr>
          <w:rFonts w:ascii="Arial" w:cs="Arial" w:eastAsia="Arial" w:hAnsi="Arial"/>
          <w:sz w:val="18"/>
          <w:szCs w:val="18"/>
          <w:color w:val="auto"/>
        </w:rPr>
        <w:t>As noted previously, we underachieved against our internal business plan and missed our performance targets, therefore, the 2015 EMIP</w:t>
      </w:r>
      <w:r>
        <w:rPr>
          <w:rFonts w:ascii="Arial" w:cs="Arial" w:eastAsia="Arial" w:hAnsi="Arial"/>
          <w:sz w:val="18"/>
          <w:szCs w:val="18"/>
          <w:i w:val="1"/>
          <w:iCs w:val="1"/>
          <w:color w:val="auto"/>
        </w:rPr>
        <w:t xml:space="preserve"> </w:t>
      </w:r>
      <w:r>
        <w:rPr>
          <w:rFonts w:ascii="Arial" w:cs="Arial" w:eastAsia="Arial" w:hAnsi="Arial"/>
          <w:sz w:val="18"/>
          <w:szCs w:val="18"/>
          <w:color w:val="auto"/>
        </w:rPr>
        <w:t>was cancelled. As a result, none of the NEOs (nor any other executives) received a bonus under this plan.</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40"/>
          </w:cols>
          <w:pgMar w:left="240" w:top="125" w:right="21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NEOs are eligible for long-term incentives, all of which are issued under the terms of our Amended and Restated 2010 Stock Incentive Plan. For fiscal year 2015, long-term incentives were granted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100330</wp:posOffset>
            </wp:positionV>
            <wp:extent cx="5299710" cy="24441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99710"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2015 Target Long-Term Incentive Award Grants. </w:t>
      </w:r>
      <w:r>
        <w:rPr>
          <w:rFonts w:ascii="Arial" w:cs="Arial" w:eastAsia="Arial" w:hAnsi="Arial"/>
          <w:sz w:val="16"/>
          <w:szCs w:val="16"/>
          <w:color w:val="auto"/>
        </w:rPr>
        <w:t>The table below shows the long-term incentive award values granted for fiscal 2015 for each of the NEOs:</w:t>
      </w:r>
    </w:p>
    <w:p>
      <w:pPr>
        <w:spacing w:after="0" w:line="37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NEO</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PRSUs**</w:t>
            </w:r>
          </w:p>
        </w:tc>
        <w:tc>
          <w:tcPr>
            <w:tcW w:w="1720" w:type="dxa"/>
            <w:vAlign w:val="bottom"/>
            <w:tcBorders>
              <w:top w:val="single" w:sz="8" w:color="auto"/>
              <w:right w:val="single" w:sz="8" w:color="auto"/>
            </w:tcBorders>
          </w:tcPr>
          <w:p>
            <w:pPr>
              <w:spacing w:after="0"/>
              <w:rPr>
                <w:sz w:val="20"/>
                <w:szCs w:val="20"/>
                <w:color w:val="auto"/>
              </w:rPr>
            </w:pPr>
          </w:p>
        </w:tc>
        <w:tc>
          <w:tcPr>
            <w:tcW w:w="1700" w:type="dxa"/>
            <w:vAlign w:val="bottom"/>
            <w:tcBorders>
              <w:top w:val="single" w:sz="8" w:color="auto"/>
              <w:right w:val="single" w:sz="8" w:color="auto"/>
            </w:tcBorders>
          </w:tcPr>
          <w:p>
            <w:pPr>
              <w:spacing w:after="0"/>
              <w:rPr>
                <w:sz w:val="20"/>
                <w:szCs w:val="20"/>
                <w:color w:val="auto"/>
              </w:rPr>
            </w:pPr>
          </w:p>
        </w:tc>
        <w:tc>
          <w:tcPr>
            <w:tcW w:w="1700" w:type="dxa"/>
            <w:vAlign w:val="bottom"/>
            <w:tcBorders>
              <w:top w:val="single" w:sz="8" w:color="auto"/>
              <w:right w:val="single" w:sz="8" w:color="auto"/>
            </w:tcBorders>
          </w:tcPr>
          <w:p>
            <w:pPr>
              <w:spacing w:after="0"/>
              <w:rPr>
                <w:sz w:val="20"/>
                <w:szCs w:val="20"/>
                <w:color w:val="auto"/>
              </w:rPr>
            </w:pPr>
          </w:p>
        </w:tc>
      </w:tr>
      <w:tr>
        <w:trPr>
          <w:trHeight w:val="234"/>
        </w:trPr>
        <w:tc>
          <w:tcPr>
            <w:tcW w:w="4600" w:type="dxa"/>
            <w:vAlign w:val="bottom"/>
            <w:tcBorders>
              <w:left w:val="single" w:sz="8" w:color="auto"/>
              <w:right w:val="single" w:sz="8" w:color="auto"/>
            </w:tcBorders>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(at Target)</w:t>
            </w:r>
          </w:p>
        </w:tc>
        <w:tc>
          <w:tcPr>
            <w:tcW w:w="172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Stock Options*</w:t>
            </w:r>
          </w:p>
        </w:tc>
        <w:tc>
          <w:tcPr>
            <w:tcW w:w="170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RSUs**</w:t>
            </w:r>
          </w:p>
        </w:tc>
        <w:tc>
          <w:tcPr>
            <w:tcW w:w="170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Total Value</w:t>
            </w: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69"/>
        </w:trPr>
        <w:tc>
          <w:tcPr>
            <w:tcW w:w="46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Philip C. Mezey</w:t>
            </w:r>
          </w:p>
        </w:tc>
        <w:tc>
          <w:tcPr>
            <w:tcW w:w="1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$1,600,000</w:t>
            </w:r>
          </w:p>
        </w:tc>
        <w:tc>
          <w:tcPr>
            <w:tcW w:w="1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$800,000</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$800,000</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$3,200,000</w:t>
            </w:r>
          </w:p>
        </w:tc>
      </w:tr>
      <w:tr>
        <w:trPr>
          <w:trHeight w:val="237"/>
        </w:trPr>
        <w:tc>
          <w:tcPr>
            <w:tcW w:w="4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 Mark Schmitz</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$500,000</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$250,000</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$250,000</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$1,000,000</w:t>
            </w: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69"/>
        </w:trPr>
        <w:tc>
          <w:tcPr>
            <w:tcW w:w="46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John W. Holleran</w:t>
            </w:r>
          </w:p>
        </w:tc>
        <w:tc>
          <w:tcPr>
            <w:tcW w:w="1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$900,000</w:t>
            </w:r>
          </w:p>
        </w:tc>
        <w:tc>
          <w:tcPr>
            <w:tcW w:w="1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$450,000</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$450,000</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$1,800,000</w:t>
            </w:r>
          </w:p>
        </w:tc>
      </w:tr>
      <w:tr>
        <w:trPr>
          <w:trHeight w:val="237"/>
        </w:trPr>
        <w:tc>
          <w:tcPr>
            <w:tcW w:w="4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Thomas L. Deitrich†</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$1,000,000</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$3,000,000</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$4,000,000</w:t>
            </w: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69"/>
        </w:trPr>
        <w:tc>
          <w:tcPr>
            <w:tcW w:w="46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Michel C. Cadieux</w:t>
            </w:r>
          </w:p>
        </w:tc>
        <w:tc>
          <w:tcPr>
            <w:tcW w:w="1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$400,000</w:t>
            </w:r>
          </w:p>
        </w:tc>
        <w:tc>
          <w:tcPr>
            <w:tcW w:w="1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$200,000</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$200,000</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$800,000</w:t>
            </w:r>
          </w:p>
        </w:tc>
      </w:tr>
      <w:tr>
        <w:trPr>
          <w:trHeight w:val="237"/>
        </w:trPr>
        <w:tc>
          <w:tcPr>
            <w:tcW w:w="4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Shannon M. Votava</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$250,000</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$125,000</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$125,000</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w:t>
            </w: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bl>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Individual award amounts were calculated based on Black-Scholes values.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Award amounts for PRSUs and RSUs were determined based on the closing price of our common stock on the date of grant on February 19, 2015.</w:t>
      </w:r>
    </w:p>
    <w:p>
      <w:pPr>
        <w:spacing w:after="0" w:line="21" w:lineRule="exact"/>
        <w:rPr>
          <w:sz w:val="20"/>
          <w:szCs w:val="20"/>
          <w:color w:val="auto"/>
        </w:rPr>
      </w:pPr>
    </w:p>
    <w:p>
      <w:pPr>
        <w:ind w:left="260" w:right="20" w:hanging="252"/>
        <w:spacing w:after="0" w:line="261"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were special, one-time equity award grants as part of Mr. Deitrich's new-hire agreement, which vest ratably over three years. These grants were intended to make up for the equity compensation Mr. Deitrich forfeited from his previous employer.</w:t>
      </w:r>
    </w:p>
    <w:p>
      <w:pPr>
        <w:spacing w:after="0" w:line="14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A Closer Look at Performance-Based Restricted Stock Units (PRSUs). </w:t>
      </w:r>
      <w:r>
        <w:rPr>
          <w:rFonts w:ascii="Arial" w:cs="Arial" w:eastAsia="Arial" w:hAnsi="Arial"/>
          <w:sz w:val="18"/>
          <w:szCs w:val="18"/>
          <w:color w:val="auto"/>
        </w:rPr>
        <w:t>The actual number of PRSUs that are earned and vested are based on the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specific financial performance goals. Specifically, actual awards are linked to a three-year performance period that consists of three annual performance cycles. The performance result used to determine the actual award earned is calculated at the end of the three-year performance period by averaging the results of the three annual performance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102235</wp:posOffset>
            </wp:positionV>
            <wp:extent cx="5848985" cy="926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4898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40"/>
          </w:cols>
          <w:pgMar w:left="240" w:top="125" w:right="21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16" w:lineRule="auto"/>
        <w:rPr>
          <w:sz w:val="20"/>
          <w:szCs w:val="20"/>
          <w:color w:val="auto"/>
        </w:rPr>
      </w:pPr>
      <w:r>
        <w:rPr>
          <w:rFonts w:ascii="Arial" w:cs="Arial" w:eastAsia="Arial" w:hAnsi="Arial"/>
          <w:sz w:val="18"/>
          <w:szCs w:val="18"/>
          <w:i w:val="1"/>
          <w:iCs w:val="1"/>
          <w:color w:val="auto"/>
        </w:rPr>
        <w:t>2015 Performance Metrics: Non-GAAP EPS</w:t>
      </w:r>
      <w:r>
        <w:rPr>
          <w:rFonts w:ascii="Arial" w:cs="Arial" w:eastAsia="Arial" w:hAnsi="Arial"/>
          <w:sz w:val="25"/>
          <w:szCs w:val="25"/>
          <w:i w:val="1"/>
          <w:iCs w:val="1"/>
          <w:color w:val="auto"/>
          <w:vertAlign w:val="superscript"/>
        </w:rPr>
        <w:t>2</w:t>
      </w:r>
      <w:r>
        <w:rPr>
          <w:rFonts w:ascii="Arial" w:cs="Arial" w:eastAsia="Arial" w:hAnsi="Arial"/>
          <w:sz w:val="18"/>
          <w:szCs w:val="18"/>
          <w:i w:val="1"/>
          <w:iCs w:val="1"/>
          <w:color w:val="auto"/>
        </w:rPr>
        <w:t xml:space="preserve"> &amp; Relative TSR. </w:t>
      </w:r>
      <w:r>
        <w:rPr>
          <w:rFonts w:ascii="Arial" w:cs="Arial" w:eastAsia="Arial" w:hAnsi="Arial"/>
          <w:sz w:val="18"/>
          <w:szCs w:val="18"/>
          <w:color w:val="auto"/>
        </w:rPr>
        <w:t>PRSUs are driven by the achievement of non-GAAP EPS and relative TSR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targets.</w:t>
      </w:r>
    </w:p>
    <w:p>
      <w:pPr>
        <w:spacing w:after="0" w:line="159" w:lineRule="exact"/>
        <w:rPr>
          <w:sz w:val="20"/>
          <w:szCs w:val="20"/>
          <w:color w:val="auto"/>
        </w:rPr>
      </w:pPr>
    </w:p>
    <w:p>
      <w:pPr>
        <w:jc w:val="both"/>
        <w:ind w:left="660" w:hanging="328"/>
        <w:spacing w:after="0" w:line="261"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Non-GAAP EPS: </w:t>
      </w:r>
      <w:r>
        <w:rPr>
          <w:rFonts w:ascii="Arial" w:cs="Arial" w:eastAsia="Arial" w:hAnsi="Arial"/>
          <w:sz w:val="18"/>
          <w:szCs w:val="18"/>
          <w:color w:val="auto"/>
        </w:rPr>
        <w:t>Non-GAAP EPS targets are set by the Committee at the beginning of each annual performance cycle. Payout levels can range</w:t>
      </w:r>
      <w:r>
        <w:rPr>
          <w:rFonts w:ascii="Arial" w:cs="Arial" w:eastAsia="Arial" w:hAnsi="Arial"/>
          <w:sz w:val="18"/>
          <w:szCs w:val="18"/>
          <w:b w:val="1"/>
          <w:bCs w:val="1"/>
          <w:color w:val="auto"/>
        </w:rPr>
        <w:t xml:space="preserve"> </w:t>
      </w:r>
      <w:r>
        <w:rPr>
          <w:rFonts w:ascii="Arial" w:cs="Arial" w:eastAsia="Arial" w:hAnsi="Arial"/>
          <w:sz w:val="18"/>
          <w:szCs w:val="18"/>
          <w:color w:val="auto"/>
        </w:rPr>
        <w:t>from 50% to 160% of target for each year in the performance cycle. No PSRUs are earned for performance below the threshold. The following table shows the thresholds, targets and maximums for non-GAAP EPS set by the Committee at the beginning of each annual performance cycle and our non-GAAP EPS results used for calculating PRSUs earned for 2013, 2014 and 2015:</w:t>
      </w:r>
    </w:p>
    <w:p>
      <w:pPr>
        <w:spacing w:after="0" w:line="151" w:lineRule="exact"/>
        <w:rPr>
          <w:sz w:val="20"/>
          <w:szCs w:val="20"/>
          <w:color w:val="auto"/>
        </w:rPr>
      </w:pPr>
    </w:p>
    <w:tbl>
      <w:tblPr>
        <w:tblLayout w:type="fixed"/>
        <w:tblInd w:w="1550" w:type="dxa"/>
        <w:tblCellMar>
          <w:top w:w="0" w:type="dxa"/>
          <w:left w:w="0" w:type="dxa"/>
          <w:bottom w:w="0" w:type="dxa"/>
          <w:right w:w="0" w:type="dxa"/>
        </w:tblCellMar>
      </w:tblPr>
      <w:tr>
        <w:trPr>
          <w:trHeight w:val="238"/>
        </w:trPr>
        <w:tc>
          <w:tcPr>
            <w:tcW w:w="1700" w:type="dxa"/>
            <w:vAlign w:val="bottom"/>
            <w:tcBorders>
              <w:top w:val="single" w:sz="8" w:color="auto"/>
              <w:left w:val="single" w:sz="8" w:color="auto"/>
              <w:right w:val="single" w:sz="8" w:color="auto"/>
            </w:tcBorders>
          </w:tcPr>
          <w:p>
            <w:pPr>
              <w:spacing w:after="0"/>
              <w:rPr>
                <w:sz w:val="20"/>
                <w:szCs w:val="20"/>
                <w:color w:val="auto"/>
              </w:rPr>
            </w:pPr>
          </w:p>
        </w:tc>
        <w:tc>
          <w:tcPr>
            <w:tcW w:w="16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Threshold</w:t>
            </w:r>
          </w:p>
        </w:tc>
        <w:tc>
          <w:tcPr>
            <w:tcW w:w="166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Target</w:t>
            </w:r>
          </w:p>
        </w:tc>
        <w:tc>
          <w:tcPr>
            <w:tcW w:w="16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Maximum</w:t>
            </w:r>
          </w:p>
        </w:tc>
        <w:tc>
          <w:tcPr>
            <w:tcW w:w="1660" w:type="dxa"/>
            <w:vAlign w:val="bottom"/>
            <w:tcBorders>
              <w:top w:val="single" w:sz="8" w:color="auto"/>
              <w:right w:val="single" w:sz="8" w:color="auto"/>
            </w:tcBorders>
          </w:tcPr>
          <w:p>
            <w:pPr>
              <w:spacing w:after="0"/>
              <w:rPr>
                <w:sz w:val="20"/>
                <w:szCs w:val="20"/>
                <w:color w:val="auto"/>
              </w:rPr>
            </w:pPr>
          </w:p>
        </w:tc>
      </w:tr>
      <w:tr>
        <w:trPr>
          <w:trHeight w:val="234"/>
        </w:trPr>
        <w:tc>
          <w:tcPr>
            <w:tcW w:w="17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Year</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160%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Results</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69"/>
        </w:trPr>
        <w:tc>
          <w:tcPr>
            <w:tcW w:w="1700" w:type="dxa"/>
            <w:vAlign w:val="bottom"/>
            <w:tcBorders>
              <w:left w:val="single" w:sz="8" w:color="auto"/>
              <w:bottom w:val="single" w:sz="8" w:color="CCEEFF"/>
              <w:right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2013</w:t>
            </w:r>
          </w:p>
        </w:tc>
        <w:tc>
          <w:tcPr>
            <w:tcW w:w="16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$3.17</w:t>
            </w:r>
          </w:p>
        </w:tc>
        <w:tc>
          <w:tcPr>
            <w:tcW w:w="1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$3.42</w:t>
            </w:r>
          </w:p>
        </w:tc>
        <w:tc>
          <w:tcPr>
            <w:tcW w:w="1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$4.35</w:t>
            </w:r>
          </w:p>
        </w:tc>
        <w:tc>
          <w:tcPr>
            <w:tcW w:w="1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$1.90</w:t>
            </w:r>
          </w:p>
        </w:tc>
      </w:tr>
      <w:tr>
        <w:trPr>
          <w:trHeight w:val="237"/>
        </w:trPr>
        <w:tc>
          <w:tcPr>
            <w:tcW w:w="1700" w:type="dxa"/>
            <w:vAlign w:val="bottom"/>
            <w:tcBorders>
              <w:top w:val="single" w:sz="8" w:color="auto"/>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2014</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$1.58</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$1.76</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$2.75</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$1.80</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44"/>
        </w:trPr>
        <w:tc>
          <w:tcPr>
            <w:tcW w:w="1700" w:type="dxa"/>
            <w:vAlign w:val="bottom"/>
            <w:tcBorders>
              <w:left w:val="single" w:sz="8" w:color="auto"/>
              <w:bottom w:val="single" w:sz="8" w:color="CCEEFF"/>
              <w:right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2015</w:t>
            </w:r>
          </w:p>
        </w:tc>
        <w:tc>
          <w:tcPr>
            <w:tcW w:w="16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$1.60</w:t>
            </w:r>
          </w:p>
        </w:tc>
        <w:tc>
          <w:tcPr>
            <w:tcW w:w="1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$1.84</w:t>
            </w:r>
          </w:p>
        </w:tc>
        <w:tc>
          <w:tcPr>
            <w:tcW w:w="1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$2.15</w:t>
            </w:r>
          </w:p>
        </w:tc>
        <w:tc>
          <w:tcPr>
            <w:tcW w:w="1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$1.01</w:t>
            </w:r>
          </w:p>
        </w:tc>
      </w:tr>
      <w:tr>
        <w:trPr>
          <w:trHeight w:val="20"/>
        </w:trPr>
        <w:tc>
          <w:tcPr>
            <w:tcW w:w="17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r>
    </w:tbl>
    <w:p>
      <w:pPr>
        <w:spacing w:after="0" w:line="161"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 xml:space="preserve">Note: The non-GAAP EPS results shown are based on financial results as originally reported for 2013 and 2014, and preliminary results for 2015; actual revised adjusted non-GAAP EPS results for 2013 and 2014 were $1.78, $1.74, respectively and the final result for 2015 was $0.73.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“Executive Summary” </w:t>
      </w:r>
      <w:r>
        <w:rPr>
          <w:rFonts w:ascii="Arial" w:cs="Arial" w:eastAsia="Arial" w:hAnsi="Arial"/>
          <w:sz w:val="17"/>
          <w:szCs w:val="17"/>
          <w:color w:val="auto"/>
        </w:rPr>
        <w:t>in this CD&amp;A for more details on the revisions to financial results</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for levels achieved between threshold, target,</w:t>
      </w:r>
      <w:r>
        <w:rPr>
          <w:rFonts w:ascii="Arial" w:cs="Arial" w:eastAsia="Arial" w:hAnsi="Arial"/>
          <w:sz w:val="17"/>
          <w:szCs w:val="17"/>
          <w:i w:val="1"/>
          <w:iCs w:val="1"/>
          <w:color w:val="auto"/>
        </w:rPr>
        <w:t xml:space="preserve"> </w:t>
      </w:r>
      <w:r>
        <w:rPr>
          <w:rFonts w:ascii="Arial" w:cs="Arial" w:eastAsia="Arial" w:hAnsi="Arial"/>
          <w:sz w:val="17"/>
          <w:szCs w:val="17"/>
          <w:color w:val="auto"/>
        </w:rPr>
        <w:t>and maximum are linearly interpolated. As originally reported under the Company’s 2015 proxy statement, the Compensation Committee adjusted the 2014 non-GAAP EPS definition by excluding certain discrete expenses, such as long-standing global litigation disputes and restructuring efforts, from the non-GAAP diluted EPS calculation. The cumulative net effect of these adjustments resulted in non-GAAP diluted EPS of $1.80 as originally reported and $1.74 for the actual revised adjusted results. The Committee determined that this adjustment was a more accurate measurement of the Company’s EPS for purposes of the PRSUs, and it was in the best interests of the Company to implement this adjustment, for both retentive and incentive purposes. Note that as used in the table above, the term “non-GAAP EPS” excludes those discrete expenses described above, and therefore is distinct from and does not conform with our stated definition of non-GAAP earnings per share in our earnings releases and other financial results filed in our reports with the SEC (and as stated on our website).</w:t>
      </w:r>
    </w:p>
    <w:p>
      <w:pPr>
        <w:spacing w:after="0" w:line="200" w:lineRule="exact"/>
        <w:rPr>
          <w:sz w:val="20"/>
          <w:szCs w:val="20"/>
          <w:color w:val="auto"/>
        </w:rPr>
      </w:pPr>
    </w:p>
    <w:p>
      <w:pPr>
        <w:spacing w:after="0" w:line="209" w:lineRule="exact"/>
        <w:rPr>
          <w:sz w:val="20"/>
          <w:szCs w:val="20"/>
          <w:color w:val="auto"/>
        </w:rPr>
      </w:pPr>
    </w:p>
    <w:p>
      <w:pPr>
        <w:jc w:val="both"/>
        <w:ind w:left="660" w:hanging="328"/>
        <w:spacing w:after="0" w:line="26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Relative TSR: </w:t>
      </w:r>
      <w:r>
        <w:rPr>
          <w:rFonts w:ascii="Arial" w:cs="Arial" w:eastAsia="Arial" w:hAnsi="Arial"/>
          <w:sz w:val="18"/>
          <w:szCs w:val="18"/>
          <w:color w:val="auto"/>
        </w:rPr>
        <w:t>At the end of the three-year performance period, the non-GAAP EPS results for each of the annual performance cycles are averaged.</w:t>
      </w:r>
      <w:r>
        <w:rPr>
          <w:rFonts w:ascii="Arial" w:cs="Arial" w:eastAsia="Arial" w:hAnsi="Arial"/>
          <w:sz w:val="18"/>
          <w:szCs w:val="18"/>
          <w:b w:val="1"/>
          <w:bCs w:val="1"/>
          <w:color w:val="auto"/>
        </w:rPr>
        <w:t xml:space="preserve"> </w:t>
      </w:r>
      <w:r>
        <w:rPr>
          <w:rFonts w:ascii="Arial" w:cs="Arial" w:eastAsia="Arial" w:hAnsi="Arial"/>
          <w:sz w:val="18"/>
          <w:szCs w:val="18"/>
          <w:color w:val="auto"/>
        </w:rPr>
        <w:t>The average non-GAAP EPS is then adjusted based on the achievement by the Company of TSR relative to the Russell 3000 index for the same three-year performance cycle as follows:</w:t>
      </w:r>
    </w:p>
    <w:p>
      <w:pPr>
        <w:spacing w:after="0" w:line="147" w:lineRule="exact"/>
        <w:rPr>
          <w:sz w:val="20"/>
          <w:szCs w:val="20"/>
          <w:color w:val="auto"/>
        </w:rPr>
      </w:pPr>
    </w:p>
    <w:tbl>
      <w:tblPr>
        <w:tblLayout w:type="fixed"/>
        <w:tblInd w:w="1550" w:type="dxa"/>
        <w:tblCellMar>
          <w:top w:w="0" w:type="dxa"/>
          <w:left w:w="0" w:type="dxa"/>
          <w:bottom w:w="0" w:type="dxa"/>
          <w:right w:w="0" w:type="dxa"/>
        </w:tblCellMar>
      </w:tblPr>
      <w:tr>
        <w:trPr>
          <w:trHeight w:val="257"/>
        </w:trPr>
        <w:tc>
          <w:tcPr>
            <w:tcW w:w="4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If relative TSR attainment is...</w:t>
            </w:r>
          </w:p>
        </w:tc>
        <w:tc>
          <w:tcPr>
            <w:tcW w:w="4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Then the average EPS attainment is...</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64"/>
        </w:trPr>
        <w:tc>
          <w:tcPr>
            <w:tcW w:w="4200" w:type="dxa"/>
            <w:vAlign w:val="bottom"/>
            <w:tcBorders>
              <w:left w:val="single" w:sz="8" w:color="auto"/>
              <w:bottom w:val="single" w:sz="8" w:color="auto"/>
              <w:right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At or below the 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w:t>
            </w:r>
          </w:p>
        </w:tc>
        <w:tc>
          <w:tcPr>
            <w:tcW w:w="41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down by 25%</w:t>
            </w:r>
          </w:p>
        </w:tc>
      </w:tr>
      <w:tr>
        <w:trPr>
          <w:trHeight w:val="264"/>
        </w:trPr>
        <w:tc>
          <w:tcPr>
            <w:tcW w:w="420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At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w:t>
            </w:r>
          </w:p>
        </w:tc>
        <w:tc>
          <w:tcPr>
            <w:tcW w:w="4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 adjustment</w:t>
            </w:r>
          </w:p>
        </w:tc>
      </w:tr>
      <w:tr>
        <w:trPr>
          <w:trHeight w:val="264"/>
        </w:trPr>
        <w:tc>
          <w:tcPr>
            <w:tcW w:w="4200" w:type="dxa"/>
            <w:vAlign w:val="bottom"/>
            <w:tcBorders>
              <w:left w:val="single" w:sz="8" w:color="auto"/>
              <w:bottom w:val="single" w:sz="8" w:color="auto"/>
              <w:right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At or above the 75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w:t>
            </w:r>
          </w:p>
        </w:tc>
        <w:tc>
          <w:tcPr>
            <w:tcW w:w="41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Increased by 25%</w:t>
            </w: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 Adjustments for levels achieved between the 25th, 50th, and 75th percentiles are linearly interpolated.</w:t>
      </w:r>
    </w:p>
    <w:p>
      <w:pPr>
        <w:spacing w:after="0" w:line="200" w:lineRule="exact"/>
        <w:rPr>
          <w:sz w:val="20"/>
          <w:szCs w:val="20"/>
          <w:color w:val="auto"/>
        </w:rPr>
      </w:pPr>
    </w:p>
    <w:p>
      <w:pPr>
        <w:spacing w:after="0" w:line="20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2015 PRSUs, the TSR targets and point multipliers were all established in February 2015 by the Committee (and by the independent members of the full Board for the CEO.)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8"/>
        <w:spacing w:after="0" w:line="251" w:lineRule="auto"/>
        <w:tabs>
          <w:tab w:leader="none" w:pos="83" w:val="left"/>
        </w:tabs>
        <w:numPr>
          <w:ilvl w:val="0"/>
          <w:numId w:val="42"/>
        </w:numPr>
        <w:rPr>
          <w:rFonts w:ascii="Arial" w:cs="Arial" w:eastAsia="Arial" w:hAnsi="Arial"/>
          <w:sz w:val="9"/>
          <w:szCs w:val="9"/>
          <w:color w:val="auto"/>
        </w:rPr>
      </w:pPr>
      <w:r>
        <w:rPr>
          <w:rFonts w:ascii="Arial" w:cs="Arial" w:eastAsia="Arial" w:hAnsi="Arial"/>
          <w:sz w:val="14"/>
          <w:szCs w:val="14"/>
          <w:color w:val="auto"/>
        </w:rPr>
        <w:t>We define non-GAAP diluted EPS as non-GAAP net income (net income excluding the expenses associated with amortization of intangible assets, restructuring, acquisitions, goodwill impairment and amortization of debt placement fees) divided by the weighted average shares outstanding, on a diluted basis, during each period. A schedule reconciling GAAP to non-GAAP results is available on our website at www.itron.com.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PRSUs Earned and Vested In 2015 (1/1/2013 - 12/31/2015). </w:t>
      </w:r>
      <w:r>
        <w:rPr>
          <w:rFonts w:ascii="Arial" w:cs="Arial" w:eastAsia="Arial" w:hAnsi="Arial"/>
          <w:sz w:val="17"/>
          <w:szCs w:val="17"/>
          <w:color w:val="auto"/>
        </w:rPr>
        <w:t>In 2013, the NEOs at that time were granted 66.7% of their target PRSUs with vesting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the non-GAAP EPS and relative TSR performance targets for 2013, 2014 and 2015 as outlined above. The actual award earned was calculated at the end of the three-year performance period by averaging the results of the three annual performance cycles:</w:t>
      </w:r>
    </w:p>
    <w:p>
      <w:pPr>
        <w:spacing w:after="0" w:line="133" w:lineRule="exact"/>
        <w:rPr>
          <w:sz w:val="20"/>
          <w:szCs w:val="20"/>
          <w:color w:val="auto"/>
        </w:rPr>
      </w:pPr>
    </w:p>
    <w:tbl>
      <w:tblPr>
        <w:tblLayout w:type="fixed"/>
        <w:tblInd w:w="1550" w:type="dxa"/>
        <w:tblCellMar>
          <w:top w:w="0" w:type="dxa"/>
          <w:left w:w="0" w:type="dxa"/>
          <w:bottom w:w="0" w:type="dxa"/>
          <w:right w:w="0" w:type="dxa"/>
        </w:tblCellMar>
      </w:tblPr>
      <w:tr>
        <w:trPr>
          <w:trHeight w:val="257"/>
        </w:trPr>
        <w:tc>
          <w:tcPr>
            <w:tcW w:w="42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41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Percentage of Attainment</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69"/>
        </w:trPr>
        <w:tc>
          <w:tcPr>
            <w:tcW w:w="42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4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37"/>
        </w:trPr>
        <w:tc>
          <w:tcPr>
            <w:tcW w:w="42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4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102.42%</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69"/>
        </w:trPr>
        <w:tc>
          <w:tcPr>
            <w:tcW w:w="42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4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37"/>
        </w:trPr>
        <w:tc>
          <w:tcPr>
            <w:tcW w:w="42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2013-2015 Average</w:t>
            </w:r>
          </w:p>
        </w:tc>
        <w:tc>
          <w:tcPr>
            <w:tcW w:w="4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34.14%</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bl>
    <w:p>
      <w:pPr>
        <w:spacing w:after="0" w:line="161"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 xml:space="preserve">Note: The percentage of attainment shown is based on financial results as originally reported; actual revised results had no impact on 2013 and 2015; however, the percentage of attainment for 2014 would have been 94.44%, resulting in a 2013-2015 average of 31.48%. After careful review, and based on the circumstances of the revision and the immateriality of this adjustment, the Compensation Committee determined that it would not seek recovery of these PRSUs from any of the executives. </w:t>
      </w:r>
      <w:r>
        <w:rPr>
          <w:rFonts w:ascii="Arial" w:cs="Arial" w:eastAsia="Arial" w:hAnsi="Arial"/>
          <w:sz w:val="16"/>
          <w:szCs w:val="16"/>
          <w:i w:val="1"/>
          <w:iCs w:val="1"/>
          <w:color w:val="auto"/>
        </w:rPr>
        <w:t>See “Executive Summary”</w:t>
      </w:r>
      <w:r>
        <w:rPr>
          <w:rFonts w:ascii="Arial" w:cs="Arial" w:eastAsia="Arial" w:hAnsi="Arial"/>
          <w:sz w:val="16"/>
          <w:szCs w:val="16"/>
          <w:color w:val="auto"/>
        </w:rPr>
        <w:t xml:space="preserve"> in this CD&amp;A for more details on the revision. Calculation of percentage of attainment for PRSUs with future performance periods (2014-2016 and 2015-2017) will be based on the revised results.</w:t>
      </w:r>
    </w:p>
    <w:p>
      <w:pPr>
        <w:spacing w:after="0" w:line="212" w:lineRule="exact"/>
        <w:rPr>
          <w:sz w:val="20"/>
          <w:szCs w:val="20"/>
          <w:color w:val="auto"/>
        </w:rPr>
      </w:pPr>
    </w:p>
    <w:p>
      <w:pPr>
        <w:spacing w:after="0" w:line="349" w:lineRule="auto"/>
        <w:rPr>
          <w:sz w:val="20"/>
          <w:szCs w:val="20"/>
          <w:color w:val="auto"/>
        </w:rPr>
      </w:pPr>
      <w:r>
        <w:rPr>
          <w:rFonts w:ascii="Arial" w:cs="Arial" w:eastAsia="Arial" w:hAnsi="Arial"/>
          <w:sz w:val="16"/>
          <w:szCs w:val="16"/>
          <w:color w:val="auto"/>
        </w:rPr>
        <w:t>Consistent with the terms of the LTIP, the performance attainment for the 2013 PRSUs was then adjusted downward by 25% since our TSR was below the 25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of the Russell 3000 index. As a result, the NEOs earned 25.61% of their target PRSUs for the 2013-2015 performance cycle, as follows:</w:t>
      </w:r>
    </w:p>
    <w:tbl>
      <w:tblPr>
        <w:tblLayout w:type="fixed"/>
        <w:tblInd w:w="1550" w:type="dxa"/>
        <w:tblCellMar>
          <w:top w:w="0" w:type="dxa"/>
          <w:left w:w="0" w:type="dxa"/>
          <w:bottom w:w="0" w:type="dxa"/>
          <w:right w:w="0" w:type="dxa"/>
        </w:tblCellMar>
      </w:tblPr>
      <w:tr>
        <w:trPr>
          <w:trHeight w:val="237"/>
        </w:trPr>
        <w:tc>
          <w:tcPr>
            <w:tcW w:w="28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NEO</w:t>
            </w:r>
          </w:p>
        </w:tc>
        <w:tc>
          <w:tcPr>
            <w:tcW w:w="276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Target PRSUs Granted</w:t>
            </w:r>
          </w:p>
        </w:tc>
        <w:tc>
          <w:tcPr>
            <w:tcW w:w="274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Actual PRSUs Earned</w:t>
            </w:r>
          </w:p>
        </w:tc>
      </w:tr>
      <w:tr>
        <w:trPr>
          <w:trHeight w:val="27"/>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69"/>
        </w:trPr>
        <w:tc>
          <w:tcPr>
            <w:tcW w:w="28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Philip C. Mezey</w:t>
            </w:r>
          </w:p>
        </w:tc>
        <w:tc>
          <w:tcPr>
            <w:tcW w:w="2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24,601</w:t>
            </w:r>
          </w:p>
        </w:tc>
        <w:tc>
          <w:tcPr>
            <w:tcW w:w="2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6,299</w:t>
            </w:r>
          </w:p>
        </w:tc>
      </w:tr>
      <w:tr>
        <w:trPr>
          <w:trHeight w:val="237"/>
        </w:trPr>
        <w:tc>
          <w:tcPr>
            <w:tcW w:w="28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W. Holleran</w:t>
            </w:r>
          </w:p>
        </w:tc>
        <w:tc>
          <w:tcPr>
            <w:tcW w:w="2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14,175</w:t>
            </w:r>
          </w:p>
        </w:tc>
        <w:tc>
          <w:tcPr>
            <w:tcW w:w="2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3,629</w:t>
            </w:r>
          </w:p>
        </w:tc>
      </w:tr>
      <w:tr>
        <w:trPr>
          <w:trHeight w:val="27"/>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r>
      <w:tr>
        <w:trPr>
          <w:trHeight w:val="244"/>
        </w:trPr>
        <w:tc>
          <w:tcPr>
            <w:tcW w:w="28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Shannon M. Votava</w:t>
            </w:r>
          </w:p>
        </w:tc>
        <w:tc>
          <w:tcPr>
            <w:tcW w:w="2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3,150</w:t>
            </w:r>
          </w:p>
        </w:tc>
        <w:tc>
          <w:tcPr>
            <w:tcW w:w="27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806</w:t>
            </w:r>
          </w:p>
        </w:tc>
      </w:tr>
      <w:tr>
        <w:trPr>
          <w:trHeight w:val="20"/>
        </w:trPr>
        <w:tc>
          <w:tcPr>
            <w:tcW w:w="28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760" w:type="dxa"/>
            <w:vAlign w:val="bottom"/>
            <w:tcBorders>
              <w:right w:val="single" w:sz="8" w:color="auto"/>
            </w:tcBorders>
            <w:shd w:val="clear" w:color="auto" w:fill="000000"/>
          </w:tcPr>
          <w:p>
            <w:pPr>
              <w:spacing w:after="0" w:line="20" w:lineRule="exact"/>
              <w:rPr>
                <w:sz w:val="1"/>
                <w:szCs w:val="1"/>
                <w:color w:val="auto"/>
              </w:rPr>
            </w:pPr>
          </w:p>
        </w:tc>
        <w:tc>
          <w:tcPr>
            <w:tcW w:w="2740" w:type="dxa"/>
            <w:vAlign w:val="bottom"/>
            <w:tcBorders>
              <w:right w:val="single" w:sz="8" w:color="auto"/>
            </w:tcBorders>
            <w:shd w:val="clear" w:color="auto" w:fill="000000"/>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 Messrs. Schmitz, Deitrich and Cadieux were not employed or eligible for PRSUs in 2013.</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Practices, Policies and Guidelines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that when our executives hold an equity interest in the Company, they will be less inclined to take excessive business risks. We maintain stock ownership guidelines to encourage our key executives to own stock at least equal in value to:</w:t>
      </w:r>
    </w:p>
    <w:p>
      <w:pPr>
        <w:spacing w:after="0" w:line="273" w:lineRule="exact"/>
        <w:rPr>
          <w:sz w:val="20"/>
          <w:szCs w:val="20"/>
          <w:color w:val="auto"/>
        </w:rPr>
      </w:pPr>
    </w:p>
    <w:tbl>
      <w:tblPr>
        <w:tblLayout w:type="fixed"/>
        <w:tblInd w:w="1550" w:type="dxa"/>
        <w:tblCellMar>
          <w:top w:w="0" w:type="dxa"/>
          <w:left w:w="0" w:type="dxa"/>
          <w:bottom w:w="0" w:type="dxa"/>
          <w:right w:w="0" w:type="dxa"/>
        </w:tblCellMar>
      </w:tblPr>
      <w:tr>
        <w:trPr>
          <w:trHeight w:val="257"/>
        </w:trPr>
        <w:tc>
          <w:tcPr>
            <w:tcW w:w="42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Title</w:t>
            </w:r>
          </w:p>
        </w:tc>
        <w:tc>
          <w:tcPr>
            <w:tcW w:w="4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Multiple of Base Salary</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69"/>
        </w:trPr>
        <w:tc>
          <w:tcPr>
            <w:tcW w:w="42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CEO</w:t>
            </w:r>
          </w:p>
        </w:tc>
        <w:tc>
          <w:tcPr>
            <w:tcW w:w="41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6.0x</w:t>
            </w:r>
          </w:p>
        </w:tc>
      </w:tr>
      <w:tr>
        <w:trPr>
          <w:trHeight w:val="237"/>
        </w:trPr>
        <w:tc>
          <w:tcPr>
            <w:tcW w:w="42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Presidents</w:t>
            </w:r>
          </w:p>
        </w:tc>
        <w:tc>
          <w:tcPr>
            <w:tcW w:w="4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3.0x</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44"/>
        </w:trPr>
        <w:tc>
          <w:tcPr>
            <w:tcW w:w="420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Presidents and General Counsel</w:t>
            </w:r>
          </w:p>
        </w:tc>
        <w:tc>
          <w:tcPr>
            <w:tcW w:w="41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2.0x</w:t>
            </w:r>
          </w:p>
        </w:tc>
      </w:tr>
      <w:tr>
        <w:trPr>
          <w:trHeight w:val="20"/>
        </w:trPr>
        <w:tc>
          <w:tcPr>
            <w:tcW w:w="4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1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Common stock, restricted stock awards, RSUs, and stock held in the 401(k) Plan and the Employee Stock Purchase Plan all count towards satisfaction of the guidelines; however, unexercised stock options do not. We annually review the levels of stock ownership of our executives, and, based on a rolling 12-month average of our stock price as of the end of 2015, John Holleran and Thomas Deitrich are the only NEOs who have met the guidelines. The other NEOs are making progress towards meeting those guidelines. We also have stock ownership guidelines for the members of our Board.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prohibit the NEOs and other executives from engaging in transactions designed to insulate them from changes in the Company’s stock price. Therefore, the Company has an Anti-Hedging Policy that prohibits our NEOs from entering into transactions that include (without limitation) equity swaps or short sales of our securities, margin accounts or pledges of our securities, and hedges or monetization transactions involving our securities that are designed to hedge or offset any decrease in the market value of Itron securities. In addition, the purchase or sale of puts, calls, options, or other derivative securities based on the Company’s securities is prohibited under this policy, and borrowing against any account in which our securities are held is prohibited.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125"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Change-in-Control Agreements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have entered into change-in-control agreements with our executives to encourage their full attention and dedication to the Company in the event of a change-in-control of the Company, and to provide them with reasonable compensation and benefits in the event of a change-in-control and a subsequent loss of employment. All equity awards granted after January 1, 2014 have “double trigger” requirements before vesting upon a change-in-control.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“EXECUTIVE COMPENSATION TABLES - Potential Payments upon Change-in-Control” </w:t>
      </w:r>
      <w:r>
        <w:rPr>
          <w:rFonts w:ascii="Arial" w:cs="Arial" w:eastAsia="Arial" w:hAnsi="Arial"/>
          <w:sz w:val="18"/>
          <w:szCs w:val="18"/>
          <w:color w:val="auto"/>
        </w:rPr>
        <w:t>in this CD&amp;A for descriptions of the benefits provided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change-in-control agreements.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Severance Policy</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have formal employment agreements with our executives. However, we do have an Executive Severance Policy for our executives that provides severance pay equal to one year’s base salary, employer benefit premium payments or reimbursements for one year, and outplacement assistance provided there is a release of claims, non-disparagement, and confidentiality agreement with the executive. In addition, the executive must enter into a one-year non-compete agreement, where enforceable.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Repayment (Clawback) Policy</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Under our Incentive Repayment (Clawback) Policy, in the event of a restatement of the Company’s financial results, the Compensation Committee, as designated by the Board, may review all cash or equity incentive awards that were based in whole or in part on the achievement of certain financial results.</w:t>
      </w:r>
    </w:p>
    <w:p>
      <w:pPr>
        <w:spacing w:after="0" w:line="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Where award(s) were predicated, in part or in whole, upon the achievement of certain financial results that were subsequently the subject of financial restatement and, as determined in the Compensation Committee’s discretion, the executive(s) engaged in fraud that caused or partially caused the need for the restatement, the Compensation Committee will seek forfeiture or reimbursement to the Company of the award(s) in full, net of tax. If the restatement was not due to fraud, the Compensation Committee may review the circumstances and, in its discretion to the extent practicable and allowable under applicable laws, determine to require forfeiture or reimbursement to the Company of the amount of the award(s) that exceeded the lower amount, payment or value that would have been made based on the restated financial results, net of tax.</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recoupment under this policy may be in addition to, and shall not otherwise limit, any other remedies that may be available to the Company under applicable law, including disciplinary actions up to and including termination of employment.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the Company was preparing to file its Annual Report on Form 10-K for fiscal year 2015, an accounting review and analysis of revenue recognition for certain software and maintenance contracts indicated that further analysis was necessary. As a result, the Company revised its 2013 and 2014 financial results and finalized its results for 2015 (all as reported in our Annual Report on Form 10-K for the year ended December 31, 2015). </w:t>
      </w:r>
      <w:r>
        <w:rPr>
          <w:rFonts w:ascii="Arial" w:cs="Arial" w:eastAsia="Arial" w:hAnsi="Arial"/>
          <w:sz w:val="18"/>
          <w:szCs w:val="18"/>
          <w:i w:val="1"/>
          <w:iCs w:val="1"/>
          <w:color w:val="auto"/>
        </w:rPr>
        <w:t>See “Executive Summary”</w:t>
      </w:r>
      <w:r>
        <w:rPr>
          <w:rFonts w:ascii="Arial" w:cs="Arial" w:eastAsia="Arial" w:hAnsi="Arial"/>
          <w:sz w:val="18"/>
          <w:szCs w:val="18"/>
          <w:color w:val="auto"/>
        </w:rPr>
        <w:t xml:space="preserve"> in this CD&amp;A.</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Consistent with our Incentive Repayment (Clawback) Policy, the Compensation Committee reviewed the revised results and their effect on the annual cash incentives earned by our executives under the EMIP during those periods, as well as the equity incentive awards that may have been earned by our executives under the LTIP during the same timeframe. After careful review, the Compensation Committee confirmed there was no fraud involved with the financial revisions and that the adjustments to compensation for both cash and equity incentive awards were immaterial. </w:t>
      </w:r>
      <w:r>
        <w:rPr>
          <w:rFonts w:ascii="Arial" w:cs="Arial" w:eastAsia="Arial" w:hAnsi="Arial"/>
          <w:sz w:val="18"/>
          <w:szCs w:val="18"/>
          <w:i w:val="1"/>
          <w:iCs w:val="1"/>
          <w:color w:val="auto"/>
        </w:rPr>
        <w:t>See “2015 Performance Metrics: Non-GAAP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EPS &amp; Relative TSR,” </w:t>
      </w:r>
      <w:r>
        <w:rPr>
          <w:rFonts w:ascii="Arial" w:cs="Arial" w:eastAsia="Arial" w:hAnsi="Arial"/>
          <w:sz w:val="18"/>
          <w:szCs w:val="18"/>
          <w:color w:val="auto"/>
        </w:rPr>
        <w:t>and</w:t>
      </w:r>
      <w:r>
        <w:rPr>
          <w:rFonts w:ascii="Arial" w:cs="Arial" w:eastAsia="Arial" w:hAnsi="Arial"/>
          <w:sz w:val="18"/>
          <w:szCs w:val="18"/>
          <w:i w:val="1"/>
          <w:iCs w:val="1"/>
          <w:color w:val="auto"/>
        </w:rPr>
        <w:t xml:space="preserve"> “PRSUs Earned and Vested in 2015 (1/1/2013-12/31/2015)” </w:t>
      </w:r>
      <w:r>
        <w:rPr>
          <w:rFonts w:ascii="Arial" w:cs="Arial" w:eastAsia="Arial" w:hAnsi="Arial"/>
          <w:sz w:val="18"/>
          <w:szCs w:val="18"/>
          <w:color w:val="auto"/>
        </w:rPr>
        <w:t>in this CD&amp;A. Therefore, based on the circumstances of the revision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immateriality of the resulting compensation adjustments, the Compensation Committee determined that it would not seek recovery from any of the executives.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Deferred Compensation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Executives located in the U.S. are eligible to participate in our Executive Deferred Compensation Plan (EDCP). We offer the EDCP to our highly-compensated employees to give them the benefit of being able to defer some of their taxable income, which also encourages their retention with the Company. Participants may defer up to 50% of their base salary and annual cash incentive into a nonqualified account.</w:t>
      </w:r>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Executives are also permitted to elect to defer an additional portion of their base salary under the EDCP equal to the amount of any contributions returned to them during the year from the Company’s 401(k) Plan. In 2015, the Company made matching contributions to the account of each participating executive at the rate of 50% of the first 6% of base salary and annual incentive deferred by the executive during that year, which is the same matching formula as the Company’s 401(k) Plan. The employer match into the EDCP starts </w:t>
      </w:r>
      <w:r>
        <w:rPr>
          <w:rFonts w:ascii="Arial" w:cs="Arial" w:eastAsia="Arial" w:hAnsi="Arial"/>
          <w:sz w:val="17"/>
          <w:szCs w:val="17"/>
          <w:i w:val="1"/>
          <w:iCs w:val="1"/>
          <w:color w:val="auto"/>
        </w:rPr>
        <w:t>after</w:t>
      </w:r>
      <w:r>
        <w:rPr>
          <w:rFonts w:ascii="Arial" w:cs="Arial" w:eastAsia="Arial" w:hAnsi="Arial"/>
          <w:sz w:val="17"/>
          <w:szCs w:val="17"/>
          <w:color w:val="auto"/>
        </w:rPr>
        <w:t xml:space="preserve"> the employee reaches IRS limits on the 401(k) Plan and is no longer eligible for the 401(k) match. The executives’ account balances are adjusted for hypothetical investment earnings or losses according to the returns of the specified “measurement funds” selected by the executives. The measurement funds correspond to the mutual funds available for investment under the 401(k) Plan (but currently do not include a Company stock fund).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See “EXECUTIVE COMPENSATION TABLES- 2015 Nonqualified Deferred Compensation Table” </w:t>
      </w:r>
      <w:r>
        <w:rPr>
          <w:rFonts w:ascii="Arial" w:cs="Arial" w:eastAsia="Arial" w:hAnsi="Arial"/>
          <w:sz w:val="18"/>
          <w:szCs w:val="18"/>
          <w:color w:val="auto"/>
        </w:rPr>
        <w:t>in this CD&amp;A for more details.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Benefits and Perquisites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Our NEOs receive the same benefits as our U.S. based salaried employees generally, including medical and dental benefits, group term life insurance, and short- and long-term disability protection. Itron also has relocation policies and benefits in place that may be applicable if an employee is required to move or has long term extended business travel to a new location.</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 and Employee Stock Purchase Plan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Executives located in the U.S. are eligible to participate in our 401(k) Plan which provides our employees, including executives, with a 50% Company match on the first 6% of compensation deferred, subject to qualified plan limits. Similarly, executives located in the U.S. may participate in the Company’s Employee Stock Purchase Plan, along with our other U.S. employees.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any defined benefit or supplemental retirement programs for our NEOs.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Risk Assessment</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It is our belief that a majority of an executive’s total compensation should be variable “at risk” compensation, meaning it is tied to the Company’s financial performance. However, because performance-based incentives play a large role in our compensation program, we strive to ensure that incentives do not result in actions that may conflict with the long-term best interests of the Company and our shareholders. Therefore, the Committee evaluated all of our plans and policies (applicable to executives and employees below the executive level) in December 2015 for attributes that could cause excessive risk-taking. We concluded that our programs and policies do not encourage excessive risk-taking because: (a) the salary component of our program is a fixed amount; (b) the majority of the compensation paid to our executives is delivered in the form of equity ownership, which aligns the interest of our executives with those of our shareholders; (c) executive officers are subject to our executive stock ownership guidelines; and (d) the annual cash-based incentive plan and long-term incentive plans are designed with risk-mitigating characteristics such as (i) maximum award payouts based on the attainment of various and continually evolving Company financial objectives which diversify risks associated with a single indicator of performance, (ii) our equity-based incentives encourage a longer-term focus through multi-year performance periods, (iii) our risk-mitigating policies in place such as insider trading and hedging prohibitions and clawbacks, and (iv) review and approval of final awards by our Committee (and the independent members of the full Board in the case of the CEO), which is composed entirely of independent directors who have discretion under our plans to approve, modify, or eliminate any award earned.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 member of our Board’s Compensation Committee has served as an officer or employee of the Company. None of our executive officers serve as a member of the compensation committee of any other company that has an executive officer serving as a member of our Board. None of our executive officers serve as a member of the board of directors of any other company that has an executive officer serving as a member of our Board’s Compensation Committee.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Tax and Accounting</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regularly consider the various tax and accounting implications of our compensation plans. When determining the amount of long-term incentives and equity grants to executives and employees, the compensation costs associated with the grants are reviewed, as required by FASB ASC Topic 718.</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Section 162(m) of the Code generally prohibits any publicly held corporation from taking a federal income tax deduction for compensation paid in excess of $1 million in any taxable year to the CEO and the next three highest compensated officers (other than the CFO). Under the current tax laws, exceptions are made for qualified performance-based compensation. The Committee may structure certain compensation programs in a manner intended to allow compensation to be deductible as qualified performance-based compensation under Section 162(m) of the Code. The Committee, however, believes that it is important for it to retain maximum flexibility in designing compensation programs that are in the best interest of the Company and its shareholders. Therefore, the Committee, while considering tax deductibility as a factor in determining compensation, may not limit compensation to those levels or types of compensation that will be deductible if it believes that the compensation is commensurate with the performance of the covered employee.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125"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Itron’s management. Based on the review and discussions, the Compensation Committee has recommended to the Board of Directors that the Compensation Discussion and Analysis be included in the Company’s 2015 Annual Report on Form 10-K and the Company's 2016 proxy statement.</w:t>
      </w:r>
    </w:p>
    <w:p>
      <w:pPr>
        <w:spacing w:after="0" w:line="325" w:lineRule="exact"/>
        <w:rPr>
          <w:sz w:val="20"/>
          <w:szCs w:val="20"/>
          <w:color w:val="auto"/>
        </w:rPr>
      </w:pPr>
    </w:p>
    <w:p>
      <w:pPr>
        <w:ind w:left="538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Kirby Dyess, Chair</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Jon Eliassen</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Charles Gaylord</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Peter Mainz</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Daniel Pelino</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Diana Tremblay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TABLES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provides information regarding compensation of the Company’s NEOs during 2015. The amounts shown include amounts deferred at the executives’ election. All numbers are rounded to the nearest dollar.</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Non-Equity</w:t>
            </w: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Option</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8"/>
              </w:rPr>
              <w:t>Incentive Plan</w:t>
            </w:r>
          </w:p>
        </w:tc>
        <w:tc>
          <w:tcPr>
            <w:tcW w:w="1120" w:type="dxa"/>
            <w:vAlign w:val="bottom"/>
          </w:tcPr>
          <w:p>
            <w:pPr>
              <w:jc w:val="center"/>
              <w:spacing w:after="0" w:line="135" w:lineRule="exact"/>
              <w:rPr>
                <w:sz w:val="20"/>
                <w:szCs w:val="20"/>
                <w:color w:val="auto"/>
              </w:rPr>
            </w:pPr>
            <w:r>
              <w:rPr>
                <w:rFonts w:ascii="Arial" w:cs="Arial" w:eastAsia="Arial" w:hAnsi="Arial"/>
                <w:sz w:val="13"/>
                <w:szCs w:val="13"/>
                <w:color w:val="auto"/>
                <w:w w:val="94"/>
              </w:rPr>
              <w:t>All Other</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60"/>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240"/>
              <w:spacing w:after="0"/>
              <w:rPr>
                <w:sz w:val="20"/>
                <w:szCs w:val="20"/>
                <w:color w:val="auto"/>
              </w:rPr>
            </w:pPr>
            <w:r>
              <w:rPr>
                <w:rFonts w:ascii="Arial" w:cs="Arial" w:eastAsia="Arial" w:hAnsi="Arial"/>
                <w:sz w:val="13"/>
                <w:szCs w:val="13"/>
                <w:color w:val="auto"/>
              </w:rPr>
              <w:t>Salary</w:t>
            </w:r>
          </w:p>
        </w:tc>
        <w:tc>
          <w:tcPr>
            <w:tcW w:w="920" w:type="dxa"/>
            <w:vAlign w:val="bottom"/>
            <w:gridSpan w:val="2"/>
          </w:tcPr>
          <w:p>
            <w:pPr>
              <w:ind w:left="240"/>
              <w:spacing w:after="0"/>
              <w:rPr>
                <w:sz w:val="20"/>
                <w:szCs w:val="20"/>
                <w:color w:val="auto"/>
              </w:rPr>
            </w:pPr>
            <w:r>
              <w:rPr>
                <w:rFonts w:ascii="Arial" w:cs="Arial" w:eastAsia="Arial" w:hAnsi="Arial"/>
                <w:sz w:val="13"/>
                <w:szCs w:val="13"/>
                <w:color w:val="auto"/>
              </w:rPr>
              <w:t>Bonus</w:t>
            </w:r>
          </w:p>
        </w:tc>
        <w:tc>
          <w:tcPr>
            <w:tcW w:w="900" w:type="dxa"/>
            <w:vAlign w:val="bottom"/>
            <w:gridSpan w:val="2"/>
          </w:tcPr>
          <w:p>
            <w:pPr>
              <w:ind w:left="60"/>
              <w:spacing w:after="0"/>
              <w:rPr>
                <w:sz w:val="20"/>
                <w:szCs w:val="20"/>
                <w:color w:val="auto"/>
              </w:rPr>
            </w:pPr>
            <w:r>
              <w:rPr>
                <w:rFonts w:ascii="Arial" w:cs="Arial" w:eastAsia="Arial" w:hAnsi="Arial"/>
                <w:sz w:val="13"/>
                <w:szCs w:val="13"/>
                <w:color w:val="auto"/>
              </w:rPr>
              <w:t>Stock Awards</w:t>
            </w:r>
          </w:p>
        </w:tc>
        <w:tc>
          <w:tcPr>
            <w:tcW w:w="900" w:type="dxa"/>
            <w:vAlign w:val="bottom"/>
            <w:gridSpan w:val="2"/>
          </w:tcPr>
          <w:p>
            <w:pPr>
              <w:ind w:left="200"/>
              <w:spacing w:after="0"/>
              <w:rPr>
                <w:sz w:val="20"/>
                <w:szCs w:val="20"/>
                <w:color w:val="auto"/>
              </w:rPr>
            </w:pPr>
            <w:r>
              <w:rPr>
                <w:rFonts w:ascii="Arial" w:cs="Arial" w:eastAsia="Arial" w:hAnsi="Arial"/>
                <w:sz w:val="13"/>
                <w:szCs w:val="13"/>
                <w:color w:val="auto"/>
              </w:rPr>
              <w:t>Awards</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Compensation</w:t>
            </w:r>
          </w:p>
        </w:tc>
        <w:tc>
          <w:tcPr>
            <w:tcW w:w="1120" w:type="dxa"/>
            <w:vAlign w:val="bottom"/>
          </w:tcPr>
          <w:p>
            <w:pPr>
              <w:jc w:val="center"/>
              <w:spacing w:after="0"/>
              <w:rPr>
                <w:sz w:val="20"/>
                <w:szCs w:val="20"/>
                <w:color w:val="auto"/>
              </w:rPr>
            </w:pPr>
            <w:r>
              <w:rPr>
                <w:rFonts w:ascii="Arial" w:cs="Arial" w:eastAsia="Arial" w:hAnsi="Arial"/>
                <w:sz w:val="13"/>
                <w:szCs w:val="13"/>
                <w:color w:val="auto"/>
                <w:w w:val="85"/>
              </w:rPr>
              <w:t>Compensation</w:t>
            </w:r>
          </w:p>
        </w:tc>
        <w:tc>
          <w:tcPr>
            <w:tcW w:w="340" w:type="dxa"/>
            <w:vAlign w:val="bottom"/>
          </w:tcPr>
          <w:p>
            <w:pPr>
              <w:spacing w:after="0"/>
              <w:rPr>
                <w:sz w:val="13"/>
                <w:szCs w:val="13"/>
                <w:color w:val="auto"/>
              </w:rPr>
            </w:pPr>
          </w:p>
        </w:tc>
        <w:tc>
          <w:tcPr>
            <w:tcW w:w="1140" w:type="dxa"/>
            <w:vAlign w:val="bottom"/>
          </w:tcPr>
          <w:p>
            <w:pPr>
              <w:jc w:val="right"/>
              <w:ind w:right="377"/>
              <w:spacing w:after="0"/>
              <w:rPr>
                <w:sz w:val="20"/>
                <w:szCs w:val="20"/>
                <w:color w:val="auto"/>
              </w:rPr>
            </w:pPr>
            <w:r>
              <w:rPr>
                <w:rFonts w:ascii="Arial" w:cs="Arial" w:eastAsia="Arial" w:hAnsi="Arial"/>
                <w:sz w:val="13"/>
                <w:szCs w:val="13"/>
                <w:color w:val="auto"/>
              </w:rPr>
              <w:t>Total</w:t>
            </w:r>
          </w:p>
        </w:tc>
      </w:tr>
      <w:tr>
        <w:trPr>
          <w:trHeight w:val="280"/>
        </w:trPr>
        <w:tc>
          <w:tcPr>
            <w:tcW w:w="3000" w:type="dxa"/>
            <w:vAlign w:val="bottom"/>
            <w:gridSpan w:val="2"/>
          </w:tcPr>
          <w:p>
            <w:pPr>
              <w:ind w:left="40"/>
              <w:spacing w:after="0"/>
              <w:rPr>
                <w:sz w:val="20"/>
                <w:szCs w:val="20"/>
                <w:color w:val="auto"/>
              </w:rPr>
            </w:pPr>
            <w:r>
              <w:rPr>
                <w:rFonts w:ascii="Arial" w:cs="Arial" w:eastAsia="Arial" w:hAnsi="Arial"/>
                <w:sz w:val="13"/>
                <w:szCs w:val="13"/>
                <w:color w:val="auto"/>
              </w:rPr>
              <w:t>Name and Principal Position</w:t>
            </w:r>
          </w:p>
        </w:tc>
        <w:tc>
          <w:tcPr>
            <w:tcW w:w="920" w:type="dxa"/>
            <w:vAlign w:val="bottom"/>
            <w:gridSpan w:val="2"/>
          </w:tcPr>
          <w:p>
            <w:pPr>
              <w:ind w:left="280"/>
              <w:spacing w:after="0"/>
              <w:rPr>
                <w:sz w:val="20"/>
                <w:szCs w:val="20"/>
                <w:color w:val="auto"/>
              </w:rPr>
            </w:pPr>
            <w:r>
              <w:rPr>
                <w:rFonts w:ascii="Arial" w:cs="Arial" w:eastAsia="Arial" w:hAnsi="Arial"/>
                <w:sz w:val="13"/>
                <w:szCs w:val="13"/>
                <w:color w:val="auto"/>
              </w:rPr>
              <w:t>Year</w:t>
            </w:r>
          </w:p>
        </w:tc>
        <w:tc>
          <w:tcPr>
            <w:tcW w:w="820" w:type="dxa"/>
            <w:vAlign w:val="bottom"/>
          </w:tcPr>
          <w:p>
            <w:pPr>
              <w:jc w:val="right"/>
              <w:ind w:right="19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8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 (2)(3)</w:t>
            </w:r>
          </w:p>
        </w:tc>
        <w:tc>
          <w:tcPr>
            <w:tcW w:w="10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3"/>
                <w:szCs w:val="13"/>
                <w:color w:val="auto"/>
              </w:rPr>
              <w:t>($) (2)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0"/>
              </w:rPr>
              <w:t>($) (4)</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1140" w:type="dxa"/>
            <w:vAlign w:val="bottom"/>
          </w:tcPr>
          <w:p>
            <w:pPr>
              <w:jc w:val="right"/>
              <w:ind w:right="437"/>
              <w:spacing w:after="0"/>
              <w:rPr>
                <w:sz w:val="20"/>
                <w:szCs w:val="20"/>
                <w:color w:val="auto"/>
              </w:rPr>
            </w:pPr>
            <w:r>
              <w:rPr>
                <w:rFonts w:ascii="Arial" w:cs="Arial" w:eastAsia="Arial" w:hAnsi="Arial"/>
                <w:sz w:val="13"/>
                <w:szCs w:val="13"/>
                <w:color w:val="auto"/>
              </w:rPr>
              <w:t>($)</w:t>
            </w:r>
          </w:p>
        </w:tc>
      </w:tr>
      <w:tr>
        <w:trPr>
          <w:trHeight w:val="135"/>
        </w:trPr>
        <w:tc>
          <w:tcPr>
            <w:tcW w:w="2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Philip Mezey</w:t>
            </w:r>
          </w:p>
        </w:tc>
        <w:tc>
          <w:tcPr>
            <w:tcW w:w="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2015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830,769</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1,357,321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799,998</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45,236</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(5)</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3,033,324</w:t>
            </w:r>
          </w:p>
        </w:tc>
      </w:tr>
      <w:tr>
        <w:trPr>
          <w:trHeight w:val="262"/>
        </w:trPr>
        <w:tc>
          <w:tcPr>
            <w:tcW w:w="3000" w:type="dxa"/>
            <w:vAlign w:val="bottom"/>
            <w:gridSpan w:val="2"/>
          </w:tcPr>
          <w:p>
            <w:pPr>
              <w:ind w:left="40"/>
              <w:spacing w:after="0"/>
              <w:rPr>
                <w:sz w:val="20"/>
                <w:szCs w:val="20"/>
                <w:color w:val="auto"/>
              </w:rPr>
            </w:pPr>
            <w:r>
              <w:rPr>
                <w:rFonts w:ascii="Arial" w:cs="Arial" w:eastAsia="Arial" w:hAnsi="Arial"/>
                <w:sz w:val="13"/>
                <w:szCs w:val="13"/>
                <w:color w:val="auto"/>
              </w:rPr>
              <w:t>President and CEO</w:t>
            </w:r>
          </w:p>
        </w:tc>
        <w:tc>
          <w:tcPr>
            <w:tcW w:w="800" w:type="dxa"/>
            <w:vAlign w:val="bottom"/>
          </w:tcPr>
          <w:p>
            <w:pPr>
              <w:ind w:left="280"/>
              <w:spacing w:after="0"/>
              <w:rPr>
                <w:sz w:val="20"/>
                <w:szCs w:val="20"/>
                <w:color w:val="auto"/>
              </w:rPr>
            </w:pPr>
            <w:r>
              <w:rPr>
                <w:rFonts w:ascii="Arial" w:cs="Arial" w:eastAsia="Arial" w:hAnsi="Arial"/>
                <w:sz w:val="13"/>
                <w:szCs w:val="13"/>
                <w:color w:val="auto"/>
              </w:rPr>
              <w:t>2014</w:t>
            </w: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800,000</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1,510,723</w:t>
            </w: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799,991</w:t>
            </w:r>
          </w:p>
        </w:tc>
        <w:tc>
          <w:tcPr>
            <w:tcW w:w="12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707,869</w:t>
            </w:r>
          </w:p>
        </w:tc>
        <w:tc>
          <w:tcPr>
            <w:tcW w:w="12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24,000</w:t>
            </w:r>
          </w:p>
        </w:tc>
        <w:tc>
          <w:tcPr>
            <w:tcW w:w="340" w:type="dxa"/>
            <w:vAlign w:val="bottom"/>
          </w:tcPr>
          <w:p>
            <w:pPr>
              <w:spacing w:after="0"/>
              <w:rPr>
                <w:sz w:val="22"/>
                <w:szCs w:val="22"/>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3,842,583</w:t>
            </w:r>
          </w:p>
        </w:tc>
      </w:tr>
      <w:tr>
        <w:trPr>
          <w:trHeight w:val="278"/>
        </w:trPr>
        <w:tc>
          <w:tcPr>
            <w:tcW w:w="2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2013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800,000</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1,507,739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799,997</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29,330</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3,137,066</w:t>
            </w: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John Holleran (6)</w:t>
            </w:r>
          </w:p>
        </w:tc>
        <w:tc>
          <w:tcPr>
            <w:tcW w:w="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2015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623,077</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763,464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449,992</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676,932</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(5)</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2,513,465</w:t>
            </w:r>
          </w:p>
        </w:tc>
      </w:tr>
      <w:tr>
        <w:trPr>
          <w:trHeight w:val="262"/>
        </w:trPr>
        <w:tc>
          <w:tcPr>
            <w:tcW w:w="3000" w:type="dxa"/>
            <w:vAlign w:val="bottom"/>
            <w:gridSpan w:val="2"/>
          </w:tcPr>
          <w:p>
            <w:pPr>
              <w:ind w:left="40"/>
              <w:spacing w:after="0"/>
              <w:rPr>
                <w:sz w:val="20"/>
                <w:szCs w:val="20"/>
                <w:color w:val="auto"/>
              </w:rPr>
            </w:pPr>
            <w:r>
              <w:rPr>
                <w:rFonts w:ascii="Arial" w:cs="Arial" w:eastAsia="Arial" w:hAnsi="Arial"/>
                <w:sz w:val="13"/>
                <w:szCs w:val="13"/>
                <w:color w:val="auto"/>
              </w:rPr>
              <w:t>Former Executive Vice President and COO</w:t>
            </w:r>
          </w:p>
        </w:tc>
        <w:tc>
          <w:tcPr>
            <w:tcW w:w="800" w:type="dxa"/>
            <w:vAlign w:val="bottom"/>
          </w:tcPr>
          <w:p>
            <w:pPr>
              <w:ind w:left="280"/>
              <w:spacing w:after="0"/>
              <w:rPr>
                <w:sz w:val="20"/>
                <w:szCs w:val="20"/>
                <w:color w:val="auto"/>
              </w:rPr>
            </w:pPr>
            <w:r>
              <w:rPr>
                <w:rFonts w:ascii="Arial" w:cs="Arial" w:eastAsia="Arial" w:hAnsi="Arial"/>
                <w:sz w:val="13"/>
                <w:szCs w:val="13"/>
                <w:color w:val="auto"/>
              </w:rPr>
              <w:t>2014</w:t>
            </w: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600,000</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847,023</w:t>
            </w: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449,993</w:t>
            </w:r>
          </w:p>
        </w:tc>
        <w:tc>
          <w:tcPr>
            <w:tcW w:w="12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424,722</w:t>
            </w:r>
          </w:p>
        </w:tc>
        <w:tc>
          <w:tcPr>
            <w:tcW w:w="12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37,073</w:t>
            </w:r>
          </w:p>
        </w:tc>
        <w:tc>
          <w:tcPr>
            <w:tcW w:w="340" w:type="dxa"/>
            <w:vAlign w:val="bottom"/>
          </w:tcPr>
          <w:p>
            <w:pPr>
              <w:spacing w:after="0"/>
              <w:rPr>
                <w:sz w:val="22"/>
                <w:szCs w:val="22"/>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2,358,811</w:t>
            </w:r>
          </w:p>
        </w:tc>
      </w:tr>
      <w:tr>
        <w:trPr>
          <w:trHeight w:val="27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Advisor to the CEO</w:t>
            </w:r>
          </w:p>
        </w:tc>
        <w:tc>
          <w:tcPr>
            <w:tcW w:w="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2013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600,000</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845,638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449,995</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24,153</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1,919,786</w:t>
            </w: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Thomas Deitrich (7)(8)</w:t>
            </w:r>
          </w:p>
        </w:tc>
        <w:tc>
          <w:tcPr>
            <w:tcW w:w="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2015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126,923</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424,375</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2,999,997</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999,992</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4,551,287</w:t>
            </w:r>
          </w:p>
        </w:tc>
      </w:tr>
      <w:tr>
        <w:trPr>
          <w:trHeight w:val="254"/>
        </w:trPr>
        <w:tc>
          <w:tcPr>
            <w:tcW w:w="3000" w:type="dxa"/>
            <w:vAlign w:val="bottom"/>
            <w:gridSpan w:val="2"/>
          </w:tcPr>
          <w:p>
            <w:pPr>
              <w:ind w:left="40"/>
              <w:spacing w:after="0"/>
              <w:rPr>
                <w:sz w:val="20"/>
                <w:szCs w:val="20"/>
                <w:color w:val="auto"/>
              </w:rPr>
            </w:pPr>
            <w:r>
              <w:rPr>
                <w:rFonts w:ascii="Arial" w:cs="Arial" w:eastAsia="Arial" w:hAnsi="Arial"/>
                <w:sz w:val="13"/>
                <w:szCs w:val="13"/>
                <w:color w:val="auto"/>
              </w:rPr>
              <w:t>Executive Vice President and COO</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51"/>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 Mark Schmitz (7)(9)</w:t>
            </w:r>
          </w:p>
        </w:tc>
        <w:tc>
          <w:tcPr>
            <w:tcW w:w="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2015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479,808</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424,143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249,996</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32,583</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(5)</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1,186,530</w:t>
            </w:r>
          </w:p>
        </w:tc>
      </w:tr>
      <w:tr>
        <w:trPr>
          <w:trHeight w:val="254"/>
        </w:trPr>
        <w:tc>
          <w:tcPr>
            <w:tcW w:w="3000" w:type="dxa"/>
            <w:vAlign w:val="bottom"/>
            <w:gridSpan w:val="2"/>
          </w:tcPr>
          <w:p>
            <w:pPr>
              <w:ind w:left="40"/>
              <w:spacing w:after="0"/>
              <w:rPr>
                <w:sz w:val="20"/>
                <w:szCs w:val="20"/>
                <w:color w:val="auto"/>
              </w:rPr>
            </w:pPr>
            <w:r>
              <w:rPr>
                <w:rFonts w:ascii="Arial" w:cs="Arial" w:eastAsia="Arial" w:hAnsi="Arial"/>
                <w:sz w:val="13"/>
                <w:szCs w:val="13"/>
                <w:color w:val="auto"/>
              </w:rPr>
              <w:t>Executive Vice President and CFO</w:t>
            </w:r>
          </w:p>
        </w:tc>
        <w:tc>
          <w:tcPr>
            <w:tcW w:w="800" w:type="dxa"/>
            <w:vAlign w:val="bottom"/>
          </w:tcPr>
          <w:p>
            <w:pPr>
              <w:ind w:left="280"/>
              <w:spacing w:after="0"/>
              <w:rPr>
                <w:sz w:val="20"/>
                <w:szCs w:val="20"/>
                <w:color w:val="auto"/>
              </w:rPr>
            </w:pPr>
            <w:r>
              <w:rPr>
                <w:rFonts w:ascii="Arial" w:cs="Arial" w:eastAsia="Arial" w:hAnsi="Arial"/>
                <w:sz w:val="13"/>
                <w:szCs w:val="13"/>
                <w:color w:val="auto"/>
              </w:rPr>
              <w:t>2014</w:t>
            </w: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129,808</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335,187</w:t>
            </w: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187,490</w:t>
            </w:r>
          </w:p>
        </w:tc>
        <w:tc>
          <w:tcPr>
            <w:tcW w:w="12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80,421</w:t>
            </w:r>
          </w:p>
        </w:tc>
        <w:tc>
          <w:tcPr>
            <w:tcW w:w="12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22,272</w:t>
            </w:r>
          </w:p>
        </w:tc>
        <w:tc>
          <w:tcPr>
            <w:tcW w:w="340" w:type="dxa"/>
            <w:vAlign w:val="bottom"/>
          </w:tcPr>
          <w:p>
            <w:pPr>
              <w:spacing w:after="0"/>
              <w:rPr>
                <w:sz w:val="22"/>
                <w:szCs w:val="22"/>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755,178</w:t>
            </w:r>
          </w:p>
        </w:tc>
      </w:tr>
      <w:tr>
        <w:trPr>
          <w:trHeight w:val="151"/>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Michel Cadieux (7)</w:t>
            </w:r>
          </w:p>
        </w:tc>
        <w:tc>
          <w:tcPr>
            <w:tcW w:w="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2015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415,384</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339,321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199,996</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41,825</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(5)</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996,526</w:t>
            </w:r>
          </w:p>
        </w:tc>
      </w:tr>
      <w:tr>
        <w:trPr>
          <w:trHeight w:val="254"/>
        </w:trPr>
        <w:tc>
          <w:tcPr>
            <w:tcW w:w="3000" w:type="dxa"/>
            <w:vAlign w:val="bottom"/>
            <w:gridSpan w:val="2"/>
          </w:tcPr>
          <w:p>
            <w:pPr>
              <w:ind w:left="40"/>
              <w:spacing w:after="0"/>
              <w:rPr>
                <w:sz w:val="20"/>
                <w:szCs w:val="20"/>
                <w:color w:val="auto"/>
              </w:rPr>
            </w:pPr>
            <w:r>
              <w:rPr>
                <w:rFonts w:ascii="Arial" w:cs="Arial" w:eastAsia="Arial" w:hAnsi="Arial"/>
                <w:sz w:val="13"/>
                <w:szCs w:val="13"/>
                <w:color w:val="auto"/>
              </w:rPr>
              <w:t>Senior Vice President, Human Resources</w:t>
            </w:r>
          </w:p>
        </w:tc>
        <w:tc>
          <w:tcPr>
            <w:tcW w:w="800" w:type="dxa"/>
            <w:vAlign w:val="bottom"/>
          </w:tcPr>
          <w:p>
            <w:pPr>
              <w:ind w:left="280"/>
              <w:spacing w:after="0"/>
              <w:rPr>
                <w:sz w:val="20"/>
                <w:szCs w:val="20"/>
                <w:color w:val="auto"/>
              </w:rPr>
            </w:pPr>
            <w:r>
              <w:rPr>
                <w:rFonts w:ascii="Arial" w:cs="Arial" w:eastAsia="Arial" w:hAnsi="Arial"/>
                <w:sz w:val="13"/>
                <w:szCs w:val="13"/>
                <w:color w:val="auto"/>
              </w:rPr>
              <w:t>2014</w:t>
            </w: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321,154</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211,728</w:t>
            </w: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112,498</w:t>
            </w:r>
          </w:p>
        </w:tc>
        <w:tc>
          <w:tcPr>
            <w:tcW w:w="12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197,150</w:t>
            </w:r>
          </w:p>
        </w:tc>
        <w:tc>
          <w:tcPr>
            <w:tcW w:w="12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86,410</w:t>
            </w:r>
          </w:p>
        </w:tc>
        <w:tc>
          <w:tcPr>
            <w:tcW w:w="340" w:type="dxa"/>
            <w:vAlign w:val="bottom"/>
          </w:tcPr>
          <w:p>
            <w:pPr>
              <w:spacing w:after="0"/>
              <w:rPr>
                <w:sz w:val="22"/>
                <w:szCs w:val="22"/>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928,940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440" w:type="dxa"/>
            <w:vAlign w:val="bottom"/>
          </w:tcPr>
          <w:p>
            <w:pPr>
              <w:spacing w:after="0"/>
              <w:rPr>
                <w:sz w:val="20"/>
                <w:szCs w:val="20"/>
                <w:color w:val="auto"/>
              </w:rPr>
            </w:pPr>
            <w:r>
              <w:rPr>
                <w:rFonts w:ascii="Arial" w:cs="Arial" w:eastAsia="Arial" w:hAnsi="Arial"/>
                <w:sz w:val="13"/>
                <w:szCs w:val="13"/>
                <w:color w:val="auto"/>
              </w:rPr>
              <w:t>Shannon Votava (10)</w:t>
            </w:r>
          </w:p>
        </w:tc>
        <w:tc>
          <w:tcPr>
            <w:tcW w:w="1380" w:type="dxa"/>
            <w:vAlign w:val="bottom"/>
          </w:tcPr>
          <w:p>
            <w:pPr>
              <w:jc w:val="right"/>
              <w:ind w:right="277"/>
              <w:spacing w:after="0"/>
              <w:rPr>
                <w:sz w:val="20"/>
                <w:szCs w:val="20"/>
                <w:color w:val="auto"/>
              </w:rPr>
            </w:pPr>
            <w:r>
              <w:rPr>
                <w:rFonts w:ascii="Arial" w:cs="Arial" w:eastAsia="Arial" w:hAnsi="Arial"/>
                <w:sz w:val="13"/>
                <w:szCs w:val="13"/>
                <w:color w:val="auto"/>
              </w:rPr>
              <w:t>2015</w:t>
            </w:r>
          </w:p>
        </w:tc>
        <w:tc>
          <w:tcPr>
            <w:tcW w:w="1160" w:type="dxa"/>
            <w:vAlign w:val="bottom"/>
          </w:tcPr>
          <w:p>
            <w:pPr>
              <w:jc w:val="right"/>
              <w:ind w:right="337"/>
              <w:spacing w:after="0"/>
              <w:rPr>
                <w:sz w:val="20"/>
                <w:szCs w:val="20"/>
                <w:color w:val="auto"/>
              </w:rPr>
            </w:pPr>
            <w:r>
              <w:rPr>
                <w:rFonts w:ascii="Arial" w:cs="Arial" w:eastAsia="Arial" w:hAnsi="Arial"/>
                <w:sz w:val="13"/>
                <w:szCs w:val="13"/>
                <w:color w:val="auto"/>
              </w:rPr>
              <w:t>377,300</w:t>
            </w:r>
          </w:p>
        </w:tc>
        <w:tc>
          <w:tcPr>
            <w:tcW w:w="520" w:type="dxa"/>
            <w:vAlign w:val="bottom"/>
          </w:tcPr>
          <w:p>
            <w:pPr>
              <w:ind w:left="400"/>
              <w:spacing w:after="0"/>
              <w:rPr>
                <w:sz w:val="20"/>
                <w:szCs w:val="20"/>
                <w:color w:val="auto"/>
              </w:rPr>
            </w:pPr>
            <w:r>
              <w:rPr>
                <w:rFonts w:ascii="Arial" w:cs="Arial" w:eastAsia="Arial" w:hAnsi="Arial"/>
                <w:sz w:val="13"/>
                <w:szCs w:val="13"/>
                <w:color w:val="auto"/>
                <w:w w:val="76"/>
              </w:rPr>
              <w:t>—</w:t>
            </w:r>
          </w:p>
        </w:tc>
      </w:tr>
      <w:tr>
        <w:trPr>
          <w:trHeight w:val="270"/>
        </w:trPr>
        <w:tc>
          <w:tcPr>
            <w:tcW w:w="2440" w:type="dxa"/>
            <w:vAlign w:val="bottom"/>
          </w:tcPr>
          <w:p>
            <w:pPr>
              <w:spacing w:after="0"/>
              <w:rPr>
                <w:sz w:val="20"/>
                <w:szCs w:val="20"/>
                <w:color w:val="auto"/>
              </w:rPr>
            </w:pPr>
            <w:r>
              <w:rPr>
                <w:rFonts w:ascii="Arial" w:cs="Arial" w:eastAsia="Arial" w:hAnsi="Arial"/>
                <w:sz w:val="13"/>
                <w:szCs w:val="13"/>
                <w:color w:val="auto"/>
              </w:rPr>
              <w:t>Vice President, General Counsel</w:t>
            </w:r>
          </w:p>
        </w:tc>
        <w:tc>
          <w:tcPr>
            <w:tcW w:w="1380" w:type="dxa"/>
            <w:vAlign w:val="bottom"/>
          </w:tcPr>
          <w:p>
            <w:pPr>
              <w:jc w:val="right"/>
              <w:ind w:right="277"/>
              <w:spacing w:after="0"/>
              <w:rPr>
                <w:sz w:val="20"/>
                <w:szCs w:val="20"/>
                <w:color w:val="auto"/>
              </w:rPr>
            </w:pPr>
            <w:r>
              <w:rPr>
                <w:rFonts w:ascii="Arial" w:cs="Arial" w:eastAsia="Arial" w:hAnsi="Arial"/>
                <w:sz w:val="13"/>
                <w:szCs w:val="13"/>
                <w:color w:val="auto"/>
              </w:rPr>
              <w:t>2014</w:t>
            </w:r>
          </w:p>
        </w:tc>
        <w:tc>
          <w:tcPr>
            <w:tcW w:w="1160" w:type="dxa"/>
            <w:vAlign w:val="bottom"/>
          </w:tcPr>
          <w:p>
            <w:pPr>
              <w:jc w:val="right"/>
              <w:ind w:right="337"/>
              <w:spacing w:after="0"/>
              <w:rPr>
                <w:sz w:val="20"/>
                <w:szCs w:val="20"/>
                <w:color w:val="auto"/>
              </w:rPr>
            </w:pPr>
            <w:r>
              <w:rPr>
                <w:rFonts w:ascii="Arial" w:cs="Arial" w:eastAsia="Arial" w:hAnsi="Arial"/>
                <w:sz w:val="13"/>
                <w:szCs w:val="13"/>
                <w:color w:val="auto"/>
              </w:rPr>
              <w:t>350,000</w:t>
            </w:r>
          </w:p>
        </w:tc>
        <w:tc>
          <w:tcPr>
            <w:tcW w:w="520" w:type="dxa"/>
            <w:vAlign w:val="bottom"/>
          </w:tcPr>
          <w:p>
            <w:pPr>
              <w:ind w:left="400"/>
              <w:spacing w:after="0"/>
              <w:rPr>
                <w:sz w:val="20"/>
                <w:szCs w:val="20"/>
                <w:color w:val="auto"/>
              </w:rPr>
            </w:pPr>
            <w:r>
              <w:rPr>
                <w:rFonts w:ascii="Arial" w:cs="Arial" w:eastAsia="Arial" w:hAnsi="Arial"/>
                <w:sz w:val="13"/>
                <w:szCs w:val="13"/>
                <w:color w:val="auto"/>
                <w:w w:val="76"/>
              </w:rPr>
              <w:t>—</w:t>
            </w:r>
          </w:p>
        </w:tc>
      </w:tr>
      <w:tr>
        <w:trPr>
          <w:trHeight w:val="270"/>
        </w:trPr>
        <w:tc>
          <w:tcPr>
            <w:tcW w:w="2440" w:type="dxa"/>
            <w:vAlign w:val="bottom"/>
          </w:tcPr>
          <w:p>
            <w:pPr>
              <w:spacing w:after="0"/>
              <w:rPr>
                <w:sz w:val="20"/>
                <w:szCs w:val="20"/>
                <w:color w:val="auto"/>
              </w:rPr>
            </w:pPr>
            <w:r>
              <w:rPr>
                <w:rFonts w:ascii="Arial" w:cs="Arial" w:eastAsia="Arial" w:hAnsi="Arial"/>
                <w:sz w:val="13"/>
                <w:szCs w:val="13"/>
                <w:color w:val="auto"/>
              </w:rPr>
              <w:t>and Corporate Secretary</w:t>
            </w:r>
          </w:p>
        </w:tc>
        <w:tc>
          <w:tcPr>
            <w:tcW w:w="1380" w:type="dxa"/>
            <w:vAlign w:val="bottom"/>
          </w:tcPr>
          <w:p>
            <w:pPr>
              <w:jc w:val="right"/>
              <w:ind w:right="277"/>
              <w:spacing w:after="0"/>
              <w:rPr>
                <w:sz w:val="20"/>
                <w:szCs w:val="20"/>
                <w:color w:val="auto"/>
              </w:rPr>
            </w:pPr>
            <w:r>
              <w:rPr>
                <w:rFonts w:ascii="Arial" w:cs="Arial" w:eastAsia="Arial" w:hAnsi="Arial"/>
                <w:sz w:val="13"/>
                <w:szCs w:val="13"/>
                <w:color w:val="auto"/>
              </w:rPr>
              <w:t>2013</w:t>
            </w:r>
          </w:p>
        </w:tc>
        <w:tc>
          <w:tcPr>
            <w:tcW w:w="1160" w:type="dxa"/>
            <w:vAlign w:val="bottom"/>
          </w:tcPr>
          <w:p>
            <w:pPr>
              <w:jc w:val="right"/>
              <w:ind w:right="337"/>
              <w:spacing w:after="0"/>
              <w:rPr>
                <w:sz w:val="20"/>
                <w:szCs w:val="20"/>
                <w:color w:val="auto"/>
              </w:rPr>
            </w:pPr>
            <w:r>
              <w:rPr>
                <w:rFonts w:ascii="Arial" w:cs="Arial" w:eastAsia="Arial" w:hAnsi="Arial"/>
                <w:sz w:val="13"/>
                <w:szCs w:val="13"/>
                <w:color w:val="auto"/>
              </w:rPr>
              <w:t>350,000</w:t>
            </w:r>
          </w:p>
        </w:tc>
        <w:tc>
          <w:tcPr>
            <w:tcW w:w="520" w:type="dxa"/>
            <w:vAlign w:val="bottom"/>
          </w:tcPr>
          <w:p>
            <w:pPr>
              <w:ind w:left="400"/>
              <w:spacing w:after="0"/>
              <w:rPr>
                <w:sz w:val="20"/>
                <w:szCs w:val="20"/>
                <w:color w:val="auto"/>
              </w:rPr>
            </w:pPr>
            <w:r>
              <w:rPr>
                <w:rFonts w:ascii="Arial" w:cs="Arial" w:eastAsia="Arial" w:hAnsi="Arial"/>
                <w:sz w:val="13"/>
                <w:szCs w:val="13"/>
                <w:color w:val="auto"/>
                <w:w w:val="7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(1)  Base salaries are reflective of the 27 pay periods in 2015 (rather than the typical 26 pay periods in a year).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640" w:type="dxa"/>
            <w:vAlign w:val="bottom"/>
          </w:tcPr>
          <w:p>
            <w:pPr>
              <w:jc w:val="right"/>
              <w:ind w:right="177"/>
              <w:spacing w:after="0"/>
              <w:rPr>
                <w:sz w:val="20"/>
                <w:szCs w:val="20"/>
                <w:color w:val="auto"/>
              </w:rPr>
            </w:pPr>
            <w:r>
              <w:rPr>
                <w:rFonts w:ascii="Arial" w:cs="Arial" w:eastAsia="Arial" w:hAnsi="Arial"/>
                <w:sz w:val="13"/>
                <w:szCs w:val="13"/>
                <w:color w:val="auto"/>
                <w:w w:val="80"/>
              </w:rPr>
              <w:t>212,071</w:t>
            </w:r>
          </w:p>
        </w:tc>
        <w:tc>
          <w:tcPr>
            <w:tcW w:w="1080" w:type="dxa"/>
            <w:vAlign w:val="bottom"/>
          </w:tcPr>
          <w:p>
            <w:pPr>
              <w:jc w:val="right"/>
              <w:ind w:right="357"/>
              <w:spacing w:after="0"/>
              <w:rPr>
                <w:sz w:val="20"/>
                <w:szCs w:val="20"/>
                <w:color w:val="auto"/>
              </w:rPr>
            </w:pPr>
            <w:r>
              <w:rPr>
                <w:rFonts w:ascii="Arial" w:cs="Arial" w:eastAsia="Arial" w:hAnsi="Arial"/>
                <w:sz w:val="13"/>
                <w:szCs w:val="13"/>
                <w:color w:val="auto"/>
              </w:rPr>
              <w:t>124,992</w:t>
            </w:r>
          </w:p>
        </w:tc>
        <w:tc>
          <w:tcPr>
            <w:tcW w:w="130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7,950</w:t>
            </w:r>
          </w:p>
        </w:tc>
        <w:tc>
          <w:tcPr>
            <w:tcW w:w="600" w:type="dxa"/>
            <w:vAlign w:val="bottom"/>
          </w:tcPr>
          <w:p>
            <w:pPr>
              <w:jc w:val="right"/>
              <w:ind w:right="375"/>
              <w:spacing w:after="0"/>
              <w:rPr>
                <w:sz w:val="20"/>
                <w:szCs w:val="20"/>
                <w:color w:val="auto"/>
              </w:rPr>
            </w:pPr>
            <w:r>
              <w:rPr>
                <w:rFonts w:ascii="Arial" w:cs="Arial" w:eastAsia="Arial" w:hAnsi="Arial"/>
                <w:sz w:val="9"/>
                <w:szCs w:val="9"/>
                <w:color w:val="auto"/>
              </w:rPr>
              <w:t>(5)</w:t>
            </w:r>
          </w:p>
        </w:tc>
        <w:tc>
          <w:tcPr>
            <w:tcW w:w="820" w:type="dxa"/>
            <w:vAlign w:val="bottom"/>
          </w:tcPr>
          <w:p>
            <w:pPr>
              <w:jc w:val="right"/>
              <w:spacing w:after="0"/>
              <w:rPr>
                <w:sz w:val="20"/>
                <w:szCs w:val="20"/>
                <w:color w:val="auto"/>
              </w:rPr>
            </w:pPr>
            <w:r>
              <w:rPr>
                <w:rFonts w:ascii="Arial" w:cs="Arial" w:eastAsia="Arial" w:hAnsi="Arial"/>
                <w:sz w:val="13"/>
                <w:szCs w:val="13"/>
                <w:color w:val="auto"/>
              </w:rPr>
              <w:t>722,313</w:t>
            </w:r>
          </w:p>
        </w:tc>
      </w:tr>
      <w:tr>
        <w:trPr>
          <w:trHeight w:val="270"/>
        </w:trPr>
        <w:tc>
          <w:tcPr>
            <w:tcW w:w="640" w:type="dxa"/>
            <w:vAlign w:val="bottom"/>
          </w:tcPr>
          <w:p>
            <w:pPr>
              <w:jc w:val="right"/>
              <w:ind w:right="177"/>
              <w:spacing w:after="0"/>
              <w:rPr>
                <w:sz w:val="20"/>
                <w:szCs w:val="20"/>
                <w:color w:val="auto"/>
              </w:rPr>
            </w:pPr>
            <w:r>
              <w:rPr>
                <w:rFonts w:ascii="Arial" w:cs="Arial" w:eastAsia="Arial" w:hAnsi="Arial"/>
                <w:sz w:val="13"/>
                <w:szCs w:val="13"/>
                <w:color w:val="auto"/>
                <w:w w:val="80"/>
              </w:rPr>
              <w:t>188,212</w:t>
            </w:r>
          </w:p>
        </w:tc>
        <w:tc>
          <w:tcPr>
            <w:tcW w:w="1080" w:type="dxa"/>
            <w:vAlign w:val="bottom"/>
          </w:tcPr>
          <w:p>
            <w:pPr>
              <w:jc w:val="right"/>
              <w:ind w:right="357"/>
              <w:spacing w:after="0"/>
              <w:rPr>
                <w:sz w:val="20"/>
                <w:szCs w:val="20"/>
                <w:color w:val="auto"/>
              </w:rPr>
            </w:pPr>
            <w:r>
              <w:rPr>
                <w:rFonts w:ascii="Arial" w:cs="Arial" w:eastAsia="Arial" w:hAnsi="Arial"/>
                <w:sz w:val="13"/>
                <w:szCs w:val="13"/>
                <w:color w:val="auto"/>
              </w:rPr>
              <w:t>99,994</w:t>
            </w:r>
          </w:p>
        </w:tc>
        <w:tc>
          <w:tcPr>
            <w:tcW w:w="1300" w:type="dxa"/>
            <w:vAlign w:val="bottom"/>
          </w:tcPr>
          <w:p>
            <w:pPr>
              <w:jc w:val="right"/>
              <w:ind w:right="417"/>
              <w:spacing w:after="0"/>
              <w:rPr>
                <w:sz w:val="20"/>
                <w:szCs w:val="20"/>
                <w:color w:val="auto"/>
              </w:rPr>
            </w:pPr>
            <w:r>
              <w:rPr>
                <w:rFonts w:ascii="Arial" w:cs="Arial" w:eastAsia="Arial" w:hAnsi="Arial"/>
                <w:sz w:val="13"/>
                <w:szCs w:val="13"/>
                <w:color w:val="auto"/>
              </w:rPr>
              <w:t>133,577</w:t>
            </w:r>
          </w:p>
        </w:tc>
        <w:tc>
          <w:tcPr>
            <w:tcW w:w="820" w:type="dxa"/>
            <w:vAlign w:val="bottom"/>
          </w:tcPr>
          <w:p>
            <w:pPr>
              <w:jc w:val="right"/>
              <w:spacing w:after="0"/>
              <w:rPr>
                <w:sz w:val="20"/>
                <w:szCs w:val="20"/>
                <w:color w:val="auto"/>
              </w:rPr>
            </w:pPr>
            <w:r>
              <w:rPr>
                <w:rFonts w:ascii="Arial" w:cs="Arial" w:eastAsia="Arial" w:hAnsi="Arial"/>
                <w:sz w:val="13"/>
                <w:szCs w:val="13"/>
                <w:color w:val="auto"/>
              </w:rPr>
              <w:t>7,800</w:t>
            </w:r>
          </w:p>
        </w:tc>
        <w:tc>
          <w:tcPr>
            <w:tcW w:w="6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779,583</w:t>
            </w:r>
          </w:p>
        </w:tc>
      </w:tr>
      <w:tr>
        <w:trPr>
          <w:trHeight w:val="270"/>
        </w:trPr>
        <w:tc>
          <w:tcPr>
            <w:tcW w:w="640" w:type="dxa"/>
            <w:vAlign w:val="bottom"/>
          </w:tcPr>
          <w:p>
            <w:pPr>
              <w:jc w:val="right"/>
              <w:ind w:right="177"/>
              <w:spacing w:after="0"/>
              <w:rPr>
                <w:sz w:val="20"/>
                <w:szCs w:val="20"/>
                <w:color w:val="auto"/>
              </w:rPr>
            </w:pPr>
            <w:r>
              <w:rPr>
                <w:rFonts w:ascii="Arial" w:cs="Arial" w:eastAsia="Arial" w:hAnsi="Arial"/>
                <w:sz w:val="13"/>
                <w:szCs w:val="13"/>
                <w:color w:val="auto"/>
                <w:w w:val="80"/>
              </w:rPr>
              <w:t>187,895</w:t>
            </w:r>
          </w:p>
        </w:tc>
        <w:tc>
          <w:tcPr>
            <w:tcW w:w="1080" w:type="dxa"/>
            <w:vAlign w:val="bottom"/>
          </w:tcPr>
          <w:p>
            <w:pPr>
              <w:jc w:val="right"/>
              <w:ind w:right="357"/>
              <w:spacing w:after="0"/>
              <w:rPr>
                <w:sz w:val="20"/>
                <w:szCs w:val="20"/>
                <w:color w:val="auto"/>
              </w:rPr>
            </w:pPr>
            <w:r>
              <w:rPr>
                <w:rFonts w:ascii="Arial" w:cs="Arial" w:eastAsia="Arial" w:hAnsi="Arial"/>
                <w:sz w:val="13"/>
                <w:szCs w:val="13"/>
                <w:color w:val="auto"/>
              </w:rPr>
              <w:t>100,007</w:t>
            </w:r>
          </w:p>
        </w:tc>
        <w:tc>
          <w:tcPr>
            <w:tcW w:w="1300" w:type="dxa"/>
            <w:vAlign w:val="bottom"/>
          </w:tcPr>
          <w:p>
            <w:pPr>
              <w:jc w:val="right"/>
              <w:ind w:right="417"/>
              <w:spacing w:after="0"/>
              <w:rPr>
                <w:sz w:val="20"/>
                <w:szCs w:val="20"/>
                <w:color w:val="auto"/>
              </w:rPr>
            </w:pPr>
            <w:r>
              <w:rPr>
                <w:rFonts w:ascii="Arial" w:cs="Arial" w:eastAsia="Arial" w:hAnsi="Arial"/>
                <w:sz w:val="13"/>
                <w:szCs w:val="13"/>
                <w:color w:val="auto"/>
              </w:rPr>
              <w:t>33,775</w:t>
            </w:r>
          </w:p>
        </w:tc>
        <w:tc>
          <w:tcPr>
            <w:tcW w:w="820" w:type="dxa"/>
            <w:vAlign w:val="bottom"/>
          </w:tcPr>
          <w:p>
            <w:pPr>
              <w:jc w:val="right"/>
              <w:spacing w:after="0"/>
              <w:rPr>
                <w:sz w:val="20"/>
                <w:szCs w:val="20"/>
                <w:color w:val="auto"/>
              </w:rPr>
            </w:pPr>
            <w:r>
              <w:rPr>
                <w:rFonts w:ascii="Arial" w:cs="Arial" w:eastAsia="Arial" w:hAnsi="Arial"/>
                <w:sz w:val="13"/>
                <w:szCs w:val="13"/>
                <w:color w:val="auto"/>
              </w:rPr>
              <w:t>7,650</w:t>
            </w:r>
          </w:p>
        </w:tc>
        <w:tc>
          <w:tcPr>
            <w:tcW w:w="6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679,327</w:t>
            </w:r>
          </w:p>
        </w:tc>
      </w:tr>
    </w:tbl>
    <w:p>
      <w:pPr>
        <w:spacing w:after="0" w:line="160" w:lineRule="exact"/>
        <w:rPr>
          <w:sz w:val="20"/>
          <w:szCs w:val="20"/>
          <w:color w:val="auto"/>
        </w:rPr>
      </w:pPr>
    </w:p>
    <w:p>
      <w:pPr>
        <w:sectPr>
          <w:pgSz w:w="11900" w:h="16838" w:orient="portrait"/>
          <w:cols w:equalWidth="0" w:num="2">
            <w:col w:w="5600" w:space="460"/>
            <w:col w:w="5360"/>
          </w:cols>
          <w:pgMar w:left="240" w:top="125" w:right="239" w:bottom="1440" w:gutter="0" w:footer="0" w:header="0"/>
          <w:type w:val="continuous"/>
        </w:sectPr>
      </w:pPr>
    </w:p>
    <w:p>
      <w:pPr>
        <w:jc w:val="both"/>
        <w:ind w:left="260" w:hanging="252"/>
        <w:spacing w:after="0" w:line="238" w:lineRule="auto"/>
        <w:tabs>
          <w:tab w:leader="none" w:pos="2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 xml:space="preserve">These columns reflect the aggregate grant date fair value of awards granted under our Long-Term Incentive Plan (LTIP) and Amended and Restated 2010 Stock Incentive Plan (2010 SIP) determined in accordance with FASB ASC Topic 718. </w:t>
      </w:r>
      <w:r>
        <w:rPr>
          <w:rFonts w:ascii="Arial" w:cs="Arial" w:eastAsia="Arial" w:hAnsi="Arial"/>
          <w:sz w:val="13"/>
          <w:szCs w:val="13"/>
          <w:i w:val="1"/>
          <w:iCs w:val="1"/>
          <w:color w:val="auto"/>
        </w:rPr>
        <w:t>See Note 9</w:t>
      </w:r>
      <w:r>
        <w:rPr>
          <w:rFonts w:ascii="Arial" w:cs="Arial" w:eastAsia="Arial" w:hAnsi="Arial"/>
          <w:sz w:val="13"/>
          <w:szCs w:val="13"/>
          <w:color w:val="auto"/>
        </w:rPr>
        <w:t xml:space="preserve"> of the consolidated financial statements in our Annual Report on Form 10-K for the year ended December 31, 2015 regarding assumptions underlying the valuation of these equity awards.</w:t>
      </w:r>
    </w:p>
    <w:p>
      <w:pPr>
        <w:jc w:val="both"/>
        <w:ind w:left="260" w:hanging="252"/>
        <w:spacing w:after="0" w:line="281" w:lineRule="auto"/>
        <w:tabs>
          <w:tab w:leader="none" w:pos="260" w:val="left"/>
        </w:tabs>
        <w:numPr>
          <w:ilvl w:val="0"/>
          <w:numId w:val="43"/>
        </w:numPr>
        <w:rPr>
          <w:rFonts w:ascii="Arial" w:cs="Arial" w:eastAsia="Arial" w:hAnsi="Arial"/>
          <w:sz w:val="11"/>
          <w:szCs w:val="11"/>
          <w:color w:val="auto"/>
        </w:rPr>
      </w:pPr>
      <w:r>
        <w:rPr>
          <w:rFonts w:ascii="Arial" w:cs="Arial" w:eastAsia="Arial" w:hAnsi="Arial"/>
          <w:sz w:val="11"/>
          <w:szCs w:val="11"/>
          <w:color w:val="auto"/>
        </w:rPr>
        <w:t>Includes the grant date fair value of 2015 Performance RSUs (PRSUs) assuming target performance achievement. As the performance-contingent awards are based on separate measurements of the Company's financial performance for each year in the three-year performance cycle, FASB ASC Topic 718 requires the grant date fair value to be calculated for the portion of the award related to performance in 2015. Therefore, the value includes one-third of the target PRSUs under the three-year performance cycle. For more details on how performance is calculated, refer to “A Closer Look at Performance-Based Restricted Stock Units (PRSUs)” in this CD&amp;A. The grant date fair value of the performance related component is based upon the probable outcome for the award and is consistent with the estimate of aggregate compensation cost to be recognized over the performance period determined as of the grant date under FASB ASC Topic 718. As required under FASB ASC Topic 718, the full grant date fair value for the TSR multiplier for the entire three-year performance cycle is included in the amounts shown for 2015 (the year of grant) and was determined using a Monte Carlo valuation model on the date the PRSUs were awarded. Grant date fair values assuming maximum performance achievement for the 2015 portion of the PRSUs would be: P. Mezey - $1,090,634; J. Holleran - $613,446; T. Deitrich - $0; W. Schmitz - $340,788; M. Cadieux - $272,658; S. Votava - $170,394.</w:t>
      </w:r>
    </w:p>
    <w:p>
      <w:pPr>
        <w:spacing w:after="0" w:line="3" w:lineRule="exact"/>
        <w:rPr>
          <w:rFonts w:ascii="Arial" w:cs="Arial" w:eastAsia="Arial" w:hAnsi="Arial"/>
          <w:sz w:val="11"/>
          <w:szCs w:val="11"/>
          <w:color w:val="auto"/>
        </w:rPr>
      </w:pPr>
    </w:p>
    <w:p>
      <w:pPr>
        <w:ind w:left="260" w:hanging="252"/>
        <w:spacing w:after="0"/>
        <w:tabs>
          <w:tab w:leader="none" w:pos="2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This column reflects the cash awards earned by the NEOs under our annual incentive program.</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25" w:right="239" w:bottom="1440" w:gutter="0" w:footer="0" w:header="0"/>
          <w:type w:val="continuous"/>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040" w:type="dxa"/>
            <w:vAlign w:val="bottom"/>
            <w:gridSpan w:val="12"/>
          </w:tcPr>
          <w:p>
            <w:pPr>
              <w:spacing w:after="0"/>
              <w:rPr>
                <w:sz w:val="20"/>
                <w:szCs w:val="20"/>
                <w:color w:val="auto"/>
              </w:rPr>
            </w:pPr>
            <w:r>
              <w:rPr>
                <w:rFonts w:ascii="Arial" w:cs="Arial" w:eastAsia="Arial" w:hAnsi="Arial"/>
                <w:sz w:val="13"/>
                <w:szCs w:val="13"/>
                <w:color w:val="auto"/>
                <w:w w:val="89"/>
              </w:rPr>
              <w:t>(5)  We value these benefits based on the actual costs or charges incurred by us for the benefits. The amounts shown under "All Other Compensation" consist of the following:</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85"/>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Executive Deferred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401 (k) Company</w:t>
            </w: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Comp. Plan</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2"/>
              </w:rPr>
              <w:t>Severance Payments</w:t>
            </w:r>
          </w:p>
        </w:tc>
        <w:tc>
          <w:tcPr>
            <w:tcW w:w="1140" w:type="dxa"/>
            <w:vAlign w:val="bottom"/>
          </w:tcPr>
          <w:p>
            <w:pPr>
              <w:spacing w:after="0"/>
              <w:rPr>
                <w:sz w:val="11"/>
                <w:szCs w:val="11"/>
                <w:color w:val="auto"/>
              </w:rPr>
            </w:pPr>
          </w:p>
        </w:tc>
      </w:tr>
      <w:tr>
        <w:trPr>
          <w:trHeight w:val="170"/>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Name</w:t>
            </w: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Contributions (11)</w:t>
            </w: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Company Match (12)</w:t>
            </w:r>
          </w:p>
        </w:tc>
        <w:tc>
          <w:tcPr>
            <w:tcW w:w="1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Transportation</w:t>
            </w: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4"/>
              </w:rPr>
              <w:t>Housing Allowance</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Relocation (13)</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Gross-up (15)</w:t>
            </w: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Philip Mezey</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$7,950</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$37,286</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2"/>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John Holleran</w:t>
            </w:r>
          </w:p>
        </w:tc>
        <w:tc>
          <w:tcPr>
            <w:tcW w:w="1260" w:type="dxa"/>
            <w:vAlign w:val="bottom"/>
          </w:tcPr>
          <w:p>
            <w:pPr>
              <w:jc w:val="right"/>
              <w:spacing w:after="0"/>
              <w:rPr>
                <w:sz w:val="20"/>
                <w:szCs w:val="20"/>
                <w:color w:val="auto"/>
              </w:rPr>
            </w:pPr>
            <w:r>
              <w:rPr>
                <w:rFonts w:ascii="Arial" w:cs="Arial" w:eastAsia="Arial" w:hAnsi="Arial"/>
                <w:sz w:val="13"/>
                <w:szCs w:val="13"/>
                <w:color w:val="auto"/>
              </w:rPr>
              <w:t>7,950</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22,792</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$5,160</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$8,754</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$632,276</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Thomas Deitrich</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2"/>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W. Mark Schmitz</w:t>
            </w:r>
          </w:p>
        </w:tc>
        <w:tc>
          <w:tcPr>
            <w:tcW w:w="1260" w:type="dxa"/>
            <w:vAlign w:val="bottom"/>
          </w:tcPr>
          <w:p>
            <w:pPr>
              <w:jc w:val="right"/>
              <w:spacing w:after="0"/>
              <w:rPr>
                <w:sz w:val="20"/>
                <w:szCs w:val="20"/>
                <w:color w:val="auto"/>
              </w:rPr>
            </w:pPr>
            <w:r>
              <w:rPr>
                <w:rFonts w:ascii="Arial" w:cs="Arial" w:eastAsia="Arial" w:hAnsi="Arial"/>
                <w:sz w:val="13"/>
                <w:szCs w:val="13"/>
                <w:color w:val="auto"/>
              </w:rPr>
              <w:t>11,065</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$16,686</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$4,832</w:t>
            </w:r>
          </w:p>
        </w:tc>
      </w:tr>
      <w:tr>
        <w:trPr>
          <w:trHeight w:val="27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Michel Cadieux</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8,885</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18,994</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13,946</w:t>
            </w:r>
          </w:p>
        </w:tc>
      </w:tr>
      <w:tr>
        <w:trPr>
          <w:trHeight w:val="254"/>
        </w:trPr>
        <w:tc>
          <w:tcPr>
            <w:tcW w:w="2640" w:type="dxa"/>
            <w:vAlign w:val="bottom"/>
            <w:gridSpan w:val="2"/>
          </w:tcPr>
          <w:p>
            <w:pPr>
              <w:ind w:left="40"/>
              <w:spacing w:after="0"/>
              <w:rPr>
                <w:sz w:val="20"/>
                <w:szCs w:val="20"/>
                <w:color w:val="auto"/>
              </w:rPr>
            </w:pPr>
            <w:r>
              <w:rPr>
                <w:rFonts w:ascii="Arial" w:cs="Arial" w:eastAsia="Arial" w:hAnsi="Arial"/>
                <w:sz w:val="13"/>
                <w:szCs w:val="13"/>
                <w:color w:val="auto"/>
              </w:rPr>
              <w:t>Shannon Votava</w:t>
            </w:r>
          </w:p>
        </w:tc>
        <w:tc>
          <w:tcPr>
            <w:tcW w:w="1260" w:type="dxa"/>
            <w:vAlign w:val="bottom"/>
          </w:tcPr>
          <w:p>
            <w:pPr>
              <w:jc w:val="right"/>
              <w:spacing w:after="0"/>
              <w:rPr>
                <w:sz w:val="20"/>
                <w:szCs w:val="20"/>
                <w:color w:val="auto"/>
              </w:rPr>
            </w:pPr>
            <w:r>
              <w:rPr>
                <w:rFonts w:ascii="Arial" w:cs="Arial" w:eastAsia="Arial" w:hAnsi="Arial"/>
                <w:sz w:val="13"/>
                <w:szCs w:val="13"/>
                <w:color w:val="auto"/>
              </w:rPr>
              <w:t>7,950</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bl>
    <w:p>
      <w:pPr>
        <w:spacing w:after="0" w:line="2"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 connection with his separation from the Company as COO in October 2015, Mr. Holleran remained with the Company as Advisor to the CEO through December 31, 2015 to ensure a smooth transition.</w:t>
      </w:r>
    </w:p>
    <w:p>
      <w:pPr>
        <w:spacing w:after="0" w:line="20" w:lineRule="exact"/>
        <w:rPr>
          <w:rFonts w:ascii="Arial" w:cs="Arial" w:eastAsia="Arial" w:hAnsi="Arial"/>
          <w:sz w:val="12"/>
          <w:szCs w:val="12"/>
          <w:color w:val="auto"/>
        </w:rPr>
      </w:pPr>
    </w:p>
    <w:p>
      <w:pPr>
        <w:ind w:left="260" w:hanging="252"/>
        <w:spacing w:after="0"/>
        <w:tabs>
          <w:tab w:leader="none" w:pos="2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Mr. Deitrich and Messrs. Schmitz and Cadieux were not NEOs prior to 2015 and 2014, respectively, therefore compensation data for those years is not disclosed.</w:t>
      </w:r>
    </w:p>
    <w:p>
      <w:pPr>
        <w:ind w:left="260" w:hanging="252"/>
        <w:spacing w:after="0"/>
        <w:tabs>
          <w:tab w:leader="none" w:pos="2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Mr. Deitrich joined the Company as Executive Vice President and COO effective October 10, 2015. His base salary upon hire was $550,000 and he received a sign-on bonus of $424,375.</w:t>
      </w:r>
    </w:p>
    <w:p>
      <w:pPr>
        <w:ind w:left="260" w:hanging="252"/>
        <w:spacing w:after="0"/>
        <w:tabs>
          <w:tab w:leader="none" w:pos="2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Mr. Schmitz's salary was increased from $450,000 to $475,000 effective July 6, 2015.</w:t>
      </w:r>
    </w:p>
    <w:p>
      <w:pPr>
        <w:ind w:left="260" w:hanging="252"/>
        <w:spacing w:after="0"/>
        <w:tabs>
          <w:tab w:leader="none" w:pos="2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Ms. Votava's salary was increased from $350,000 to $367,500 effective July 6, 2015, and increased to $382,200 effective August 31, 2015.</w:t>
      </w:r>
    </w:p>
    <w:p>
      <w:pPr>
        <w:ind w:left="260" w:hanging="252"/>
        <w:spacing w:after="0"/>
        <w:tabs>
          <w:tab w:leader="none" w:pos="2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Messrs. Schmitz and Cadieux's values include Company contributions for the fourth quarter of 2014 that were paid in January 2015.</w:t>
      </w:r>
    </w:p>
    <w:p>
      <w:pPr>
        <w:ind w:left="260" w:hanging="252"/>
        <w:spacing w:after="0"/>
        <w:tabs>
          <w:tab w:leader="none" w:pos="2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Deferred compensation plan details are discussed following the Nonqualified Deferred Compensation Table.</w:t>
      </w:r>
    </w:p>
    <w:p>
      <w:pPr>
        <w:ind w:left="260" w:hanging="252"/>
        <w:spacing w:after="0" w:line="238" w:lineRule="auto"/>
        <w:tabs>
          <w:tab w:leader="none" w:pos="2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Mr. Schmitz's value represents the completion of his relocation which began in late 2014 and includes a payment for miscellaneous expenses. Mr. Cadieux's value includes temporary housing and incidental expenses while in Liberty Lake. Similar relocation benefits are provided for all management employees.</w:t>
      </w:r>
    </w:p>
    <w:p>
      <w:pPr>
        <w:ind w:left="260" w:hanging="252"/>
        <w:spacing w:after="0" w:line="238" w:lineRule="auto"/>
        <w:tabs>
          <w:tab w:leader="none" w:pos="2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severance payments made pursuant to our Executive Officer Severance Pay Policy which provides for severance pay equal to one year’s base salary, employer benefit premium payments/reimbursement for one year and outplacement assistance. Payments are subject to Mr. Holleran's compliance with the non-competition and other terms of the policy.</w:t>
      </w:r>
    </w:p>
    <w:p>
      <w:pPr>
        <w:ind w:left="260" w:hanging="252"/>
        <w:spacing w:after="0"/>
        <w:tabs>
          <w:tab w:leader="none" w:pos="2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tax gross-up payment related to the relocation benefit paid.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Grants of Plan-Based Awards Table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grants of plan-based awards to the NEOs during 2015.</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1"/>
          <w:szCs w:val="11"/>
          <w:color w:val="auto"/>
        </w:rPr>
        <w:t>Grants of Plan - 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123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40" w:type="dxa"/>
            <w:vAlign w:val="bottom"/>
            <w:gridSpan w:val="8"/>
          </w:tcPr>
          <w:p>
            <w:pPr>
              <w:jc w:val="center"/>
              <w:ind w:right="80"/>
              <w:spacing w:after="0"/>
              <w:rPr>
                <w:sz w:val="20"/>
                <w:szCs w:val="20"/>
                <w:color w:val="auto"/>
              </w:rPr>
            </w:pPr>
            <w:r>
              <w:rPr>
                <w:rFonts w:ascii="Arial" w:cs="Arial" w:eastAsia="Arial" w:hAnsi="Arial"/>
                <w:sz w:val="11"/>
                <w:szCs w:val="11"/>
                <w:color w:val="auto"/>
                <w:w w:val="90"/>
              </w:rPr>
              <w:t>Estimated Future Payouts Under Non-Equity</w:t>
            </w:r>
          </w:p>
        </w:tc>
        <w:tc>
          <w:tcPr>
            <w:tcW w:w="2460" w:type="dxa"/>
            <w:vAlign w:val="bottom"/>
            <w:gridSpan w:val="6"/>
          </w:tcPr>
          <w:p>
            <w:pPr>
              <w:jc w:val="center"/>
              <w:ind w:right="80"/>
              <w:spacing w:after="0"/>
              <w:rPr>
                <w:sz w:val="20"/>
                <w:szCs w:val="20"/>
                <w:color w:val="auto"/>
              </w:rPr>
            </w:pPr>
            <w:r>
              <w:rPr>
                <w:rFonts w:ascii="Arial" w:cs="Arial" w:eastAsia="Arial" w:hAnsi="Arial"/>
                <w:sz w:val="11"/>
                <w:szCs w:val="11"/>
                <w:color w:val="auto"/>
                <w:w w:val="89"/>
              </w:rPr>
              <w:t>Estimated Future Payouts Under Equity Incentive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5"/>
          </w:tcPr>
          <w:p>
            <w:pPr>
              <w:jc w:val="center"/>
              <w:spacing w:after="0"/>
              <w:rPr>
                <w:sz w:val="20"/>
                <w:szCs w:val="20"/>
                <w:color w:val="auto"/>
              </w:rPr>
            </w:pPr>
            <w:r>
              <w:rPr>
                <w:rFonts w:ascii="Arial" w:cs="Arial" w:eastAsia="Arial" w:hAnsi="Arial"/>
                <w:sz w:val="11"/>
                <w:szCs w:val="11"/>
                <w:color w:val="auto"/>
                <w:w w:val="88"/>
              </w:rPr>
              <w:t>Incentive Plan Awards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1"/>
                <w:szCs w:val="11"/>
                <w:color w:val="auto"/>
                <w:w w:val="87"/>
              </w:rPr>
              <w:t>Plan Awards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w w:val="93"/>
              </w:rPr>
              <w:t>All Other</w:t>
            </w: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7"/>
              </w:rPr>
              <w:t>Stock</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3"/>
              </w:rPr>
              <w:t>All Other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0"/>
              </w:rPr>
              <w:t>Awards:</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0"/>
              </w:rPr>
              <w:t>Option Awards:</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3"/>
              </w:rPr>
              <w:t>Number of</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3"/>
              </w:rPr>
              <w:t>Number of</w:t>
            </w:r>
          </w:p>
        </w:tc>
        <w:tc>
          <w:tcPr>
            <w:tcW w:w="660" w:type="dxa"/>
            <w:vAlign w:val="bottom"/>
          </w:tcPr>
          <w:p>
            <w:pPr>
              <w:jc w:val="center"/>
              <w:spacing w:after="0" w:line="122" w:lineRule="exact"/>
              <w:rPr>
                <w:sz w:val="20"/>
                <w:szCs w:val="20"/>
                <w:color w:val="auto"/>
              </w:rPr>
            </w:pPr>
            <w:r>
              <w:rPr>
                <w:rFonts w:ascii="Arial" w:cs="Arial" w:eastAsia="Arial" w:hAnsi="Arial"/>
                <w:sz w:val="11"/>
                <w:szCs w:val="11"/>
                <w:color w:val="auto"/>
                <w:w w:val="90"/>
              </w:rPr>
              <w:t>Exercise 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4"/>
              </w:rPr>
              <w:t>Shares of</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1"/>
              </w:rPr>
              <w:t>Securities</w:t>
            </w:r>
          </w:p>
        </w:tc>
        <w:tc>
          <w:tcPr>
            <w:tcW w:w="660" w:type="dxa"/>
            <w:vAlign w:val="bottom"/>
          </w:tcPr>
          <w:p>
            <w:pPr>
              <w:jc w:val="center"/>
              <w:spacing w:after="0" w:line="122" w:lineRule="exact"/>
              <w:rPr>
                <w:sz w:val="20"/>
                <w:szCs w:val="20"/>
                <w:color w:val="auto"/>
              </w:rPr>
            </w:pPr>
            <w:r>
              <w:rPr>
                <w:rFonts w:ascii="Arial" w:cs="Arial" w:eastAsia="Arial" w:hAnsi="Arial"/>
                <w:sz w:val="11"/>
                <w:szCs w:val="11"/>
                <w:color w:val="auto"/>
                <w:w w:val="88"/>
              </w:rPr>
              <w:t>Base Price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Stock or</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color w:val="auto"/>
                <w:w w:val="91"/>
              </w:rPr>
              <w:t>Underlying</w:t>
            </w:r>
          </w:p>
        </w:tc>
        <w:tc>
          <w:tcPr>
            <w:tcW w:w="660" w:type="dxa"/>
            <w:vAlign w:val="bottom"/>
          </w:tcPr>
          <w:p>
            <w:pPr>
              <w:jc w:val="center"/>
              <w:spacing w:after="0"/>
              <w:rPr>
                <w:sz w:val="20"/>
                <w:szCs w:val="20"/>
                <w:color w:val="auto"/>
              </w:rPr>
            </w:pPr>
            <w:r>
              <w:rPr>
                <w:rFonts w:ascii="Arial" w:cs="Arial" w:eastAsia="Arial" w:hAnsi="Arial"/>
                <w:sz w:val="11"/>
                <w:szCs w:val="11"/>
                <w:color w:val="auto"/>
                <w:w w:val="92"/>
              </w:rPr>
              <w:t>Option</w:t>
            </w:r>
          </w:p>
        </w:tc>
        <w:tc>
          <w:tcPr>
            <w:tcW w:w="10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color w:val="auto"/>
                <w:w w:val="92"/>
              </w:rPr>
              <w:t>Grant Date Fair</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Board or</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Threshold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1"/>
                <w:szCs w:val="11"/>
                <w:color w:val="auto"/>
                <w:w w:val="87"/>
              </w:rPr>
              <w:t>Target</w:t>
            </w:r>
          </w:p>
        </w:tc>
        <w:tc>
          <w:tcPr>
            <w:tcW w:w="760" w:type="dxa"/>
            <w:vAlign w:val="bottom"/>
            <w:gridSpan w:val="2"/>
          </w:tcPr>
          <w:p>
            <w:pPr>
              <w:ind w:left="80"/>
              <w:spacing w:after="0"/>
              <w:rPr>
                <w:sz w:val="20"/>
                <w:szCs w:val="20"/>
                <w:color w:val="auto"/>
              </w:rPr>
            </w:pPr>
            <w:r>
              <w:rPr>
                <w:rFonts w:ascii="Arial" w:cs="Arial" w:eastAsia="Arial" w:hAnsi="Arial"/>
                <w:sz w:val="11"/>
                <w:szCs w:val="11"/>
                <w:color w:val="auto"/>
              </w:rPr>
              <w:t>Maximum</w:t>
            </w:r>
          </w:p>
        </w:tc>
        <w:tc>
          <w:tcPr>
            <w:tcW w:w="780" w:type="dxa"/>
            <w:vAlign w:val="bottom"/>
            <w:gridSpan w:val="2"/>
          </w:tcPr>
          <w:p>
            <w:pPr>
              <w:ind w:left="120"/>
              <w:spacing w:after="0"/>
              <w:rPr>
                <w:sz w:val="20"/>
                <w:szCs w:val="20"/>
                <w:color w:val="auto"/>
              </w:rPr>
            </w:pPr>
            <w:r>
              <w:rPr>
                <w:rFonts w:ascii="Arial" w:cs="Arial" w:eastAsia="Arial" w:hAnsi="Arial"/>
                <w:sz w:val="11"/>
                <w:szCs w:val="11"/>
                <w:color w:val="auto"/>
              </w:rPr>
              <w:t>Threshold</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color w:val="auto"/>
                <w:w w:val="87"/>
              </w:rPr>
              <w:t>Target</w:t>
            </w:r>
          </w:p>
        </w:tc>
        <w:tc>
          <w:tcPr>
            <w:tcW w:w="780" w:type="dxa"/>
            <w:vAlign w:val="bottom"/>
            <w:gridSpan w:val="2"/>
          </w:tcPr>
          <w:p>
            <w:pPr>
              <w:ind w:left="120"/>
              <w:spacing w:after="0"/>
              <w:rPr>
                <w:sz w:val="20"/>
                <w:szCs w:val="20"/>
                <w:color w:val="auto"/>
              </w:rPr>
            </w:pPr>
            <w:r>
              <w:rPr>
                <w:rFonts w:ascii="Arial" w:cs="Arial" w:eastAsia="Arial" w:hAnsi="Arial"/>
                <w:sz w:val="11"/>
                <w:szCs w:val="11"/>
                <w:color w:val="auto"/>
              </w:rPr>
              <w:t>Maximum</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color w:val="auto"/>
                <w:w w:val="95"/>
              </w:rPr>
              <w:t>Units</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Options</w:t>
            </w:r>
          </w:p>
        </w:tc>
        <w:tc>
          <w:tcPr>
            <w:tcW w:w="660" w:type="dxa"/>
            <w:vAlign w:val="bottom"/>
          </w:tcPr>
          <w:p>
            <w:pPr>
              <w:jc w:val="center"/>
              <w:spacing w:after="0"/>
              <w:rPr>
                <w:sz w:val="20"/>
                <w:szCs w:val="20"/>
                <w:color w:val="auto"/>
              </w:rPr>
            </w:pPr>
            <w:r>
              <w:rPr>
                <w:rFonts w:ascii="Arial" w:cs="Arial" w:eastAsia="Arial" w:hAnsi="Arial"/>
                <w:sz w:val="11"/>
                <w:szCs w:val="11"/>
                <w:color w:val="auto"/>
                <w:w w:val="92"/>
              </w:rPr>
              <w:t>Awards</w:t>
            </w:r>
          </w:p>
        </w:tc>
        <w:tc>
          <w:tcPr>
            <w:tcW w:w="10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color w:val="auto"/>
                <w:w w:val="95"/>
              </w:rPr>
              <w:t>Value of Stock</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0"/>
              </w:rPr>
              <w:t>Committee</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86"/>
              <w:spacing w:after="0" w:line="122" w:lineRule="exact"/>
              <w:rPr>
                <w:sz w:val="20"/>
                <w:szCs w:val="20"/>
                <w:color w:val="auto"/>
              </w:rPr>
            </w:pPr>
            <w:r>
              <w:rPr>
                <w:rFonts w:ascii="Arial" w:cs="Arial" w:eastAsia="Arial" w:hAnsi="Arial"/>
                <w:sz w:val="11"/>
                <w:szCs w:val="11"/>
                <w:color w:val="auto"/>
                <w:w w:val="92"/>
              </w:rPr>
              <w:t>and Option</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160" w:type="dxa"/>
            <w:vAlign w:val="bottom"/>
            <w:gridSpan w:val="2"/>
          </w:tcPr>
          <w:p>
            <w:pPr>
              <w:ind w:left="40"/>
              <w:spacing w:after="0"/>
              <w:rPr>
                <w:sz w:val="20"/>
                <w:szCs w:val="20"/>
                <w:color w:val="auto"/>
              </w:rPr>
            </w:pPr>
            <w:r>
              <w:rPr>
                <w:rFonts w:ascii="Arial" w:cs="Arial" w:eastAsia="Arial" w:hAnsi="Arial"/>
                <w:sz w:val="11"/>
                <w:szCs w:val="11"/>
                <w:color w:val="auto"/>
              </w:rPr>
              <w:t>Name</w:t>
            </w:r>
          </w:p>
        </w:tc>
        <w:tc>
          <w:tcPr>
            <w:tcW w:w="800" w:type="dxa"/>
            <w:vAlign w:val="bottom"/>
          </w:tcPr>
          <w:p>
            <w:pPr>
              <w:jc w:val="right"/>
              <w:ind w:right="106"/>
              <w:spacing w:after="0"/>
              <w:rPr>
                <w:sz w:val="20"/>
                <w:szCs w:val="20"/>
                <w:color w:val="auto"/>
              </w:rPr>
            </w:pPr>
            <w:r>
              <w:rPr>
                <w:rFonts w:ascii="Arial" w:cs="Arial" w:eastAsia="Arial" w:hAnsi="Arial"/>
                <w:sz w:val="11"/>
                <w:szCs w:val="11"/>
                <w:color w:val="auto"/>
              </w:rPr>
              <w:t>Grant Date</w:t>
            </w:r>
          </w:p>
        </w:tc>
        <w:tc>
          <w:tcPr>
            <w:tcW w:w="120" w:type="dxa"/>
            <w:vAlign w:val="bottom"/>
          </w:tcPr>
          <w:p>
            <w:pPr>
              <w:spacing w:after="0"/>
              <w:rPr>
                <w:sz w:val="11"/>
                <w:szCs w:val="11"/>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1"/>
                <w:szCs w:val="11"/>
                <w:color w:val="auto"/>
                <w:w w:val="91"/>
              </w:rPr>
              <w:t>Action Date</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 (1)</w:t>
            </w:r>
          </w:p>
        </w:tc>
        <w:tc>
          <w:tcPr>
            <w:tcW w:w="880" w:type="dxa"/>
            <w:vAlign w:val="bottom"/>
            <w:gridSpan w:val="3"/>
          </w:tcPr>
          <w:p>
            <w:pPr>
              <w:jc w:val="center"/>
              <w:ind w:left="146"/>
              <w:spacing w:after="0"/>
              <w:rPr>
                <w:sz w:val="20"/>
                <w:szCs w:val="20"/>
                <w:color w:val="auto"/>
              </w:rPr>
            </w:pPr>
            <w:r>
              <w:rPr>
                <w:rFonts w:ascii="Arial" w:cs="Arial" w:eastAsia="Arial" w:hAnsi="Arial"/>
                <w:sz w:val="11"/>
                <w:szCs w:val="11"/>
                <w:color w:val="auto"/>
                <w:w w:val="93"/>
              </w:rPr>
              <w:t>($) (1)</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ind w:right="146"/>
              <w:spacing w:after="0"/>
              <w:rPr>
                <w:sz w:val="20"/>
                <w:szCs w:val="20"/>
                <w:color w:val="auto"/>
              </w:rPr>
            </w:pPr>
            <w:r>
              <w:rPr>
                <w:rFonts w:ascii="Arial" w:cs="Arial" w:eastAsia="Arial" w:hAnsi="Arial"/>
                <w:sz w:val="11"/>
                <w:szCs w:val="11"/>
                <w:color w:val="auto"/>
              </w:rPr>
              <w:t>($) (1)</w:t>
            </w:r>
          </w:p>
        </w:tc>
        <w:tc>
          <w:tcPr>
            <w:tcW w:w="100" w:type="dxa"/>
            <w:vAlign w:val="bottom"/>
          </w:tcPr>
          <w:p>
            <w:pPr>
              <w:spacing w:after="0"/>
              <w:rPr>
                <w:sz w:val="11"/>
                <w:szCs w:val="11"/>
                <w:color w:val="auto"/>
              </w:rPr>
            </w:pPr>
          </w:p>
        </w:tc>
        <w:tc>
          <w:tcPr>
            <w:tcW w:w="680" w:type="dxa"/>
            <w:vAlign w:val="bottom"/>
          </w:tcPr>
          <w:p>
            <w:pPr>
              <w:jc w:val="right"/>
              <w:ind w:right="146"/>
              <w:spacing w:after="0"/>
              <w:rPr>
                <w:sz w:val="20"/>
                <w:szCs w:val="20"/>
                <w:color w:val="auto"/>
              </w:rPr>
            </w:pPr>
            <w:r>
              <w:rPr>
                <w:rFonts w:ascii="Arial" w:cs="Arial" w:eastAsia="Arial" w:hAnsi="Arial"/>
                <w:sz w:val="11"/>
                <w:szCs w:val="11"/>
                <w:color w:val="auto"/>
              </w:rPr>
              <w:t>(#) (2)</w:t>
            </w: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93"/>
              </w:rPr>
              <w:t>(#) (2)</w:t>
            </w:r>
          </w:p>
        </w:tc>
        <w:tc>
          <w:tcPr>
            <w:tcW w:w="100" w:type="dxa"/>
            <w:vAlign w:val="bottom"/>
          </w:tcPr>
          <w:p>
            <w:pPr>
              <w:spacing w:after="0"/>
              <w:rPr>
                <w:sz w:val="11"/>
                <w:szCs w:val="11"/>
                <w:color w:val="auto"/>
              </w:rPr>
            </w:pPr>
          </w:p>
        </w:tc>
        <w:tc>
          <w:tcPr>
            <w:tcW w:w="680" w:type="dxa"/>
            <w:vAlign w:val="bottom"/>
          </w:tcPr>
          <w:p>
            <w:pPr>
              <w:jc w:val="right"/>
              <w:ind w:right="146"/>
              <w:spacing w:after="0"/>
              <w:rPr>
                <w:sz w:val="20"/>
                <w:szCs w:val="20"/>
                <w:color w:val="auto"/>
              </w:rPr>
            </w:pPr>
            <w:r>
              <w:rPr>
                <w:rFonts w:ascii="Arial" w:cs="Arial" w:eastAsia="Arial" w:hAnsi="Arial"/>
                <w:sz w:val="11"/>
                <w:szCs w:val="11"/>
                <w:color w:val="auto"/>
              </w:rPr>
              <w:t>(#) (2)</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 (3)</w:t>
            </w:r>
          </w:p>
        </w:tc>
        <w:tc>
          <w:tcPr>
            <w:tcW w:w="1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93"/>
              </w:rPr>
              <w:t>(#) (4)</w:t>
            </w:r>
          </w:p>
        </w:tc>
        <w:tc>
          <w:tcPr>
            <w:tcW w:w="1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6"/>
              </w:rPr>
              <w:t>($/Sh)</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66"/>
              <w:spacing w:after="0"/>
              <w:rPr>
                <w:sz w:val="20"/>
                <w:szCs w:val="20"/>
                <w:color w:val="auto"/>
              </w:rPr>
            </w:pPr>
            <w:r>
              <w:rPr>
                <w:rFonts w:ascii="Arial" w:cs="Arial" w:eastAsia="Arial" w:hAnsi="Arial"/>
                <w:sz w:val="11"/>
                <w:szCs w:val="11"/>
                <w:color w:val="auto"/>
              </w:rPr>
              <w:t>Awards</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Philip Mezey</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$250,000</w:t>
            </w:r>
          </w:p>
        </w:tc>
        <w:tc>
          <w:tcPr>
            <w:tcW w:w="88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$1,000,000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4"/>
              </w:rPr>
              <w:t>$1,800,000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2/19/2015</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2/19/2015</w:t>
            </w:r>
          </w:p>
        </w:tc>
        <w:tc>
          <w:tcPr>
            <w:tcW w:w="120" w:type="dxa"/>
            <w:vAlign w:val="bottom"/>
          </w:tcPr>
          <w:p>
            <w:pPr>
              <w:spacing w:after="0"/>
              <w:rPr>
                <w:sz w:val="21"/>
                <w:szCs w:val="2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22,669</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8"/>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$799,989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2/19/2015</w:t>
            </w:r>
          </w:p>
        </w:tc>
        <w:tc>
          <w:tcPr>
            <w:tcW w:w="9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2/19/2015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65,841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$35.29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$799,998</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2/19/2015</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2/19/2015</w:t>
            </w:r>
          </w:p>
        </w:tc>
        <w:tc>
          <w:tcPr>
            <w:tcW w:w="120" w:type="dxa"/>
            <w:vAlign w:val="bottom"/>
          </w:tcPr>
          <w:p>
            <w:pPr>
              <w:spacing w:after="0"/>
              <w:rPr>
                <w:sz w:val="21"/>
                <w:szCs w:val="2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17,002</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45,338</w:t>
            </w:r>
          </w:p>
        </w:tc>
        <w:tc>
          <w:tcPr>
            <w:tcW w:w="10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90,676</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8"/>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$557,332</w:t>
            </w: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157"/>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John Holleran</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   150,000</w:t>
            </w:r>
          </w:p>
        </w:tc>
        <w:tc>
          <w:tcPr>
            <w:tcW w:w="88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   600,000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89"/>
              </w:rPr>
              <w:t>$ 1,080,000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2/19/2015</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2/19/2015</w:t>
            </w:r>
          </w:p>
        </w:tc>
        <w:tc>
          <w:tcPr>
            <w:tcW w:w="120" w:type="dxa"/>
            <w:vAlign w:val="bottom"/>
          </w:tcPr>
          <w:p>
            <w:pPr>
              <w:spacing w:after="0"/>
              <w:rPr>
                <w:sz w:val="21"/>
                <w:szCs w:val="2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12,751</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8"/>
              <w:spacing w:after="0"/>
              <w:rPr>
                <w:sz w:val="20"/>
                <w:szCs w:val="20"/>
                <w:color w:val="auto"/>
              </w:rPr>
            </w:pPr>
            <w:r>
              <w:rPr>
                <w:rFonts w:ascii="Arial" w:cs="Arial" w:eastAsia="Arial" w:hAnsi="Arial"/>
                <w:sz w:val="11"/>
                <w:szCs w:val="11"/>
                <w:color w:val="auto"/>
              </w:rPr>
              <w:t>—</w:t>
            </w:r>
          </w:p>
        </w:tc>
        <w:tc>
          <w:tcPr>
            <w:tcW w:w="220" w:type="dxa"/>
            <w:vAlign w:val="bottom"/>
            <w:gridSpan w:val="2"/>
          </w:tcPr>
          <w:p>
            <w:pPr>
              <w:ind w:left="140"/>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449,983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2/19/2015</w:t>
            </w:r>
          </w:p>
        </w:tc>
        <w:tc>
          <w:tcPr>
            <w:tcW w:w="9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2/19/2015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37,035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w w:val="94"/>
              </w:rPr>
              <w:t>$35.29</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449,992</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2/19/2015</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2/19/2015</w:t>
            </w:r>
          </w:p>
        </w:tc>
        <w:tc>
          <w:tcPr>
            <w:tcW w:w="120" w:type="dxa"/>
            <w:vAlign w:val="bottom"/>
          </w:tcPr>
          <w:p>
            <w:pPr>
              <w:spacing w:after="0"/>
              <w:rPr>
                <w:sz w:val="21"/>
                <w:szCs w:val="2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9,563</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25,502</w:t>
            </w:r>
          </w:p>
        </w:tc>
        <w:tc>
          <w:tcPr>
            <w:tcW w:w="10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51,004</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8"/>
              <w:spacing w:after="0"/>
              <w:rPr>
                <w:sz w:val="20"/>
                <w:szCs w:val="20"/>
                <w:color w:val="auto"/>
              </w:rPr>
            </w:pPr>
            <w:r>
              <w:rPr>
                <w:rFonts w:ascii="Arial" w:cs="Arial" w:eastAsia="Arial" w:hAnsi="Arial"/>
                <w:sz w:val="11"/>
                <w:szCs w:val="11"/>
                <w:color w:val="auto"/>
              </w:rPr>
              <w:t>—</w:t>
            </w:r>
          </w:p>
        </w:tc>
        <w:tc>
          <w:tcPr>
            <w:tcW w:w="220" w:type="dxa"/>
            <w:vAlign w:val="bottom"/>
            <w:gridSpan w:val="2"/>
          </w:tcPr>
          <w:p>
            <w:pPr>
              <w:ind w:left="140"/>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313,481</w:t>
            </w: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157"/>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Thomas Deitrich</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$30,890</w:t>
            </w:r>
          </w:p>
        </w:tc>
        <w:tc>
          <w:tcPr>
            <w:tcW w:w="88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$123,562</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$222,411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12/10/2015</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12/10/2015</w:t>
            </w:r>
          </w:p>
        </w:tc>
        <w:tc>
          <w:tcPr>
            <w:tcW w:w="120" w:type="dxa"/>
            <w:vAlign w:val="bottom"/>
          </w:tcPr>
          <w:p>
            <w:pPr>
              <w:spacing w:after="0"/>
              <w:rPr>
                <w:sz w:val="21"/>
                <w:szCs w:val="2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85,397</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8"/>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w w:val="98"/>
              </w:rPr>
              <w:t>$2,999,997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12/10/2015</w:t>
            </w:r>
          </w:p>
        </w:tc>
        <w:tc>
          <w:tcPr>
            <w:tcW w:w="9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12/10/2015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83,779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$35.13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$999,992</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 Mark Schmitz</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$89,063</w:t>
            </w:r>
          </w:p>
        </w:tc>
        <w:tc>
          <w:tcPr>
            <w:tcW w:w="88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$356,250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$641,250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2/19/2015</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2/19/2015</w:t>
            </w:r>
          </w:p>
        </w:tc>
        <w:tc>
          <w:tcPr>
            <w:tcW w:w="120" w:type="dxa"/>
            <w:vAlign w:val="bottom"/>
          </w:tcPr>
          <w:p>
            <w:pPr>
              <w:spacing w:after="0"/>
              <w:rPr>
                <w:sz w:val="21"/>
                <w:szCs w:val="2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7,084</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8"/>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$249,994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2/19/2015</w:t>
            </w:r>
          </w:p>
        </w:tc>
        <w:tc>
          <w:tcPr>
            <w:tcW w:w="9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2/19/2015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20,575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$35.29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$249,996</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2/19/2015</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2/19/2015</w:t>
            </w:r>
          </w:p>
        </w:tc>
        <w:tc>
          <w:tcPr>
            <w:tcW w:w="120" w:type="dxa"/>
            <w:vAlign w:val="bottom"/>
          </w:tcPr>
          <w:p>
            <w:pPr>
              <w:spacing w:after="0"/>
              <w:rPr>
                <w:sz w:val="21"/>
                <w:szCs w:val="2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5,313</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14,168</w:t>
            </w:r>
          </w:p>
        </w:tc>
        <w:tc>
          <w:tcPr>
            <w:tcW w:w="10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28,336</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8"/>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$174,148</w:t>
            </w: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157"/>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Michel Cadieux</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$75,000</w:t>
            </w:r>
          </w:p>
        </w:tc>
        <w:tc>
          <w:tcPr>
            <w:tcW w:w="88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$540,000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2/19/2015</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2/19/2015</w:t>
            </w:r>
          </w:p>
        </w:tc>
        <w:tc>
          <w:tcPr>
            <w:tcW w:w="120" w:type="dxa"/>
            <w:vAlign w:val="bottom"/>
          </w:tcPr>
          <w:p>
            <w:pPr>
              <w:spacing w:after="0"/>
              <w:rPr>
                <w:sz w:val="21"/>
                <w:szCs w:val="2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5,667</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8"/>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$199,988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2/19/2015</w:t>
            </w:r>
          </w:p>
        </w:tc>
        <w:tc>
          <w:tcPr>
            <w:tcW w:w="9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2/19/2015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16,460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$35.29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$199,996</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2/19/2015</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2/19/2015</w:t>
            </w:r>
          </w:p>
        </w:tc>
        <w:tc>
          <w:tcPr>
            <w:tcW w:w="120" w:type="dxa"/>
            <w:vAlign w:val="bottom"/>
          </w:tcPr>
          <w:p>
            <w:pPr>
              <w:spacing w:after="0"/>
              <w:rPr>
                <w:sz w:val="21"/>
                <w:szCs w:val="2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4,250</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11,334</w:t>
            </w:r>
          </w:p>
        </w:tc>
        <w:tc>
          <w:tcPr>
            <w:tcW w:w="10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22,668</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8"/>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$139,333</w:t>
            </w: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157"/>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Shannon Votava</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$49,869</w:t>
            </w:r>
          </w:p>
        </w:tc>
        <w:tc>
          <w:tcPr>
            <w:tcW w:w="880" w:type="dxa"/>
            <w:vAlign w:val="bottom"/>
            <w:tcBorders>
              <w:bottom w:val="single" w:sz="8" w:color="CCEEFF"/>
            </w:tcBorders>
            <w:gridSpan w:val="3"/>
            <w:shd w:val="clear" w:color="auto" w:fill="CCEEFF"/>
          </w:tcPr>
          <w:p>
            <w:pPr>
              <w:jc w:val="right"/>
              <w:ind w:right="66"/>
              <w:spacing w:after="0"/>
              <w:rPr>
                <w:sz w:val="20"/>
                <w:szCs w:val="20"/>
                <w:color w:val="auto"/>
              </w:rPr>
            </w:pPr>
            <w:r>
              <w:rPr>
                <w:rFonts w:ascii="Arial" w:cs="Arial" w:eastAsia="Arial" w:hAnsi="Arial"/>
                <w:sz w:val="11"/>
                <w:szCs w:val="11"/>
                <w:color w:val="auto"/>
              </w:rPr>
              <w:t>$199,477</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$359,058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2/19/2015</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2/19/2015</w:t>
            </w:r>
          </w:p>
        </w:tc>
        <w:tc>
          <w:tcPr>
            <w:tcW w:w="120" w:type="dxa"/>
            <w:vAlign w:val="bottom"/>
          </w:tcPr>
          <w:p>
            <w:pPr>
              <w:spacing w:after="0"/>
              <w:rPr>
                <w:sz w:val="21"/>
                <w:szCs w:val="2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3,542</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8"/>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$124,997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2/19/2015</w:t>
            </w:r>
          </w:p>
        </w:tc>
        <w:tc>
          <w:tcPr>
            <w:tcW w:w="9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2/19/2015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10,287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$35.29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$124,992</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2/19/2015</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2/19/2015</w:t>
            </w:r>
          </w:p>
        </w:tc>
        <w:tc>
          <w:tcPr>
            <w:tcW w:w="120" w:type="dxa"/>
            <w:vAlign w:val="bottom"/>
          </w:tcPr>
          <w:p>
            <w:pPr>
              <w:spacing w:after="0"/>
              <w:rPr>
                <w:sz w:val="21"/>
                <w:szCs w:val="2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2,657</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7,084</w:t>
            </w:r>
          </w:p>
        </w:tc>
        <w:tc>
          <w:tcPr>
            <w:tcW w:w="10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14,168</w:t>
            </w: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8"/>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$87,074</w:t>
            </w:r>
          </w:p>
        </w:tc>
        <w:tc>
          <w:tcPr>
            <w:tcW w:w="220" w:type="dxa"/>
            <w:vAlign w:val="bottom"/>
          </w:tcPr>
          <w:p>
            <w:pPr>
              <w:jc w:val="right"/>
              <w:ind w:right="35"/>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60" w:hanging="252"/>
        <w:spacing w:after="0" w:line="246" w:lineRule="auto"/>
        <w:tabs>
          <w:tab w:leader="none" w:pos="2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 xml:space="preserve">Represents threshold, target and maximum opportunity under the Company's annual incentive program for fiscal 2015. The annual incentive program was cancelled for 2015 and no awards were earned. Our annual incentive program is discussed under the caption </w:t>
      </w:r>
      <w:r>
        <w:rPr>
          <w:rFonts w:ascii="Arial" w:cs="Arial" w:eastAsia="Arial" w:hAnsi="Arial"/>
          <w:sz w:val="13"/>
          <w:szCs w:val="13"/>
          <w:i w:val="1"/>
          <w:iCs w:val="1"/>
          <w:color w:val="auto"/>
        </w:rPr>
        <w:t>"Annual Cash Incentives - The Executive Management Incentive Plan (EMIP)</w:t>
      </w:r>
      <w:r>
        <w:rPr>
          <w:rFonts w:ascii="Arial" w:cs="Arial" w:eastAsia="Arial" w:hAnsi="Arial"/>
          <w:sz w:val="13"/>
          <w:szCs w:val="13"/>
          <w:color w:val="auto"/>
        </w:rPr>
        <w:t>" in the CD&amp;A.</w:t>
      </w:r>
    </w:p>
    <w:p>
      <w:pPr>
        <w:ind w:left="260" w:right="20" w:hanging="252"/>
        <w:spacing w:after="0" w:line="238" w:lineRule="auto"/>
        <w:tabs>
          <w:tab w:leader="none" w:pos="2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 xml:space="preserve">Represents range of possible PRSU payouts for the three-year performance cycle beginning in 2015; earned PRSU awards are paid in Itron common stock. Our PRSUs are discussed under the caption </w:t>
      </w:r>
      <w:r>
        <w:rPr>
          <w:rFonts w:ascii="Arial" w:cs="Arial" w:eastAsia="Arial" w:hAnsi="Arial"/>
          <w:sz w:val="13"/>
          <w:szCs w:val="13"/>
          <w:i w:val="1"/>
          <w:iCs w:val="1"/>
          <w:color w:val="auto"/>
        </w:rPr>
        <w:t>"A Closer Look at</w:t>
      </w:r>
      <w:r>
        <w:rPr>
          <w:rFonts w:ascii="Arial" w:cs="Arial" w:eastAsia="Arial" w:hAnsi="Arial"/>
          <w:sz w:val="13"/>
          <w:szCs w:val="13"/>
          <w:color w:val="auto"/>
        </w:rPr>
        <w:t xml:space="preserve"> </w:t>
      </w:r>
      <w:r>
        <w:rPr>
          <w:rFonts w:ascii="Arial" w:cs="Arial" w:eastAsia="Arial" w:hAnsi="Arial"/>
          <w:sz w:val="13"/>
          <w:szCs w:val="13"/>
          <w:i w:val="1"/>
          <w:iCs w:val="1"/>
          <w:color w:val="auto"/>
        </w:rPr>
        <w:t>Performance-Based Restricted Stock Units (PRSUs)"</w:t>
      </w:r>
      <w:r>
        <w:rPr>
          <w:rFonts w:ascii="Arial" w:cs="Arial" w:eastAsia="Arial" w:hAnsi="Arial"/>
          <w:sz w:val="13"/>
          <w:szCs w:val="13"/>
          <w:color w:val="auto"/>
        </w:rPr>
        <w:t>in the CD&amp;A.</w:t>
      </w:r>
    </w:p>
    <w:p>
      <w:pPr>
        <w:ind w:left="260" w:hanging="252"/>
        <w:spacing w:after="0"/>
        <w:tabs>
          <w:tab w:leader="none" w:pos="2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Amounts shown in this column reflect the number of time-vested RSUs granted under our 2010 SIP.</w:t>
      </w:r>
    </w:p>
    <w:p>
      <w:pPr>
        <w:ind w:left="260" w:hanging="252"/>
        <w:spacing w:after="0"/>
        <w:tabs>
          <w:tab w:leader="none" w:pos="2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Amounts shown in this column reflect the number of options granted under our 2010 SIP.</w:t>
      </w:r>
    </w:p>
    <w:p>
      <w:pPr>
        <w:ind w:left="260" w:hanging="252"/>
        <w:spacing w:after="0" w:line="239" w:lineRule="auto"/>
        <w:tabs>
          <w:tab w:leader="none" w:pos="2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 xml:space="preserve">Amounts shown are based on target performance achievement for the 2015 portion of the three-year performance cycle. As required under FASB ASC Topic 718, includes the value of the award contingent upon the Company's financial performance and the full grant date fair value for the TSR multiplier. </w:t>
      </w:r>
      <w:r>
        <w:rPr>
          <w:rFonts w:ascii="Arial" w:cs="Arial" w:eastAsia="Arial" w:hAnsi="Arial"/>
          <w:sz w:val="13"/>
          <w:szCs w:val="13"/>
          <w:i w:val="1"/>
          <w:iCs w:val="1"/>
          <w:color w:val="auto"/>
        </w:rPr>
        <w:t>See footnote 2 of the Summary Compensation Table</w:t>
      </w:r>
      <w:r>
        <w:rPr>
          <w:rFonts w:ascii="Arial" w:cs="Arial" w:eastAsia="Arial" w:hAnsi="Arial"/>
          <w:sz w:val="13"/>
          <w:szCs w:val="13"/>
          <w:color w:val="auto"/>
        </w:rPr>
        <w:t xml:space="preserve"> for further details.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non-equity incentive awards included in this table and also set forth in the Summary Compensation Table represent the annual incentive component of our executives’ compensation. These potential payout awards are paid in cash as a percentage of each of the NEO’s salary, based upon achievement of certain pre-determined financial performance criteria. There was no payout of non-equity incentive awards for 2015. For more details, refer to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- 2015 Executive Compensation Program in Detail” </w:t>
      </w:r>
      <w:r>
        <w:rPr>
          <w:rFonts w:ascii="Arial" w:cs="Arial" w:eastAsia="Arial" w:hAnsi="Arial"/>
          <w:sz w:val="18"/>
          <w:szCs w:val="18"/>
          <w:color w:val="auto"/>
        </w:rPr>
        <w:t>section of this CD&amp;A.</w:t>
      </w:r>
    </w:p>
    <w:p>
      <w:pPr>
        <w:spacing w:after="0" w:line="14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Under the Company’s LTIP for the 2013 three-year performance period (2013-2015), the threshold level of performance for the years 2013 and 2015 were not achieved. (For the first year of the new three-year performance period implemented in 2013, there is a 2-year (33.3% of the potential) and a 3-year (66.7% of the potential) component.) The amounts included in the “All Other Stock Awards” column and in the “All Other Option Awards” column represent time-vested RSUs and stock options, respectively, both of which were issued under the Company’s Amended and Restated 2010 Stock Incentive Plan (2010 SIP). For further details on these awards, </w:t>
      </w:r>
      <w:r>
        <w:rPr>
          <w:rFonts w:ascii="Arial" w:cs="Arial" w:eastAsia="Arial" w:hAnsi="Arial"/>
          <w:sz w:val="16"/>
          <w:szCs w:val="16"/>
          <w:i w:val="1"/>
          <w:iCs w:val="1"/>
          <w:color w:val="auto"/>
        </w:rPr>
        <w:t>see “EXECUTIVE COMPENSATION - 2015 Executive Compensation Program in Detail”</w:t>
      </w:r>
      <w:r>
        <w:rPr>
          <w:rFonts w:ascii="Arial" w:cs="Arial" w:eastAsia="Arial" w:hAnsi="Arial"/>
          <w:sz w:val="16"/>
          <w:szCs w:val="16"/>
          <w:color w:val="auto"/>
        </w:rPr>
        <w:t xml:space="preserve"> in this CD&amp;A.</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Upon Mr. Holleran’s separation from the Company at the end of 2015, he received compensation and benefits consistent with our Severance Policy, which is summarized under </w:t>
      </w:r>
      <w:r>
        <w:rPr>
          <w:rFonts w:ascii="Arial" w:cs="Arial" w:eastAsia="Arial" w:hAnsi="Arial"/>
          <w:sz w:val="18"/>
          <w:szCs w:val="18"/>
          <w:i w:val="1"/>
          <w:iCs w:val="1"/>
          <w:color w:val="auto"/>
        </w:rPr>
        <w:t>“Potential Payments upon Termination - Executive Officer Severance Policy.”</w:t>
      </w:r>
    </w:p>
    <w:p>
      <w:pPr>
        <w:sectPr>
          <w:pgSz w:w="11900" w:h="16838" w:orient="portrait"/>
          <w:cols w:equalWidth="0" w:num="1">
            <w:col w:w="11420"/>
          </w:cols>
          <w:pgMar w:left="240" w:top="125"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1420"/>
          </w:cols>
          <w:pgMar w:left="240" w:top="125" w:right="239" w:bottom="1440" w:gutter="0" w:footer="0" w:header="0"/>
          <w:type w:val="continuous"/>
        </w:sectPr>
      </w:pPr>
    </w:p>
    <w:bookmarkStart w:id="146" w:name="page147"/>
    <w:bookmarkEnd w:id="146"/>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Outstanding Equity Awards at Fiscal Year-End Table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outstanding equity awards held by each NEO as of December 31, 2015.</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jc w:val="right"/>
        <w:ind w:right="2180"/>
        <w:spacing w:after="0"/>
        <w:tabs>
          <w:tab w:leader="none" w:pos="680" w:val="left"/>
        </w:tabs>
        <w:rPr>
          <w:sz w:val="20"/>
          <w:szCs w:val="20"/>
          <w:color w:val="auto"/>
        </w:rPr>
      </w:pPr>
      <w:r>
        <w:rPr>
          <w:rFonts w:ascii="Arial" w:cs="Arial" w:eastAsia="Arial" w:hAnsi="Arial"/>
          <w:sz w:val="13"/>
          <w:szCs w:val="13"/>
          <w:color w:val="auto"/>
        </w:rPr>
        <w:t>Option Awards</w:t>
      </w:r>
      <w:r>
        <w:rPr>
          <w:sz w:val="20"/>
          <w:szCs w:val="20"/>
          <w:color w:val="auto"/>
        </w:rPr>
        <w:tab/>
      </w:r>
      <w:r>
        <w:rPr>
          <w:rFonts w:ascii="Arial" w:cs="Arial" w:eastAsia="Arial" w:hAnsi="Arial"/>
          <w:sz w:val="11"/>
          <w:szCs w:val="1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17145</wp:posOffset>
            </wp:positionV>
            <wp:extent cx="58489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Number of</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8"/>
              </w:rPr>
              <w:t>Number of</w:t>
            </w: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7"/>
              </w:rPr>
              <w:t>Securities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88"/>
              </w:rPr>
              <w:t>Equity Incentive Plan</w:t>
            </w: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Securities</w:t>
            </w: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3"/>
              </w:rPr>
              <w:t>Underlying</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87"/>
              </w:rPr>
              <w:t>Number of Shares</w:t>
            </w:r>
          </w:p>
        </w:tc>
        <w:tc>
          <w:tcPr>
            <w:tcW w:w="220" w:type="dxa"/>
            <w:vAlign w:val="bottom"/>
          </w:tcPr>
          <w:p>
            <w:pPr>
              <w:spacing w:after="0"/>
              <w:rPr>
                <w:sz w:val="11"/>
                <w:szCs w:val="11"/>
                <w:color w:val="auto"/>
              </w:rPr>
            </w:pP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0"/>
              </w:rPr>
              <w:t>Market Value of</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89"/>
              </w:rPr>
              <w:t>Awards: Number of</w:t>
            </w: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3"/>
              </w:rPr>
              <w:t>Underlying</w:t>
            </w: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5"/>
              </w:rPr>
              <w:t>Unexercised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0"/>
              </w:rPr>
              <w:t>or Units of Stock</w:t>
            </w:r>
          </w:p>
        </w:tc>
        <w:tc>
          <w:tcPr>
            <w:tcW w:w="220" w:type="dxa"/>
            <w:vAlign w:val="bottom"/>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Shares or Units of</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83"/>
              </w:rPr>
              <w:t>Unearned Shares,</w:t>
            </w: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5"/>
              </w:rPr>
              <w:t>Unexercised</w:t>
            </w: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9"/>
              </w:rPr>
              <w:t>Options</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8"/>
              </w:rPr>
              <w:t>Option</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3"/>
              </w:rPr>
              <w:t>Option</w:t>
            </w: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88"/>
              </w:rPr>
              <w:t>That Have Not</w:t>
            </w:r>
          </w:p>
        </w:tc>
        <w:tc>
          <w:tcPr>
            <w:tcW w:w="220" w:type="dxa"/>
            <w:vAlign w:val="bottom"/>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Stock That Have</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88"/>
              </w:rPr>
              <w:t>Units or Other Rights</w:t>
            </w:r>
          </w:p>
        </w:tc>
      </w:tr>
      <w:tr>
        <w:trPr>
          <w:trHeight w:val="160"/>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color w:val="auto"/>
                <w:w w:val="84"/>
              </w:rPr>
              <w:t>Options</w:t>
            </w: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Unexercisable</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Exercise Price</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Expiration</w:t>
            </w:r>
          </w:p>
        </w:tc>
        <w:tc>
          <w:tcPr>
            <w:tcW w:w="1020" w:type="dxa"/>
            <w:vAlign w:val="bottom"/>
          </w:tcPr>
          <w:p>
            <w:pPr>
              <w:jc w:val="center"/>
              <w:spacing w:after="0"/>
              <w:rPr>
                <w:sz w:val="20"/>
                <w:szCs w:val="20"/>
                <w:color w:val="auto"/>
              </w:rPr>
            </w:pPr>
            <w:r>
              <w:rPr>
                <w:rFonts w:ascii="Arial" w:cs="Arial" w:eastAsia="Arial" w:hAnsi="Arial"/>
                <w:sz w:val="13"/>
                <w:szCs w:val="13"/>
                <w:color w:val="auto"/>
                <w:w w:val="83"/>
              </w:rPr>
              <w:t>Vested</w:t>
            </w:r>
          </w:p>
        </w:tc>
        <w:tc>
          <w:tcPr>
            <w:tcW w:w="22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Not Vested</w:t>
            </w:r>
          </w:p>
        </w:tc>
        <w:tc>
          <w:tcPr>
            <w:tcW w:w="1240" w:type="dxa"/>
            <w:vAlign w:val="bottom"/>
          </w:tcPr>
          <w:p>
            <w:pPr>
              <w:jc w:val="center"/>
              <w:spacing w:after="0"/>
              <w:rPr>
                <w:sz w:val="20"/>
                <w:szCs w:val="20"/>
                <w:color w:val="auto"/>
              </w:rPr>
            </w:pPr>
            <w:r>
              <w:rPr>
                <w:rFonts w:ascii="Arial" w:cs="Arial" w:eastAsia="Arial" w:hAnsi="Arial"/>
                <w:sz w:val="13"/>
                <w:szCs w:val="13"/>
                <w:color w:val="auto"/>
                <w:w w:val="87"/>
              </w:rPr>
              <w:t>That Have Not Vested</w:t>
            </w:r>
          </w:p>
        </w:tc>
      </w:tr>
      <w:tr>
        <w:trPr>
          <w:trHeight w:val="280"/>
        </w:trPr>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Name</w:t>
            </w:r>
          </w:p>
        </w:tc>
        <w:tc>
          <w:tcPr>
            <w:tcW w:w="120" w:type="dxa"/>
            <w:vAlign w:val="bottom"/>
          </w:tcPr>
          <w:p>
            <w:pPr>
              <w:spacing w:after="0"/>
              <w:rPr>
                <w:sz w:val="24"/>
                <w:szCs w:val="24"/>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Grant Date</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w:t>
            </w:r>
          </w:p>
        </w:tc>
        <w:tc>
          <w:tcPr>
            <w:tcW w:w="14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 (1)</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w:t>
            </w:r>
          </w:p>
        </w:tc>
        <w:tc>
          <w:tcPr>
            <w:tcW w:w="12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Date</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w:t>
            </w:r>
          </w:p>
        </w:tc>
        <w:tc>
          <w:tcPr>
            <w:tcW w:w="2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 (5)</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416"/>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Philip Mezey</w:t>
            </w:r>
          </w:p>
        </w:tc>
        <w:tc>
          <w:tcPr>
            <w:tcW w:w="920" w:type="dxa"/>
            <w:vAlign w:val="bottom"/>
          </w:tcPr>
          <w:p>
            <w:pPr>
              <w:jc w:val="right"/>
              <w:spacing w:after="0"/>
              <w:rPr>
                <w:sz w:val="20"/>
                <w:szCs w:val="20"/>
                <w:color w:val="auto"/>
              </w:rPr>
            </w:pPr>
            <w:r>
              <w:rPr>
                <w:rFonts w:ascii="Arial" w:cs="Arial" w:eastAsia="Arial" w:hAnsi="Arial"/>
                <w:sz w:val="13"/>
                <w:szCs w:val="13"/>
                <w:color w:val="auto"/>
              </w:rPr>
              <w:t>8/7/2006</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16,000</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$48.51</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8/7/2016</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5/14/2007</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20,000</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$67.43</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5/14/2017</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5/5/2008</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20,000</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$95.78</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5/5/2018</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2/11/2010</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8,610</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$61.56</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2/11/2020</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2/24/2011</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8,810</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$56.65</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2/24/2021</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2/16/2012</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11,398</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$48.23</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2/16/2022</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11/15/2012</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140,570</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$41.36</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11/15/2022</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2/22/2013</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34,180</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17,090</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$43.38</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2/22/2023</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2/22/2013</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6,147</w:t>
            </w:r>
          </w:p>
        </w:tc>
        <w:tc>
          <w:tcPr>
            <w:tcW w:w="220" w:type="dxa"/>
            <w:vAlign w:val="bottom"/>
          </w:tcPr>
          <w:p>
            <w:pPr>
              <w:jc w:val="right"/>
              <w:ind w:right="15"/>
              <w:spacing w:after="0"/>
              <w:rPr>
                <w:sz w:val="20"/>
                <w:szCs w:val="20"/>
                <w:color w:val="auto"/>
              </w:rPr>
            </w:pPr>
            <w:r>
              <w:rPr>
                <w:rFonts w:ascii="Arial" w:cs="Arial" w:eastAsia="Arial" w:hAnsi="Arial"/>
                <w:sz w:val="9"/>
                <w:szCs w:val="9"/>
                <w:color w:val="auto"/>
              </w:rPr>
              <w:t>(2)</w:t>
            </w:r>
          </w:p>
        </w:tc>
        <w:tc>
          <w:tcPr>
            <w:tcW w:w="1040" w:type="dxa"/>
            <w:vAlign w:val="bottom"/>
          </w:tcPr>
          <w:p>
            <w:pPr>
              <w:jc w:val="right"/>
              <w:spacing w:after="0"/>
              <w:rPr>
                <w:sz w:val="20"/>
                <w:szCs w:val="20"/>
                <w:color w:val="auto"/>
              </w:rPr>
            </w:pPr>
            <w:r>
              <w:rPr>
                <w:rFonts w:ascii="Arial" w:cs="Arial" w:eastAsia="Arial" w:hAnsi="Arial"/>
                <w:sz w:val="13"/>
                <w:szCs w:val="13"/>
                <w:color w:val="auto"/>
              </w:rPr>
              <w:t>$222,398</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2/21/2014</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19,652</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39,305</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$35.05</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2/21/2024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2/21/2014</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15,216</w:t>
            </w:r>
          </w:p>
        </w:tc>
        <w:tc>
          <w:tcPr>
            <w:tcW w:w="220" w:type="dxa"/>
            <w:vAlign w:val="bottom"/>
          </w:tcPr>
          <w:p>
            <w:pPr>
              <w:jc w:val="right"/>
              <w:ind w:right="15"/>
              <w:spacing w:after="0"/>
              <w:rPr>
                <w:sz w:val="20"/>
                <w:szCs w:val="20"/>
                <w:color w:val="auto"/>
              </w:rPr>
            </w:pPr>
            <w:r>
              <w:rPr>
                <w:rFonts w:ascii="Arial" w:cs="Arial" w:eastAsia="Arial" w:hAnsi="Arial"/>
                <w:sz w:val="9"/>
                <w:szCs w:val="9"/>
                <w:color w:val="auto"/>
              </w:rPr>
              <w:t>(2)</w:t>
            </w:r>
          </w:p>
        </w:tc>
        <w:tc>
          <w:tcPr>
            <w:tcW w:w="1040" w:type="dxa"/>
            <w:vAlign w:val="bottom"/>
          </w:tcPr>
          <w:p>
            <w:pPr>
              <w:jc w:val="right"/>
              <w:spacing w:after="0"/>
              <w:rPr>
                <w:sz w:val="20"/>
                <w:szCs w:val="20"/>
                <w:color w:val="auto"/>
              </w:rPr>
            </w:pPr>
            <w:r>
              <w:rPr>
                <w:rFonts w:ascii="Arial" w:cs="Arial" w:eastAsia="Arial" w:hAnsi="Arial"/>
                <w:sz w:val="13"/>
                <w:szCs w:val="13"/>
                <w:color w:val="auto"/>
              </w:rPr>
              <w:t>$550,515</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5/28/2014</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45,649</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2/19/2015</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65,841</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$35.29</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2/19/2025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2/19/2015</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22,669</w:t>
            </w:r>
          </w:p>
        </w:tc>
        <w:tc>
          <w:tcPr>
            <w:tcW w:w="220" w:type="dxa"/>
            <w:vAlign w:val="bottom"/>
          </w:tcPr>
          <w:p>
            <w:pPr>
              <w:jc w:val="right"/>
              <w:ind w:right="15"/>
              <w:spacing w:after="0"/>
              <w:rPr>
                <w:sz w:val="20"/>
                <w:szCs w:val="20"/>
                <w:color w:val="auto"/>
              </w:rPr>
            </w:pPr>
            <w:r>
              <w:rPr>
                <w:rFonts w:ascii="Arial" w:cs="Arial" w:eastAsia="Arial" w:hAnsi="Arial"/>
                <w:sz w:val="9"/>
                <w:szCs w:val="9"/>
                <w:color w:val="auto"/>
              </w:rPr>
              <w:t>(2)</w:t>
            </w:r>
          </w:p>
        </w:tc>
        <w:tc>
          <w:tcPr>
            <w:tcW w:w="1040" w:type="dxa"/>
            <w:vAlign w:val="bottom"/>
          </w:tcPr>
          <w:p>
            <w:pPr>
              <w:jc w:val="right"/>
              <w:spacing w:after="0"/>
              <w:rPr>
                <w:sz w:val="20"/>
                <w:szCs w:val="20"/>
                <w:color w:val="auto"/>
              </w:rPr>
            </w:pPr>
            <w:r>
              <w:rPr>
                <w:rFonts w:ascii="Arial" w:cs="Arial" w:eastAsia="Arial" w:hAnsi="Arial"/>
                <w:sz w:val="13"/>
                <w:szCs w:val="13"/>
                <w:color w:val="auto"/>
              </w:rPr>
              <w:t>$820,164</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2/19/2015</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45,338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-2562225</wp:posOffset>
            </wp:positionV>
            <wp:extent cx="72466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-2218690</wp:posOffset>
            </wp:positionV>
            <wp:extent cx="72466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-1875790</wp:posOffset>
            </wp:positionV>
            <wp:extent cx="72466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-1532890</wp:posOffset>
            </wp:positionV>
            <wp:extent cx="72466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-1189990</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-847090</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center"/>
        <w:ind w:left="-185" w:right="60"/>
        <w:spacing w:after="0" w:line="261" w:lineRule="auto"/>
        <w:rPr>
          <w:sz w:val="20"/>
          <w:szCs w:val="20"/>
          <w:color w:val="auto"/>
        </w:rPr>
      </w:pPr>
      <w:r>
        <w:rPr>
          <w:rFonts w:ascii="Arial" w:cs="Arial" w:eastAsia="Arial" w:hAnsi="Arial"/>
          <w:sz w:val="11"/>
          <w:szCs w:val="11"/>
          <w:color w:val="auto"/>
        </w:rPr>
        <w:t>Equity Incentive Plan Awards: Market or Payout Value of Unearned Shares,</w:t>
      </w:r>
    </w:p>
    <w:p>
      <w:pPr>
        <w:ind w:left="226" w:right="60" w:firstLine="14"/>
        <w:spacing w:after="0" w:line="301" w:lineRule="auto"/>
        <w:rPr>
          <w:sz w:val="20"/>
          <w:szCs w:val="20"/>
          <w:color w:val="auto"/>
        </w:rPr>
      </w:pPr>
      <w:r>
        <w:rPr>
          <w:rFonts w:ascii="Arial" w:cs="Arial" w:eastAsia="Arial" w:hAnsi="Arial"/>
          <w:sz w:val="11"/>
          <w:szCs w:val="11"/>
          <w:color w:val="auto"/>
        </w:rPr>
        <w:t>Units or Other Rights That Have Not Vested</w:t>
      </w:r>
    </w:p>
    <w:p>
      <w:pPr>
        <w:spacing w:after="0" w:line="78" w:lineRule="exact"/>
        <w:rPr>
          <w:sz w:val="20"/>
          <w:szCs w:val="20"/>
          <w:color w:val="auto"/>
        </w:rPr>
      </w:pPr>
    </w:p>
    <w:p>
      <w:pPr>
        <w:ind w:left="706"/>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17145</wp:posOffset>
            </wp:positionV>
            <wp:extent cx="7886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06" w:hanging="806"/>
        <w:spacing w:after="0"/>
        <w:tabs>
          <w:tab w:leader="none" w:pos="806" w:val="left"/>
        </w:tabs>
        <w:numPr>
          <w:ilvl w:val="0"/>
          <w:numId w:val="46"/>
        </w:numPr>
        <w:rPr>
          <w:rFonts w:ascii="Arial" w:cs="Arial" w:eastAsia="Arial" w:hAnsi="Arial"/>
          <w:sz w:val="8"/>
          <w:szCs w:val="8"/>
          <w:color w:val="auto"/>
        </w:rPr>
      </w:pPr>
      <w:r>
        <w:rPr>
          <w:rFonts w:ascii="Arial" w:cs="Arial" w:eastAsia="Arial" w:hAnsi="Arial"/>
          <w:sz w:val="10"/>
          <w:szCs w:val="10"/>
          <w:color w:val="auto"/>
        </w:rPr>
        <w:t>$1,651,581</w:t>
      </w:r>
    </w:p>
    <w:p>
      <w:pPr>
        <w:spacing w:after="0" w:line="200" w:lineRule="exact"/>
        <w:rPr>
          <w:rFonts w:ascii="Arial" w:cs="Arial" w:eastAsia="Arial" w:hAnsi="Arial"/>
          <w:sz w:val="8"/>
          <w:szCs w:val="8"/>
          <w:color w:val="auto"/>
        </w:rPr>
      </w:pPr>
    </w:p>
    <w:p>
      <w:pPr>
        <w:spacing w:after="0" w:line="200" w:lineRule="exact"/>
        <w:rPr>
          <w:rFonts w:ascii="Arial" w:cs="Arial" w:eastAsia="Arial" w:hAnsi="Arial"/>
          <w:sz w:val="8"/>
          <w:szCs w:val="8"/>
          <w:color w:val="auto"/>
        </w:rPr>
      </w:pPr>
    </w:p>
    <w:p>
      <w:pPr>
        <w:spacing w:after="0" w:line="295" w:lineRule="exact"/>
        <w:rPr>
          <w:rFonts w:ascii="Arial" w:cs="Arial" w:eastAsia="Arial" w:hAnsi="Arial"/>
          <w:sz w:val="8"/>
          <w:szCs w:val="8"/>
          <w:color w:val="auto"/>
        </w:rPr>
      </w:pPr>
    </w:p>
    <w:p>
      <w:pPr>
        <w:ind w:left="806" w:hanging="806"/>
        <w:spacing w:after="0"/>
        <w:tabs>
          <w:tab w:leader="none" w:pos="806" w:val="left"/>
        </w:tabs>
        <w:numPr>
          <w:ilvl w:val="0"/>
          <w:numId w:val="46"/>
        </w:numPr>
        <w:rPr>
          <w:rFonts w:ascii="Arial" w:cs="Arial" w:eastAsia="Arial" w:hAnsi="Arial"/>
          <w:sz w:val="8"/>
          <w:szCs w:val="8"/>
          <w:color w:val="auto"/>
        </w:rPr>
      </w:pPr>
      <w:r>
        <w:rPr>
          <w:rFonts w:ascii="Arial" w:cs="Arial" w:eastAsia="Arial" w:hAnsi="Arial"/>
          <w:sz w:val="10"/>
          <w:szCs w:val="10"/>
          <w:color w:val="auto"/>
        </w:rPr>
        <w:t>$1,640,329</w:t>
      </w:r>
    </w:p>
    <w:p>
      <w:pPr>
        <w:spacing w:after="0" w:line="196" w:lineRule="exact"/>
        <w:rPr>
          <w:sz w:val="20"/>
          <w:szCs w:val="20"/>
          <w:color w:val="auto"/>
        </w:rPr>
      </w:pPr>
    </w:p>
    <w:p>
      <w:pPr>
        <w:sectPr>
          <w:pgSz w:w="11900" w:h="16900" w:orient="portrait"/>
          <w:cols w:equalWidth="0" w:num="2">
            <w:col w:w="9960" w:space="54"/>
            <w:col w:w="1406"/>
          </w:cols>
          <w:pgMar w:left="240" w:top="125" w:right="239" w:bottom="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John Holleran</w:t>
            </w: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2/22/2007</w:t>
            </w:r>
          </w:p>
        </w:tc>
        <w:tc>
          <w:tcPr>
            <w:tcW w:w="11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20,000</w:t>
            </w:r>
          </w:p>
        </w:tc>
        <w:tc>
          <w:tcPr>
            <w:tcW w:w="10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$62.52</w:t>
            </w:r>
          </w:p>
        </w:tc>
        <w:tc>
          <w:tcPr>
            <w:tcW w:w="1920" w:type="dxa"/>
            <w:vAlign w:val="bottom"/>
            <w:shd w:val="clear" w:color="auto" w:fill="CCEEFF"/>
          </w:tcPr>
          <w:p>
            <w:pPr>
              <w:jc w:val="right"/>
              <w:ind w:right="1117"/>
              <w:spacing w:after="0"/>
              <w:rPr>
                <w:sz w:val="20"/>
                <w:szCs w:val="20"/>
                <w:color w:val="auto"/>
              </w:rPr>
            </w:pPr>
            <w:r>
              <w:rPr>
                <w:rFonts w:ascii="Arial" w:cs="Arial" w:eastAsia="Arial" w:hAnsi="Arial"/>
                <w:sz w:val="13"/>
                <w:szCs w:val="13"/>
                <w:color w:val="auto"/>
              </w:rPr>
              <w:t>2/22/2017</w:t>
            </w:r>
          </w:p>
        </w:tc>
        <w:tc>
          <w:tcPr>
            <w:tcW w:w="40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2"/>
        </w:trPr>
        <w:tc>
          <w:tcPr>
            <w:tcW w:w="1200" w:type="dxa"/>
            <w:vAlign w:val="bottom"/>
          </w:tcPr>
          <w:p>
            <w:pPr>
              <w:spacing w:after="0"/>
              <w:rPr>
                <w:sz w:val="22"/>
                <w:szCs w:val="22"/>
                <w:color w:val="auto"/>
              </w:rPr>
            </w:pP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5/14/2007</w:t>
            </w:r>
          </w:p>
        </w:tc>
        <w:tc>
          <w:tcPr>
            <w:tcW w:w="1160" w:type="dxa"/>
            <w:vAlign w:val="bottom"/>
          </w:tcPr>
          <w:p>
            <w:pPr>
              <w:jc w:val="right"/>
              <w:ind w:right="337"/>
              <w:spacing w:after="0"/>
              <w:rPr>
                <w:sz w:val="20"/>
                <w:szCs w:val="20"/>
                <w:color w:val="auto"/>
              </w:rPr>
            </w:pPr>
            <w:r>
              <w:rPr>
                <w:rFonts w:ascii="Arial" w:cs="Arial" w:eastAsia="Arial" w:hAnsi="Arial"/>
                <w:sz w:val="13"/>
                <w:szCs w:val="13"/>
                <w:color w:val="auto"/>
              </w:rPr>
              <w:t>20,000</w:t>
            </w:r>
          </w:p>
        </w:tc>
        <w:tc>
          <w:tcPr>
            <w:tcW w:w="1040" w:type="dxa"/>
            <w:vAlign w:val="bottom"/>
          </w:tcPr>
          <w:p>
            <w:pPr>
              <w:spacing w:after="0"/>
              <w:rPr>
                <w:sz w:val="22"/>
                <w:szCs w:val="22"/>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$67.43</w:t>
            </w:r>
          </w:p>
        </w:tc>
        <w:tc>
          <w:tcPr>
            <w:tcW w:w="1920" w:type="dxa"/>
            <w:vAlign w:val="bottom"/>
          </w:tcPr>
          <w:p>
            <w:pPr>
              <w:jc w:val="right"/>
              <w:ind w:right="1117"/>
              <w:spacing w:after="0"/>
              <w:rPr>
                <w:sz w:val="20"/>
                <w:szCs w:val="20"/>
                <w:color w:val="auto"/>
              </w:rPr>
            </w:pPr>
            <w:r>
              <w:rPr>
                <w:rFonts w:ascii="Arial" w:cs="Arial" w:eastAsia="Arial" w:hAnsi="Arial"/>
                <w:sz w:val="13"/>
                <w:szCs w:val="13"/>
                <w:color w:val="auto"/>
              </w:rPr>
              <w:t>5/14/2017</w:t>
            </w: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1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5/5/2008</w:t>
            </w:r>
          </w:p>
        </w:tc>
        <w:tc>
          <w:tcPr>
            <w:tcW w:w="11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20,000</w:t>
            </w: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$95.78</w:t>
            </w:r>
          </w:p>
        </w:tc>
        <w:tc>
          <w:tcPr>
            <w:tcW w:w="1920" w:type="dxa"/>
            <w:vAlign w:val="bottom"/>
            <w:shd w:val="clear" w:color="auto" w:fill="CCEEFF"/>
          </w:tcPr>
          <w:p>
            <w:pPr>
              <w:jc w:val="right"/>
              <w:ind w:right="1117"/>
              <w:spacing w:after="0"/>
              <w:rPr>
                <w:sz w:val="20"/>
                <w:szCs w:val="20"/>
                <w:color w:val="auto"/>
              </w:rPr>
            </w:pPr>
            <w:r>
              <w:rPr>
                <w:rFonts w:ascii="Arial" w:cs="Arial" w:eastAsia="Arial" w:hAnsi="Arial"/>
                <w:sz w:val="13"/>
                <w:szCs w:val="13"/>
                <w:color w:val="auto"/>
              </w:rPr>
              <w:t>5/5/2018</w:t>
            </w:r>
          </w:p>
        </w:tc>
        <w:tc>
          <w:tcPr>
            <w:tcW w:w="40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2"/>
        </w:trPr>
        <w:tc>
          <w:tcPr>
            <w:tcW w:w="1200" w:type="dxa"/>
            <w:vAlign w:val="bottom"/>
          </w:tcPr>
          <w:p>
            <w:pPr>
              <w:spacing w:after="0"/>
              <w:rPr>
                <w:sz w:val="22"/>
                <w:szCs w:val="22"/>
                <w:color w:val="auto"/>
              </w:rPr>
            </w:pP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2/11/2010</w:t>
            </w:r>
          </w:p>
        </w:tc>
        <w:tc>
          <w:tcPr>
            <w:tcW w:w="1160" w:type="dxa"/>
            <w:vAlign w:val="bottom"/>
          </w:tcPr>
          <w:p>
            <w:pPr>
              <w:jc w:val="right"/>
              <w:ind w:right="337"/>
              <w:spacing w:after="0"/>
              <w:rPr>
                <w:sz w:val="20"/>
                <w:szCs w:val="20"/>
                <w:color w:val="auto"/>
              </w:rPr>
            </w:pPr>
            <w:r>
              <w:rPr>
                <w:rFonts w:ascii="Arial" w:cs="Arial" w:eastAsia="Arial" w:hAnsi="Arial"/>
                <w:sz w:val="13"/>
                <w:szCs w:val="13"/>
                <w:color w:val="auto"/>
              </w:rPr>
              <w:t>8,610</w:t>
            </w:r>
          </w:p>
        </w:tc>
        <w:tc>
          <w:tcPr>
            <w:tcW w:w="1040" w:type="dxa"/>
            <w:vAlign w:val="bottom"/>
          </w:tcPr>
          <w:p>
            <w:pPr>
              <w:spacing w:after="0"/>
              <w:rPr>
                <w:sz w:val="22"/>
                <w:szCs w:val="22"/>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$61.56</w:t>
            </w:r>
          </w:p>
        </w:tc>
        <w:tc>
          <w:tcPr>
            <w:tcW w:w="1920" w:type="dxa"/>
            <w:vAlign w:val="bottom"/>
          </w:tcPr>
          <w:p>
            <w:pPr>
              <w:jc w:val="right"/>
              <w:ind w:right="1117"/>
              <w:spacing w:after="0"/>
              <w:rPr>
                <w:sz w:val="20"/>
                <w:szCs w:val="20"/>
                <w:color w:val="auto"/>
              </w:rPr>
            </w:pPr>
            <w:r>
              <w:rPr>
                <w:rFonts w:ascii="Arial" w:cs="Arial" w:eastAsia="Arial" w:hAnsi="Arial"/>
                <w:sz w:val="13"/>
                <w:szCs w:val="13"/>
                <w:color w:val="auto"/>
              </w:rPr>
              <w:t>2/11/2020</w:t>
            </w: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1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2/24/2011</w:t>
            </w:r>
          </w:p>
        </w:tc>
        <w:tc>
          <w:tcPr>
            <w:tcW w:w="11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8,810</w:t>
            </w: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$56.65</w:t>
            </w:r>
          </w:p>
        </w:tc>
        <w:tc>
          <w:tcPr>
            <w:tcW w:w="1920" w:type="dxa"/>
            <w:vAlign w:val="bottom"/>
            <w:shd w:val="clear" w:color="auto" w:fill="CCEEFF"/>
          </w:tcPr>
          <w:p>
            <w:pPr>
              <w:jc w:val="right"/>
              <w:ind w:right="1117"/>
              <w:spacing w:after="0"/>
              <w:rPr>
                <w:sz w:val="20"/>
                <w:szCs w:val="20"/>
                <w:color w:val="auto"/>
              </w:rPr>
            </w:pPr>
            <w:r>
              <w:rPr>
                <w:rFonts w:ascii="Arial" w:cs="Arial" w:eastAsia="Arial" w:hAnsi="Arial"/>
                <w:sz w:val="13"/>
                <w:szCs w:val="13"/>
                <w:color w:val="auto"/>
              </w:rPr>
              <w:t>2/24/2021</w:t>
            </w:r>
          </w:p>
        </w:tc>
        <w:tc>
          <w:tcPr>
            <w:tcW w:w="40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2"/>
        </w:trPr>
        <w:tc>
          <w:tcPr>
            <w:tcW w:w="1200" w:type="dxa"/>
            <w:vAlign w:val="bottom"/>
          </w:tcPr>
          <w:p>
            <w:pPr>
              <w:spacing w:after="0"/>
              <w:rPr>
                <w:sz w:val="22"/>
                <w:szCs w:val="22"/>
                <w:color w:val="auto"/>
              </w:rPr>
            </w:pP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2/16/2012</w:t>
            </w:r>
          </w:p>
        </w:tc>
        <w:tc>
          <w:tcPr>
            <w:tcW w:w="1160" w:type="dxa"/>
            <w:vAlign w:val="bottom"/>
          </w:tcPr>
          <w:p>
            <w:pPr>
              <w:jc w:val="right"/>
              <w:ind w:right="337"/>
              <w:spacing w:after="0"/>
              <w:rPr>
                <w:sz w:val="20"/>
                <w:szCs w:val="20"/>
                <w:color w:val="auto"/>
              </w:rPr>
            </w:pPr>
            <w:r>
              <w:rPr>
                <w:rFonts w:ascii="Arial" w:cs="Arial" w:eastAsia="Arial" w:hAnsi="Arial"/>
                <w:sz w:val="13"/>
                <w:szCs w:val="13"/>
                <w:color w:val="auto"/>
              </w:rPr>
              <w:t>11,398</w:t>
            </w:r>
          </w:p>
        </w:tc>
        <w:tc>
          <w:tcPr>
            <w:tcW w:w="1040" w:type="dxa"/>
            <w:vAlign w:val="bottom"/>
          </w:tcPr>
          <w:p>
            <w:pPr>
              <w:spacing w:after="0"/>
              <w:rPr>
                <w:sz w:val="22"/>
                <w:szCs w:val="22"/>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$48.23</w:t>
            </w:r>
          </w:p>
        </w:tc>
        <w:tc>
          <w:tcPr>
            <w:tcW w:w="1920" w:type="dxa"/>
            <w:vAlign w:val="bottom"/>
          </w:tcPr>
          <w:p>
            <w:pPr>
              <w:jc w:val="right"/>
              <w:ind w:right="1117"/>
              <w:spacing w:after="0"/>
              <w:rPr>
                <w:sz w:val="20"/>
                <w:szCs w:val="20"/>
                <w:color w:val="auto"/>
              </w:rPr>
            </w:pPr>
            <w:r>
              <w:rPr>
                <w:rFonts w:ascii="Arial" w:cs="Arial" w:eastAsia="Arial" w:hAnsi="Arial"/>
                <w:sz w:val="13"/>
                <w:szCs w:val="13"/>
                <w:color w:val="auto"/>
              </w:rPr>
              <w:t>2/16/2022</w:t>
            </w: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1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2/21/2013</w:t>
            </w:r>
          </w:p>
        </w:tc>
        <w:tc>
          <w:tcPr>
            <w:tcW w:w="11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19,561</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9,781</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$42.35</w:t>
            </w:r>
          </w:p>
        </w:tc>
        <w:tc>
          <w:tcPr>
            <w:tcW w:w="1920" w:type="dxa"/>
            <w:vAlign w:val="bottom"/>
            <w:shd w:val="clear" w:color="auto" w:fill="CCEEFF"/>
          </w:tcPr>
          <w:p>
            <w:pPr>
              <w:jc w:val="right"/>
              <w:ind w:right="1117"/>
              <w:spacing w:after="0"/>
              <w:rPr>
                <w:sz w:val="20"/>
                <w:szCs w:val="20"/>
                <w:color w:val="auto"/>
              </w:rPr>
            </w:pPr>
            <w:r>
              <w:rPr>
                <w:rFonts w:ascii="Arial" w:cs="Arial" w:eastAsia="Arial" w:hAnsi="Arial"/>
                <w:sz w:val="13"/>
                <w:szCs w:val="13"/>
                <w:color w:val="auto"/>
              </w:rPr>
              <w:t>2/21/2023</w:t>
            </w:r>
          </w:p>
        </w:tc>
        <w:tc>
          <w:tcPr>
            <w:tcW w:w="40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2"/>
        </w:trPr>
        <w:tc>
          <w:tcPr>
            <w:tcW w:w="1200" w:type="dxa"/>
            <w:vAlign w:val="bottom"/>
          </w:tcPr>
          <w:p>
            <w:pPr>
              <w:spacing w:after="0"/>
              <w:rPr>
                <w:sz w:val="22"/>
                <w:szCs w:val="22"/>
                <w:color w:val="auto"/>
              </w:rPr>
            </w:pP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2/21/2013</w:t>
            </w:r>
          </w:p>
        </w:tc>
        <w:tc>
          <w:tcPr>
            <w:tcW w:w="1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3,542</w:t>
            </w:r>
          </w:p>
        </w:tc>
        <w:tc>
          <w:tcPr>
            <w:tcW w:w="400" w:type="dxa"/>
            <w:vAlign w:val="bottom"/>
          </w:tcPr>
          <w:p>
            <w:pPr>
              <w:jc w:val="right"/>
              <w:ind w:right="215"/>
              <w:spacing w:after="0"/>
              <w:rPr>
                <w:sz w:val="20"/>
                <w:szCs w:val="20"/>
                <w:color w:val="auto"/>
              </w:rPr>
            </w:pPr>
            <w:r>
              <w:rPr>
                <w:rFonts w:ascii="Arial" w:cs="Arial" w:eastAsia="Arial" w:hAnsi="Arial"/>
                <w:sz w:val="9"/>
                <w:szCs w:val="9"/>
                <w:color w:val="auto"/>
              </w:rPr>
              <w:t>(2)</w:t>
            </w:r>
          </w:p>
        </w:tc>
        <w:tc>
          <w:tcPr>
            <w:tcW w:w="2200" w:type="dxa"/>
            <w:vAlign w:val="bottom"/>
          </w:tcPr>
          <w:p>
            <w:pPr>
              <w:jc w:val="right"/>
              <w:ind w:right="1337"/>
              <w:spacing w:after="0"/>
              <w:rPr>
                <w:sz w:val="20"/>
                <w:szCs w:val="20"/>
                <w:color w:val="auto"/>
              </w:rPr>
            </w:pPr>
            <w:r>
              <w:rPr>
                <w:rFonts w:ascii="Arial" w:cs="Arial" w:eastAsia="Arial" w:hAnsi="Arial"/>
                <w:sz w:val="13"/>
                <w:szCs w:val="13"/>
                <w:color w:val="auto"/>
              </w:rPr>
              <w:t>$128,150</w:t>
            </w: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1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2/19/2014</w:t>
            </w:r>
          </w:p>
        </w:tc>
        <w:tc>
          <w:tcPr>
            <w:tcW w:w="11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10,964</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21,928</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$35.29</w:t>
            </w:r>
          </w:p>
        </w:tc>
        <w:tc>
          <w:tcPr>
            <w:tcW w:w="1920" w:type="dxa"/>
            <w:vAlign w:val="bottom"/>
            <w:shd w:val="clear" w:color="auto" w:fill="CCEEFF"/>
          </w:tcPr>
          <w:p>
            <w:pPr>
              <w:jc w:val="right"/>
              <w:ind w:right="1117"/>
              <w:spacing w:after="0"/>
              <w:rPr>
                <w:sz w:val="20"/>
                <w:szCs w:val="20"/>
                <w:color w:val="auto"/>
              </w:rPr>
            </w:pPr>
            <w:r>
              <w:rPr>
                <w:rFonts w:ascii="Arial" w:cs="Arial" w:eastAsia="Arial" w:hAnsi="Arial"/>
                <w:sz w:val="13"/>
                <w:szCs w:val="13"/>
                <w:color w:val="auto"/>
              </w:rPr>
              <w:t>2/19/2024</w:t>
            </w:r>
          </w:p>
        </w:tc>
        <w:tc>
          <w:tcPr>
            <w:tcW w:w="40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2"/>
        </w:trPr>
        <w:tc>
          <w:tcPr>
            <w:tcW w:w="1200" w:type="dxa"/>
            <w:vAlign w:val="bottom"/>
          </w:tcPr>
          <w:p>
            <w:pPr>
              <w:spacing w:after="0"/>
              <w:rPr>
                <w:sz w:val="22"/>
                <w:szCs w:val="22"/>
                <w:color w:val="auto"/>
              </w:rPr>
            </w:pP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2/19/2014</w:t>
            </w:r>
          </w:p>
        </w:tc>
        <w:tc>
          <w:tcPr>
            <w:tcW w:w="1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8,501</w:t>
            </w:r>
          </w:p>
        </w:tc>
        <w:tc>
          <w:tcPr>
            <w:tcW w:w="400" w:type="dxa"/>
            <w:vAlign w:val="bottom"/>
          </w:tcPr>
          <w:p>
            <w:pPr>
              <w:jc w:val="right"/>
              <w:ind w:right="215"/>
              <w:spacing w:after="0"/>
              <w:rPr>
                <w:sz w:val="20"/>
                <w:szCs w:val="20"/>
                <w:color w:val="auto"/>
              </w:rPr>
            </w:pPr>
            <w:r>
              <w:rPr>
                <w:rFonts w:ascii="Arial" w:cs="Arial" w:eastAsia="Arial" w:hAnsi="Arial"/>
                <w:sz w:val="9"/>
                <w:szCs w:val="9"/>
                <w:color w:val="auto"/>
              </w:rPr>
              <w:t>(2)</w:t>
            </w:r>
          </w:p>
        </w:tc>
        <w:tc>
          <w:tcPr>
            <w:tcW w:w="2200" w:type="dxa"/>
            <w:vAlign w:val="bottom"/>
          </w:tcPr>
          <w:p>
            <w:pPr>
              <w:jc w:val="right"/>
              <w:ind w:right="1337"/>
              <w:spacing w:after="0"/>
              <w:rPr>
                <w:sz w:val="20"/>
                <w:szCs w:val="20"/>
                <w:color w:val="auto"/>
              </w:rPr>
            </w:pPr>
            <w:r>
              <w:rPr>
                <w:rFonts w:ascii="Arial" w:cs="Arial" w:eastAsia="Arial" w:hAnsi="Arial"/>
                <w:sz w:val="13"/>
                <w:szCs w:val="13"/>
                <w:color w:val="auto"/>
              </w:rPr>
              <w:t>$307,566</w:t>
            </w: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1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5/28/2014</w:t>
            </w:r>
          </w:p>
        </w:tc>
        <w:tc>
          <w:tcPr>
            <w:tcW w:w="1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25,502</w:t>
            </w: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9"/>
                <w:szCs w:val="9"/>
                <w:color w:val="auto"/>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$922,662</w:t>
            </w:r>
          </w:p>
        </w:tc>
      </w:tr>
      <w:tr>
        <w:trPr>
          <w:trHeight w:val="262"/>
        </w:trPr>
        <w:tc>
          <w:tcPr>
            <w:tcW w:w="1200" w:type="dxa"/>
            <w:vAlign w:val="bottom"/>
          </w:tcPr>
          <w:p>
            <w:pPr>
              <w:spacing w:after="0"/>
              <w:rPr>
                <w:sz w:val="22"/>
                <w:szCs w:val="22"/>
                <w:color w:val="auto"/>
              </w:rPr>
            </w:pP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2/19/2015</w:t>
            </w:r>
          </w:p>
        </w:tc>
        <w:tc>
          <w:tcPr>
            <w:tcW w:w="1160" w:type="dxa"/>
            <w:vAlign w:val="bottom"/>
          </w:tcPr>
          <w:p>
            <w:pPr>
              <w:spacing w:after="0"/>
              <w:rPr>
                <w:sz w:val="22"/>
                <w:szCs w:val="22"/>
                <w:color w:val="auto"/>
              </w:rPr>
            </w:pPr>
          </w:p>
        </w:tc>
        <w:tc>
          <w:tcPr>
            <w:tcW w:w="1040" w:type="dxa"/>
            <w:vAlign w:val="bottom"/>
          </w:tcPr>
          <w:p>
            <w:pPr>
              <w:jc w:val="right"/>
              <w:ind w:right="217"/>
              <w:spacing w:after="0"/>
              <w:rPr>
                <w:sz w:val="20"/>
                <w:szCs w:val="20"/>
                <w:color w:val="auto"/>
              </w:rPr>
            </w:pPr>
            <w:r>
              <w:rPr>
                <w:rFonts w:ascii="Arial" w:cs="Arial" w:eastAsia="Arial" w:hAnsi="Arial"/>
                <w:sz w:val="13"/>
                <w:szCs w:val="13"/>
                <w:color w:val="auto"/>
              </w:rPr>
              <w:t>37,035</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$35.29</w:t>
            </w:r>
          </w:p>
        </w:tc>
        <w:tc>
          <w:tcPr>
            <w:tcW w:w="1920" w:type="dxa"/>
            <w:vAlign w:val="bottom"/>
          </w:tcPr>
          <w:p>
            <w:pPr>
              <w:jc w:val="right"/>
              <w:ind w:right="1117"/>
              <w:spacing w:after="0"/>
              <w:rPr>
                <w:sz w:val="20"/>
                <w:szCs w:val="20"/>
                <w:color w:val="auto"/>
              </w:rPr>
            </w:pPr>
            <w:r>
              <w:rPr>
                <w:rFonts w:ascii="Arial" w:cs="Arial" w:eastAsia="Arial" w:hAnsi="Arial"/>
                <w:sz w:val="13"/>
                <w:szCs w:val="13"/>
                <w:color w:val="auto"/>
              </w:rPr>
              <w:t>2/19/2025</w:t>
            </w: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1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2/19/2015</w:t>
            </w:r>
          </w:p>
        </w:tc>
        <w:tc>
          <w:tcPr>
            <w:tcW w:w="1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12,751</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9"/>
                <w:szCs w:val="9"/>
                <w:color w:val="auto"/>
              </w:rPr>
              <w:t>(2)</w:t>
            </w:r>
          </w:p>
        </w:tc>
        <w:tc>
          <w:tcPr>
            <w:tcW w:w="2200" w:type="dxa"/>
            <w:vAlign w:val="bottom"/>
            <w:shd w:val="clear" w:color="auto" w:fill="CCEEFF"/>
          </w:tcPr>
          <w:p>
            <w:pPr>
              <w:jc w:val="right"/>
              <w:ind w:right="1337"/>
              <w:spacing w:after="0"/>
              <w:rPr>
                <w:sz w:val="20"/>
                <w:szCs w:val="20"/>
                <w:color w:val="auto"/>
              </w:rPr>
            </w:pPr>
            <w:r>
              <w:rPr>
                <w:rFonts w:ascii="Arial" w:cs="Arial" w:eastAsia="Arial" w:hAnsi="Arial"/>
                <w:sz w:val="13"/>
                <w:szCs w:val="13"/>
                <w:color w:val="auto"/>
              </w:rPr>
              <w:t>$461,331</w:t>
            </w: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2"/>
        </w:trPr>
        <w:tc>
          <w:tcPr>
            <w:tcW w:w="1200" w:type="dxa"/>
            <w:vAlign w:val="bottom"/>
          </w:tcPr>
          <w:p>
            <w:pPr>
              <w:spacing w:after="0"/>
              <w:rPr>
                <w:sz w:val="22"/>
                <w:szCs w:val="22"/>
                <w:color w:val="auto"/>
              </w:rPr>
            </w:pP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2/19/2015</w:t>
            </w:r>
          </w:p>
        </w:tc>
        <w:tc>
          <w:tcPr>
            <w:tcW w:w="1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25,502</w:t>
            </w:r>
          </w:p>
        </w:tc>
        <w:tc>
          <w:tcPr>
            <w:tcW w:w="540" w:type="dxa"/>
            <w:vAlign w:val="bottom"/>
          </w:tcPr>
          <w:p>
            <w:pPr>
              <w:jc w:val="right"/>
              <w:ind w:right="355"/>
              <w:spacing w:after="0"/>
              <w:rPr>
                <w:sz w:val="20"/>
                <w:szCs w:val="20"/>
                <w:color w:val="auto"/>
              </w:rPr>
            </w:pPr>
            <w:r>
              <w:rPr>
                <w:rFonts w:ascii="Arial" w:cs="Arial" w:eastAsia="Arial" w:hAnsi="Arial"/>
                <w:sz w:val="9"/>
                <w:szCs w:val="9"/>
                <w:color w:val="auto"/>
              </w:rPr>
              <w:t>(4)</w:t>
            </w:r>
          </w:p>
        </w:tc>
        <w:tc>
          <w:tcPr>
            <w:tcW w:w="900" w:type="dxa"/>
            <w:vAlign w:val="bottom"/>
          </w:tcPr>
          <w:p>
            <w:pPr>
              <w:jc w:val="right"/>
              <w:spacing w:after="0"/>
              <w:rPr>
                <w:sz w:val="20"/>
                <w:szCs w:val="20"/>
                <w:color w:val="auto"/>
              </w:rPr>
            </w:pPr>
            <w:r>
              <w:rPr>
                <w:rFonts w:ascii="Arial" w:cs="Arial" w:eastAsia="Arial" w:hAnsi="Arial"/>
                <w:sz w:val="13"/>
                <w:szCs w:val="13"/>
                <w:color w:val="auto"/>
              </w:rPr>
              <w:t>$922,662</w:t>
            </w:r>
          </w:p>
        </w:tc>
      </w:tr>
      <w:tr>
        <w:trPr>
          <w:trHeight w:val="143"/>
        </w:trPr>
        <w:tc>
          <w:tcPr>
            <w:tcW w:w="1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62"/>
        </w:trPr>
        <w:tc>
          <w:tcPr>
            <w:tcW w:w="1200" w:type="dxa"/>
            <w:vAlign w:val="bottom"/>
          </w:tcPr>
          <w:p>
            <w:pPr>
              <w:ind w:left="40"/>
              <w:spacing w:after="0"/>
              <w:rPr>
                <w:sz w:val="20"/>
                <w:szCs w:val="20"/>
                <w:color w:val="auto"/>
              </w:rPr>
            </w:pPr>
            <w:r>
              <w:rPr>
                <w:rFonts w:ascii="Arial" w:cs="Arial" w:eastAsia="Arial" w:hAnsi="Arial"/>
                <w:sz w:val="13"/>
                <w:szCs w:val="13"/>
                <w:color w:val="auto"/>
              </w:rPr>
              <w:t>Thomas Deitrich</w:t>
            </w: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12/10/2015</w:t>
            </w:r>
          </w:p>
        </w:tc>
        <w:tc>
          <w:tcPr>
            <w:tcW w:w="1160" w:type="dxa"/>
            <w:vAlign w:val="bottom"/>
          </w:tcPr>
          <w:p>
            <w:pPr>
              <w:spacing w:after="0"/>
              <w:rPr>
                <w:sz w:val="22"/>
                <w:szCs w:val="22"/>
                <w:color w:val="auto"/>
              </w:rPr>
            </w:pPr>
          </w:p>
        </w:tc>
        <w:tc>
          <w:tcPr>
            <w:tcW w:w="1040" w:type="dxa"/>
            <w:vAlign w:val="bottom"/>
          </w:tcPr>
          <w:p>
            <w:pPr>
              <w:jc w:val="right"/>
              <w:ind w:right="217"/>
              <w:spacing w:after="0"/>
              <w:rPr>
                <w:sz w:val="20"/>
                <w:szCs w:val="20"/>
                <w:color w:val="auto"/>
              </w:rPr>
            </w:pPr>
            <w:r>
              <w:rPr>
                <w:rFonts w:ascii="Arial" w:cs="Arial" w:eastAsia="Arial" w:hAnsi="Arial"/>
                <w:sz w:val="13"/>
                <w:szCs w:val="13"/>
                <w:color w:val="auto"/>
              </w:rPr>
              <w:t>83,779</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$35.13</w:t>
            </w:r>
          </w:p>
        </w:tc>
        <w:tc>
          <w:tcPr>
            <w:tcW w:w="1920" w:type="dxa"/>
            <w:vAlign w:val="bottom"/>
          </w:tcPr>
          <w:p>
            <w:pPr>
              <w:jc w:val="right"/>
              <w:ind w:right="1117"/>
              <w:spacing w:after="0"/>
              <w:rPr>
                <w:sz w:val="20"/>
                <w:szCs w:val="20"/>
                <w:color w:val="auto"/>
              </w:rPr>
            </w:pPr>
            <w:r>
              <w:rPr>
                <w:rFonts w:ascii="Arial" w:cs="Arial" w:eastAsia="Arial" w:hAnsi="Arial"/>
                <w:sz w:val="13"/>
                <w:szCs w:val="13"/>
                <w:color w:val="auto"/>
              </w:rPr>
              <w:t>12/10/2025</w:t>
            </w: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1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12/10/2015</w:t>
            </w:r>
          </w:p>
        </w:tc>
        <w:tc>
          <w:tcPr>
            <w:tcW w:w="1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85,397</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9"/>
                <w:szCs w:val="9"/>
                <w:color w:val="auto"/>
              </w:rPr>
              <w:t>(2)</w:t>
            </w:r>
          </w:p>
        </w:tc>
        <w:tc>
          <w:tcPr>
            <w:tcW w:w="2200" w:type="dxa"/>
            <w:vAlign w:val="bottom"/>
            <w:shd w:val="clear" w:color="auto" w:fill="CCEEFF"/>
          </w:tcPr>
          <w:p>
            <w:pPr>
              <w:jc w:val="right"/>
              <w:ind w:right="1337"/>
              <w:spacing w:after="0"/>
              <w:rPr>
                <w:sz w:val="20"/>
                <w:szCs w:val="20"/>
                <w:color w:val="auto"/>
              </w:rPr>
            </w:pPr>
            <w:r>
              <w:rPr>
                <w:rFonts w:ascii="Arial" w:cs="Arial" w:eastAsia="Arial" w:hAnsi="Arial"/>
                <w:sz w:val="13"/>
                <w:szCs w:val="13"/>
                <w:color w:val="auto"/>
              </w:rPr>
              <w:t>$3,089,663</w:t>
            </w: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135"/>
        </w:trPr>
        <w:tc>
          <w:tcPr>
            <w:tcW w:w="1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70"/>
        </w:trPr>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 Mark Schmitz</w:t>
            </w: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9/17/2014</w:t>
            </w:r>
          </w:p>
        </w:tc>
        <w:tc>
          <w:tcPr>
            <w:tcW w:w="11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4,509</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9,018</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$40.59</w:t>
            </w:r>
          </w:p>
        </w:tc>
        <w:tc>
          <w:tcPr>
            <w:tcW w:w="1920" w:type="dxa"/>
            <w:vAlign w:val="bottom"/>
            <w:shd w:val="clear" w:color="auto" w:fill="CCEEFF"/>
          </w:tcPr>
          <w:p>
            <w:pPr>
              <w:jc w:val="right"/>
              <w:ind w:right="1117"/>
              <w:spacing w:after="0"/>
              <w:rPr>
                <w:sz w:val="20"/>
                <w:szCs w:val="20"/>
                <w:color w:val="auto"/>
              </w:rPr>
            </w:pPr>
            <w:r>
              <w:rPr>
                <w:rFonts w:ascii="Arial" w:cs="Arial" w:eastAsia="Arial" w:hAnsi="Arial"/>
                <w:sz w:val="13"/>
                <w:szCs w:val="13"/>
                <w:color w:val="auto"/>
              </w:rPr>
              <w:t>9/17/2024</w:t>
            </w:r>
          </w:p>
        </w:tc>
        <w:tc>
          <w:tcPr>
            <w:tcW w:w="40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2"/>
        </w:trPr>
        <w:tc>
          <w:tcPr>
            <w:tcW w:w="1200" w:type="dxa"/>
            <w:vAlign w:val="bottom"/>
          </w:tcPr>
          <w:p>
            <w:pPr>
              <w:spacing w:after="0"/>
              <w:rPr>
                <w:sz w:val="22"/>
                <w:szCs w:val="22"/>
                <w:color w:val="auto"/>
              </w:rPr>
            </w:pP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9/17/2014</w:t>
            </w:r>
          </w:p>
        </w:tc>
        <w:tc>
          <w:tcPr>
            <w:tcW w:w="1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3,080</w:t>
            </w:r>
          </w:p>
        </w:tc>
        <w:tc>
          <w:tcPr>
            <w:tcW w:w="400" w:type="dxa"/>
            <w:vAlign w:val="bottom"/>
          </w:tcPr>
          <w:p>
            <w:pPr>
              <w:jc w:val="right"/>
              <w:ind w:right="215"/>
              <w:spacing w:after="0"/>
              <w:rPr>
                <w:sz w:val="20"/>
                <w:szCs w:val="20"/>
                <w:color w:val="auto"/>
              </w:rPr>
            </w:pPr>
            <w:r>
              <w:rPr>
                <w:rFonts w:ascii="Arial" w:cs="Arial" w:eastAsia="Arial" w:hAnsi="Arial"/>
                <w:sz w:val="9"/>
                <w:szCs w:val="9"/>
                <w:color w:val="auto"/>
              </w:rPr>
              <w:t>(2)</w:t>
            </w:r>
          </w:p>
        </w:tc>
        <w:tc>
          <w:tcPr>
            <w:tcW w:w="2200" w:type="dxa"/>
            <w:vAlign w:val="bottom"/>
          </w:tcPr>
          <w:p>
            <w:pPr>
              <w:jc w:val="right"/>
              <w:ind w:right="1337"/>
              <w:spacing w:after="0"/>
              <w:rPr>
                <w:sz w:val="20"/>
                <w:szCs w:val="20"/>
                <w:color w:val="auto"/>
              </w:rPr>
            </w:pPr>
            <w:r>
              <w:rPr>
                <w:rFonts w:ascii="Arial" w:cs="Arial" w:eastAsia="Arial" w:hAnsi="Arial"/>
                <w:sz w:val="13"/>
                <w:szCs w:val="13"/>
                <w:color w:val="auto"/>
              </w:rPr>
              <w:t>$111,434</w:t>
            </w: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1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9/17/2014</w:t>
            </w:r>
          </w:p>
        </w:tc>
        <w:tc>
          <w:tcPr>
            <w:tcW w:w="1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9,238</w:t>
            </w: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9"/>
                <w:szCs w:val="9"/>
                <w:color w:val="auto"/>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$334,231</w:t>
            </w:r>
          </w:p>
        </w:tc>
      </w:tr>
      <w:tr>
        <w:trPr>
          <w:trHeight w:val="262"/>
        </w:trPr>
        <w:tc>
          <w:tcPr>
            <w:tcW w:w="1200" w:type="dxa"/>
            <w:vAlign w:val="bottom"/>
          </w:tcPr>
          <w:p>
            <w:pPr>
              <w:spacing w:after="0"/>
              <w:rPr>
                <w:sz w:val="22"/>
                <w:szCs w:val="22"/>
                <w:color w:val="auto"/>
              </w:rPr>
            </w:pP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2/19/2015</w:t>
            </w:r>
          </w:p>
        </w:tc>
        <w:tc>
          <w:tcPr>
            <w:tcW w:w="1160" w:type="dxa"/>
            <w:vAlign w:val="bottom"/>
          </w:tcPr>
          <w:p>
            <w:pPr>
              <w:spacing w:after="0"/>
              <w:rPr>
                <w:sz w:val="22"/>
                <w:szCs w:val="22"/>
                <w:color w:val="auto"/>
              </w:rPr>
            </w:pPr>
          </w:p>
        </w:tc>
        <w:tc>
          <w:tcPr>
            <w:tcW w:w="1040" w:type="dxa"/>
            <w:vAlign w:val="bottom"/>
          </w:tcPr>
          <w:p>
            <w:pPr>
              <w:jc w:val="right"/>
              <w:ind w:right="217"/>
              <w:spacing w:after="0"/>
              <w:rPr>
                <w:sz w:val="20"/>
                <w:szCs w:val="20"/>
                <w:color w:val="auto"/>
              </w:rPr>
            </w:pPr>
            <w:r>
              <w:rPr>
                <w:rFonts w:ascii="Arial" w:cs="Arial" w:eastAsia="Arial" w:hAnsi="Arial"/>
                <w:sz w:val="13"/>
                <w:szCs w:val="13"/>
                <w:color w:val="auto"/>
              </w:rPr>
              <w:t>20,575</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$35.29</w:t>
            </w:r>
          </w:p>
        </w:tc>
        <w:tc>
          <w:tcPr>
            <w:tcW w:w="1920" w:type="dxa"/>
            <w:vAlign w:val="bottom"/>
          </w:tcPr>
          <w:p>
            <w:pPr>
              <w:jc w:val="right"/>
              <w:ind w:right="1117"/>
              <w:spacing w:after="0"/>
              <w:rPr>
                <w:sz w:val="20"/>
                <w:szCs w:val="20"/>
                <w:color w:val="auto"/>
              </w:rPr>
            </w:pPr>
            <w:r>
              <w:rPr>
                <w:rFonts w:ascii="Arial" w:cs="Arial" w:eastAsia="Arial" w:hAnsi="Arial"/>
                <w:sz w:val="13"/>
                <w:szCs w:val="13"/>
                <w:color w:val="auto"/>
              </w:rPr>
              <w:t>2/19/2025</w:t>
            </w: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1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2/19/2015</w:t>
            </w:r>
          </w:p>
        </w:tc>
        <w:tc>
          <w:tcPr>
            <w:tcW w:w="1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7,084</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9"/>
                <w:szCs w:val="9"/>
                <w:color w:val="auto"/>
              </w:rPr>
              <w:t>(2)</w:t>
            </w:r>
          </w:p>
        </w:tc>
        <w:tc>
          <w:tcPr>
            <w:tcW w:w="2200" w:type="dxa"/>
            <w:vAlign w:val="bottom"/>
            <w:shd w:val="clear" w:color="auto" w:fill="CCEEFF"/>
          </w:tcPr>
          <w:p>
            <w:pPr>
              <w:jc w:val="right"/>
              <w:ind w:right="1337"/>
              <w:spacing w:after="0"/>
              <w:rPr>
                <w:sz w:val="20"/>
                <w:szCs w:val="20"/>
                <w:color w:val="auto"/>
              </w:rPr>
            </w:pPr>
            <w:r>
              <w:rPr>
                <w:rFonts w:ascii="Arial" w:cs="Arial" w:eastAsia="Arial" w:hAnsi="Arial"/>
                <w:sz w:val="13"/>
                <w:szCs w:val="13"/>
                <w:color w:val="auto"/>
              </w:rPr>
              <w:t>$256,299</w:t>
            </w: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2"/>
        </w:trPr>
        <w:tc>
          <w:tcPr>
            <w:tcW w:w="1200" w:type="dxa"/>
            <w:vAlign w:val="bottom"/>
          </w:tcPr>
          <w:p>
            <w:pPr>
              <w:spacing w:after="0"/>
              <w:rPr>
                <w:sz w:val="22"/>
                <w:szCs w:val="22"/>
                <w:color w:val="auto"/>
              </w:rPr>
            </w:pP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2/19/2015</w:t>
            </w:r>
          </w:p>
        </w:tc>
        <w:tc>
          <w:tcPr>
            <w:tcW w:w="1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14,168</w:t>
            </w:r>
          </w:p>
        </w:tc>
        <w:tc>
          <w:tcPr>
            <w:tcW w:w="540" w:type="dxa"/>
            <w:vAlign w:val="bottom"/>
          </w:tcPr>
          <w:p>
            <w:pPr>
              <w:jc w:val="right"/>
              <w:ind w:right="355"/>
              <w:spacing w:after="0"/>
              <w:rPr>
                <w:sz w:val="20"/>
                <w:szCs w:val="20"/>
                <w:color w:val="auto"/>
              </w:rPr>
            </w:pPr>
            <w:r>
              <w:rPr>
                <w:rFonts w:ascii="Arial" w:cs="Arial" w:eastAsia="Arial" w:hAnsi="Arial"/>
                <w:sz w:val="9"/>
                <w:szCs w:val="9"/>
                <w:color w:val="auto"/>
              </w:rPr>
              <w:t>(4)</w:t>
            </w:r>
          </w:p>
        </w:tc>
        <w:tc>
          <w:tcPr>
            <w:tcW w:w="900" w:type="dxa"/>
            <w:vAlign w:val="bottom"/>
          </w:tcPr>
          <w:p>
            <w:pPr>
              <w:jc w:val="right"/>
              <w:spacing w:after="0"/>
              <w:rPr>
                <w:sz w:val="20"/>
                <w:szCs w:val="20"/>
                <w:color w:val="auto"/>
              </w:rPr>
            </w:pPr>
            <w:r>
              <w:rPr>
                <w:rFonts w:ascii="Arial" w:cs="Arial" w:eastAsia="Arial" w:hAnsi="Arial"/>
                <w:sz w:val="13"/>
                <w:szCs w:val="13"/>
                <w:color w:val="auto"/>
              </w:rPr>
              <w:t>$512,598</w:t>
            </w:r>
          </w:p>
        </w:tc>
      </w:tr>
      <w:tr>
        <w:trPr>
          <w:trHeight w:val="143"/>
        </w:trPr>
        <w:tc>
          <w:tcPr>
            <w:tcW w:w="1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62"/>
        </w:trPr>
        <w:tc>
          <w:tcPr>
            <w:tcW w:w="1200" w:type="dxa"/>
            <w:vAlign w:val="bottom"/>
          </w:tcPr>
          <w:p>
            <w:pPr>
              <w:ind w:left="40"/>
              <w:spacing w:after="0"/>
              <w:rPr>
                <w:sz w:val="20"/>
                <w:szCs w:val="20"/>
                <w:color w:val="auto"/>
              </w:rPr>
            </w:pPr>
            <w:r>
              <w:rPr>
                <w:rFonts w:ascii="Arial" w:cs="Arial" w:eastAsia="Arial" w:hAnsi="Arial"/>
                <w:sz w:val="13"/>
                <w:szCs w:val="13"/>
                <w:color w:val="auto"/>
              </w:rPr>
              <w:t>Michel Cadieux</w:t>
            </w: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2/19/2014</w:t>
            </w:r>
          </w:p>
        </w:tc>
        <w:tc>
          <w:tcPr>
            <w:tcW w:w="1160" w:type="dxa"/>
            <w:vAlign w:val="bottom"/>
          </w:tcPr>
          <w:p>
            <w:pPr>
              <w:jc w:val="right"/>
              <w:ind w:right="337"/>
              <w:spacing w:after="0"/>
              <w:rPr>
                <w:sz w:val="20"/>
                <w:szCs w:val="20"/>
                <w:color w:val="auto"/>
              </w:rPr>
            </w:pPr>
            <w:r>
              <w:rPr>
                <w:rFonts w:ascii="Arial" w:cs="Arial" w:eastAsia="Arial" w:hAnsi="Arial"/>
                <w:sz w:val="13"/>
                <w:szCs w:val="13"/>
                <w:color w:val="auto"/>
              </w:rPr>
              <w:t>2,741</w:t>
            </w:r>
          </w:p>
        </w:tc>
        <w:tc>
          <w:tcPr>
            <w:tcW w:w="1040" w:type="dxa"/>
            <w:vAlign w:val="bottom"/>
          </w:tcPr>
          <w:p>
            <w:pPr>
              <w:jc w:val="right"/>
              <w:ind w:right="217"/>
              <w:spacing w:after="0"/>
              <w:rPr>
                <w:sz w:val="20"/>
                <w:szCs w:val="20"/>
                <w:color w:val="auto"/>
              </w:rPr>
            </w:pPr>
            <w:r>
              <w:rPr>
                <w:rFonts w:ascii="Arial" w:cs="Arial" w:eastAsia="Arial" w:hAnsi="Arial"/>
                <w:sz w:val="13"/>
                <w:szCs w:val="13"/>
                <w:color w:val="auto"/>
              </w:rPr>
              <w:t>5,482</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$35.29</w:t>
            </w:r>
          </w:p>
        </w:tc>
        <w:tc>
          <w:tcPr>
            <w:tcW w:w="1920" w:type="dxa"/>
            <w:vAlign w:val="bottom"/>
          </w:tcPr>
          <w:p>
            <w:pPr>
              <w:jc w:val="right"/>
              <w:ind w:right="1117"/>
              <w:spacing w:after="0"/>
              <w:rPr>
                <w:sz w:val="20"/>
                <w:szCs w:val="20"/>
                <w:color w:val="auto"/>
              </w:rPr>
            </w:pPr>
            <w:r>
              <w:rPr>
                <w:rFonts w:ascii="Arial" w:cs="Arial" w:eastAsia="Arial" w:hAnsi="Arial"/>
                <w:sz w:val="13"/>
                <w:szCs w:val="13"/>
                <w:color w:val="auto"/>
              </w:rPr>
              <w:t>2/19/2024</w:t>
            </w: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1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2/19/2014</w:t>
            </w:r>
          </w:p>
        </w:tc>
        <w:tc>
          <w:tcPr>
            <w:tcW w:w="1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2,125</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9"/>
                <w:szCs w:val="9"/>
                <w:color w:val="auto"/>
              </w:rPr>
              <w:t>(2)</w:t>
            </w:r>
          </w:p>
        </w:tc>
        <w:tc>
          <w:tcPr>
            <w:tcW w:w="2200" w:type="dxa"/>
            <w:vAlign w:val="bottom"/>
            <w:shd w:val="clear" w:color="auto" w:fill="CCEEFF"/>
          </w:tcPr>
          <w:p>
            <w:pPr>
              <w:jc w:val="right"/>
              <w:ind w:right="1337"/>
              <w:spacing w:after="0"/>
              <w:rPr>
                <w:sz w:val="20"/>
                <w:szCs w:val="20"/>
                <w:color w:val="auto"/>
              </w:rPr>
            </w:pPr>
            <w:r>
              <w:rPr>
                <w:rFonts w:ascii="Arial" w:cs="Arial" w:eastAsia="Arial" w:hAnsi="Arial"/>
                <w:sz w:val="13"/>
                <w:szCs w:val="13"/>
                <w:color w:val="auto"/>
              </w:rPr>
              <w:t>$76,883</w:t>
            </w: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2"/>
        </w:trPr>
        <w:tc>
          <w:tcPr>
            <w:tcW w:w="1200" w:type="dxa"/>
            <w:vAlign w:val="bottom"/>
          </w:tcPr>
          <w:p>
            <w:pPr>
              <w:spacing w:after="0"/>
              <w:rPr>
                <w:sz w:val="22"/>
                <w:szCs w:val="22"/>
                <w:color w:val="auto"/>
              </w:rPr>
            </w:pP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5/28/2014</w:t>
            </w:r>
          </w:p>
        </w:tc>
        <w:tc>
          <w:tcPr>
            <w:tcW w:w="1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6,375</w:t>
            </w:r>
          </w:p>
        </w:tc>
        <w:tc>
          <w:tcPr>
            <w:tcW w:w="540" w:type="dxa"/>
            <w:vAlign w:val="bottom"/>
          </w:tcPr>
          <w:p>
            <w:pPr>
              <w:jc w:val="right"/>
              <w:ind w:right="355"/>
              <w:spacing w:after="0"/>
              <w:rPr>
                <w:sz w:val="20"/>
                <w:szCs w:val="20"/>
                <w:color w:val="auto"/>
              </w:rPr>
            </w:pPr>
            <w:r>
              <w:rPr>
                <w:rFonts w:ascii="Arial" w:cs="Arial" w:eastAsia="Arial" w:hAnsi="Arial"/>
                <w:sz w:val="9"/>
                <w:szCs w:val="9"/>
                <w:color w:val="auto"/>
              </w:rPr>
              <w:t>(3)</w:t>
            </w:r>
          </w:p>
        </w:tc>
        <w:tc>
          <w:tcPr>
            <w:tcW w:w="900" w:type="dxa"/>
            <w:vAlign w:val="bottom"/>
          </w:tcPr>
          <w:p>
            <w:pPr>
              <w:jc w:val="right"/>
              <w:spacing w:after="0"/>
              <w:rPr>
                <w:sz w:val="20"/>
                <w:szCs w:val="20"/>
                <w:color w:val="auto"/>
              </w:rPr>
            </w:pPr>
            <w:r>
              <w:rPr>
                <w:rFonts w:ascii="Arial" w:cs="Arial" w:eastAsia="Arial" w:hAnsi="Arial"/>
                <w:sz w:val="13"/>
                <w:szCs w:val="13"/>
                <w:color w:val="auto"/>
              </w:rPr>
              <w:t>$230,648</w:t>
            </w:r>
          </w:p>
        </w:tc>
      </w:tr>
      <w:tr>
        <w:trPr>
          <w:trHeight w:val="278"/>
        </w:trPr>
        <w:tc>
          <w:tcPr>
            <w:tcW w:w="1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2/19/2015</w:t>
            </w:r>
          </w:p>
        </w:tc>
        <w:tc>
          <w:tcPr>
            <w:tcW w:w="1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16,460</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$35.29</w:t>
            </w:r>
          </w:p>
        </w:tc>
        <w:tc>
          <w:tcPr>
            <w:tcW w:w="1920" w:type="dxa"/>
            <w:vAlign w:val="bottom"/>
            <w:shd w:val="clear" w:color="auto" w:fill="CCEEFF"/>
          </w:tcPr>
          <w:p>
            <w:pPr>
              <w:jc w:val="right"/>
              <w:ind w:right="1117"/>
              <w:spacing w:after="0"/>
              <w:rPr>
                <w:sz w:val="20"/>
                <w:szCs w:val="20"/>
                <w:color w:val="auto"/>
              </w:rPr>
            </w:pPr>
            <w:r>
              <w:rPr>
                <w:rFonts w:ascii="Arial" w:cs="Arial" w:eastAsia="Arial" w:hAnsi="Arial"/>
                <w:sz w:val="13"/>
                <w:szCs w:val="13"/>
                <w:color w:val="auto"/>
              </w:rPr>
              <w:t>2/19/2025</w:t>
            </w:r>
          </w:p>
        </w:tc>
        <w:tc>
          <w:tcPr>
            <w:tcW w:w="40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2"/>
        </w:trPr>
        <w:tc>
          <w:tcPr>
            <w:tcW w:w="1200" w:type="dxa"/>
            <w:vAlign w:val="bottom"/>
          </w:tcPr>
          <w:p>
            <w:pPr>
              <w:spacing w:after="0"/>
              <w:rPr>
                <w:sz w:val="22"/>
                <w:szCs w:val="22"/>
                <w:color w:val="auto"/>
              </w:rPr>
            </w:pP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2/19/2015</w:t>
            </w:r>
          </w:p>
        </w:tc>
        <w:tc>
          <w:tcPr>
            <w:tcW w:w="1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5,667</w:t>
            </w:r>
          </w:p>
        </w:tc>
        <w:tc>
          <w:tcPr>
            <w:tcW w:w="400" w:type="dxa"/>
            <w:vAlign w:val="bottom"/>
          </w:tcPr>
          <w:p>
            <w:pPr>
              <w:jc w:val="right"/>
              <w:ind w:right="215"/>
              <w:spacing w:after="0"/>
              <w:rPr>
                <w:sz w:val="20"/>
                <w:szCs w:val="20"/>
                <w:color w:val="auto"/>
              </w:rPr>
            </w:pPr>
            <w:r>
              <w:rPr>
                <w:rFonts w:ascii="Arial" w:cs="Arial" w:eastAsia="Arial" w:hAnsi="Arial"/>
                <w:sz w:val="9"/>
                <w:szCs w:val="9"/>
                <w:color w:val="auto"/>
              </w:rPr>
              <w:t>(2)</w:t>
            </w:r>
          </w:p>
        </w:tc>
        <w:tc>
          <w:tcPr>
            <w:tcW w:w="2200" w:type="dxa"/>
            <w:vAlign w:val="bottom"/>
          </w:tcPr>
          <w:p>
            <w:pPr>
              <w:jc w:val="right"/>
              <w:ind w:right="1337"/>
              <w:spacing w:after="0"/>
              <w:rPr>
                <w:sz w:val="20"/>
                <w:szCs w:val="20"/>
                <w:color w:val="auto"/>
              </w:rPr>
            </w:pPr>
            <w:r>
              <w:rPr>
                <w:rFonts w:ascii="Arial" w:cs="Arial" w:eastAsia="Arial" w:hAnsi="Arial"/>
                <w:sz w:val="13"/>
                <w:szCs w:val="13"/>
                <w:color w:val="auto"/>
              </w:rPr>
              <w:t>$205,032</w:t>
            </w: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1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2/19/2015</w:t>
            </w:r>
          </w:p>
        </w:tc>
        <w:tc>
          <w:tcPr>
            <w:tcW w:w="1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11,334</w:t>
            </w: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9"/>
                <w:szCs w:val="9"/>
                <w:color w:val="auto"/>
              </w:rPr>
              <w:t>(4)</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$410,064</w:t>
            </w:r>
          </w:p>
        </w:tc>
      </w:tr>
      <w:tr>
        <w:trPr>
          <w:trHeight w:val="135"/>
        </w:trPr>
        <w:tc>
          <w:tcPr>
            <w:tcW w:w="1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70"/>
        </w:trPr>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Shannon Votava</w:t>
            </w: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12/12/2011</w:t>
            </w:r>
          </w:p>
        </w:tc>
        <w:tc>
          <w:tcPr>
            <w:tcW w:w="11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10,000</w:t>
            </w:r>
          </w:p>
        </w:tc>
        <w:tc>
          <w:tcPr>
            <w:tcW w:w="10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$35.65</w:t>
            </w:r>
          </w:p>
        </w:tc>
        <w:tc>
          <w:tcPr>
            <w:tcW w:w="1920" w:type="dxa"/>
            <w:vAlign w:val="bottom"/>
            <w:shd w:val="clear" w:color="auto" w:fill="CCEEFF"/>
          </w:tcPr>
          <w:p>
            <w:pPr>
              <w:jc w:val="right"/>
              <w:ind w:right="1117"/>
              <w:spacing w:after="0"/>
              <w:rPr>
                <w:sz w:val="20"/>
                <w:szCs w:val="20"/>
                <w:color w:val="auto"/>
              </w:rPr>
            </w:pPr>
            <w:r>
              <w:rPr>
                <w:rFonts w:ascii="Arial" w:cs="Arial" w:eastAsia="Arial" w:hAnsi="Arial"/>
                <w:sz w:val="13"/>
                <w:szCs w:val="13"/>
                <w:color w:val="auto"/>
              </w:rPr>
              <w:t>12/12/2021</w:t>
            </w:r>
          </w:p>
        </w:tc>
        <w:tc>
          <w:tcPr>
            <w:tcW w:w="40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2"/>
        </w:trPr>
        <w:tc>
          <w:tcPr>
            <w:tcW w:w="1200" w:type="dxa"/>
            <w:vAlign w:val="bottom"/>
          </w:tcPr>
          <w:p>
            <w:pPr>
              <w:spacing w:after="0"/>
              <w:rPr>
                <w:sz w:val="22"/>
                <w:szCs w:val="22"/>
                <w:color w:val="auto"/>
              </w:rPr>
            </w:pP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2/16/2012</w:t>
            </w:r>
          </w:p>
        </w:tc>
        <w:tc>
          <w:tcPr>
            <w:tcW w:w="1160" w:type="dxa"/>
            <w:vAlign w:val="bottom"/>
          </w:tcPr>
          <w:p>
            <w:pPr>
              <w:jc w:val="right"/>
              <w:ind w:right="337"/>
              <w:spacing w:after="0"/>
              <w:rPr>
                <w:sz w:val="20"/>
                <w:szCs w:val="20"/>
                <w:color w:val="auto"/>
              </w:rPr>
            </w:pPr>
            <w:r>
              <w:rPr>
                <w:rFonts w:ascii="Arial" w:cs="Arial" w:eastAsia="Arial" w:hAnsi="Arial"/>
                <w:sz w:val="13"/>
                <w:szCs w:val="13"/>
                <w:color w:val="auto"/>
              </w:rPr>
              <w:t>4,023</w:t>
            </w:r>
          </w:p>
        </w:tc>
        <w:tc>
          <w:tcPr>
            <w:tcW w:w="1040" w:type="dxa"/>
            <w:vAlign w:val="bottom"/>
          </w:tcPr>
          <w:p>
            <w:pPr>
              <w:spacing w:after="0"/>
              <w:rPr>
                <w:sz w:val="22"/>
                <w:szCs w:val="22"/>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$48.23</w:t>
            </w:r>
          </w:p>
        </w:tc>
        <w:tc>
          <w:tcPr>
            <w:tcW w:w="1920" w:type="dxa"/>
            <w:vAlign w:val="bottom"/>
          </w:tcPr>
          <w:p>
            <w:pPr>
              <w:jc w:val="right"/>
              <w:ind w:right="1117"/>
              <w:spacing w:after="0"/>
              <w:rPr>
                <w:sz w:val="20"/>
                <w:szCs w:val="20"/>
                <w:color w:val="auto"/>
              </w:rPr>
            </w:pPr>
            <w:r>
              <w:rPr>
                <w:rFonts w:ascii="Arial" w:cs="Arial" w:eastAsia="Arial" w:hAnsi="Arial"/>
                <w:sz w:val="13"/>
                <w:szCs w:val="13"/>
                <w:color w:val="auto"/>
              </w:rPr>
              <w:t>2/16/2022</w:t>
            </w: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1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2/21/2013</w:t>
            </w:r>
          </w:p>
        </w:tc>
        <w:tc>
          <w:tcPr>
            <w:tcW w:w="11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4,347</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2,174</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$42.35</w:t>
            </w:r>
          </w:p>
        </w:tc>
        <w:tc>
          <w:tcPr>
            <w:tcW w:w="1920" w:type="dxa"/>
            <w:vAlign w:val="bottom"/>
            <w:shd w:val="clear" w:color="auto" w:fill="CCEEFF"/>
          </w:tcPr>
          <w:p>
            <w:pPr>
              <w:jc w:val="right"/>
              <w:ind w:right="1117"/>
              <w:spacing w:after="0"/>
              <w:rPr>
                <w:sz w:val="20"/>
                <w:szCs w:val="20"/>
                <w:color w:val="auto"/>
              </w:rPr>
            </w:pPr>
            <w:r>
              <w:rPr>
                <w:rFonts w:ascii="Arial" w:cs="Arial" w:eastAsia="Arial" w:hAnsi="Arial"/>
                <w:sz w:val="13"/>
                <w:szCs w:val="13"/>
                <w:color w:val="auto"/>
              </w:rPr>
              <w:t>2/21/2023</w:t>
            </w:r>
          </w:p>
        </w:tc>
        <w:tc>
          <w:tcPr>
            <w:tcW w:w="40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2"/>
        </w:trPr>
        <w:tc>
          <w:tcPr>
            <w:tcW w:w="1200" w:type="dxa"/>
            <w:vAlign w:val="bottom"/>
          </w:tcPr>
          <w:p>
            <w:pPr>
              <w:spacing w:after="0"/>
              <w:rPr>
                <w:sz w:val="22"/>
                <w:szCs w:val="22"/>
                <w:color w:val="auto"/>
              </w:rPr>
            </w:pP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2/21/2013</w:t>
            </w:r>
          </w:p>
        </w:tc>
        <w:tc>
          <w:tcPr>
            <w:tcW w:w="1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787</w:t>
            </w:r>
          </w:p>
        </w:tc>
        <w:tc>
          <w:tcPr>
            <w:tcW w:w="400" w:type="dxa"/>
            <w:vAlign w:val="bottom"/>
          </w:tcPr>
          <w:p>
            <w:pPr>
              <w:jc w:val="right"/>
              <w:ind w:right="215"/>
              <w:spacing w:after="0"/>
              <w:rPr>
                <w:sz w:val="20"/>
                <w:szCs w:val="20"/>
                <w:color w:val="auto"/>
              </w:rPr>
            </w:pPr>
            <w:r>
              <w:rPr>
                <w:rFonts w:ascii="Arial" w:cs="Arial" w:eastAsia="Arial" w:hAnsi="Arial"/>
                <w:sz w:val="9"/>
                <w:szCs w:val="9"/>
                <w:color w:val="auto"/>
              </w:rPr>
              <w:t>(2)</w:t>
            </w:r>
          </w:p>
        </w:tc>
        <w:tc>
          <w:tcPr>
            <w:tcW w:w="2200" w:type="dxa"/>
            <w:vAlign w:val="bottom"/>
          </w:tcPr>
          <w:p>
            <w:pPr>
              <w:jc w:val="right"/>
              <w:ind w:right="1337"/>
              <w:spacing w:after="0"/>
              <w:rPr>
                <w:sz w:val="20"/>
                <w:szCs w:val="20"/>
                <w:color w:val="auto"/>
              </w:rPr>
            </w:pPr>
            <w:r>
              <w:rPr>
                <w:rFonts w:ascii="Arial" w:cs="Arial" w:eastAsia="Arial" w:hAnsi="Arial"/>
                <w:sz w:val="13"/>
                <w:szCs w:val="13"/>
                <w:color w:val="auto"/>
              </w:rPr>
              <w:t>$28,474</w:t>
            </w: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00"/>
        </w:trPr>
        <w:tc>
          <w:tcPr>
            <w:tcW w:w="1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2/19/2014</w:t>
            </w:r>
          </w:p>
        </w:tc>
        <w:tc>
          <w:tcPr>
            <w:tcW w:w="11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2,436</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4,873</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$35.29</w:t>
            </w:r>
          </w:p>
        </w:tc>
        <w:tc>
          <w:tcPr>
            <w:tcW w:w="1920" w:type="dxa"/>
            <w:vAlign w:val="bottom"/>
            <w:shd w:val="clear" w:color="auto" w:fill="CCEEFF"/>
          </w:tcPr>
          <w:p>
            <w:pPr>
              <w:jc w:val="right"/>
              <w:ind w:right="1117"/>
              <w:spacing w:after="0"/>
              <w:rPr>
                <w:sz w:val="20"/>
                <w:szCs w:val="20"/>
                <w:color w:val="auto"/>
              </w:rPr>
            </w:pPr>
            <w:r>
              <w:rPr>
                <w:rFonts w:ascii="Arial" w:cs="Arial" w:eastAsia="Arial" w:hAnsi="Arial"/>
                <w:sz w:val="13"/>
                <w:szCs w:val="13"/>
                <w:color w:val="auto"/>
              </w:rPr>
              <w:t>2/19/2024</w:t>
            </w:r>
          </w:p>
        </w:tc>
        <w:tc>
          <w:tcPr>
            <w:tcW w:w="4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bl>
    <w:p>
      <w:pPr>
        <w:sectPr>
          <w:pgSz w:w="11900" w:h="16900" w:orient="portrait"/>
          <w:cols w:equalWidth="0" w:num="1">
            <w:col w:w="11420"/>
          </w:cols>
          <w:pgMar w:left="240" w:top="125" w:right="239" w:bottom="0" w:gutter="0" w:footer="0" w:header="0"/>
          <w:type w:val="continuous"/>
        </w:sectPr>
      </w:pPr>
    </w:p>
    <w:bookmarkStart w:id="147" w:name="page148"/>
    <w:bookmarkEnd w:id="1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3040" w:type="dxa"/>
            <w:vAlign w:val="bottom"/>
          </w:tcPr>
          <w:p>
            <w:pPr>
              <w:jc w:val="right"/>
              <w:ind w:right="917"/>
              <w:spacing w:after="0"/>
              <w:rPr>
                <w:sz w:val="20"/>
                <w:szCs w:val="20"/>
                <w:color w:val="auto"/>
              </w:rPr>
            </w:pPr>
            <w:r>
              <w:rPr>
                <w:rFonts w:ascii="Arial" w:cs="Arial" w:eastAsia="Arial" w:hAnsi="Arial"/>
                <w:sz w:val="13"/>
                <w:szCs w:val="13"/>
                <w:color w:val="auto"/>
              </w:rPr>
              <w:t>2/19/2014</w:t>
            </w: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1,889</w:t>
            </w:r>
          </w:p>
        </w:tc>
        <w:tc>
          <w:tcPr>
            <w:tcW w:w="440" w:type="dxa"/>
            <w:vAlign w:val="bottom"/>
          </w:tcPr>
          <w:p>
            <w:pPr>
              <w:jc w:val="right"/>
              <w:ind w:right="255"/>
              <w:spacing w:after="0"/>
              <w:rPr>
                <w:sz w:val="20"/>
                <w:szCs w:val="20"/>
                <w:color w:val="auto"/>
              </w:rPr>
            </w:pPr>
            <w:r>
              <w:rPr>
                <w:rFonts w:ascii="Arial" w:cs="Arial" w:eastAsia="Arial" w:hAnsi="Arial"/>
                <w:sz w:val="9"/>
                <w:szCs w:val="9"/>
                <w:color w:val="auto"/>
              </w:rPr>
              <w:t>(2)</w:t>
            </w:r>
          </w:p>
        </w:tc>
        <w:tc>
          <w:tcPr>
            <w:tcW w:w="2160" w:type="dxa"/>
            <w:vAlign w:val="bottom"/>
          </w:tcPr>
          <w:p>
            <w:pPr>
              <w:jc w:val="right"/>
              <w:ind w:right="1337"/>
              <w:spacing w:after="0"/>
              <w:rPr>
                <w:sz w:val="20"/>
                <w:szCs w:val="20"/>
                <w:color w:val="auto"/>
              </w:rPr>
            </w:pPr>
            <w:r>
              <w:rPr>
                <w:rFonts w:ascii="Arial" w:cs="Arial" w:eastAsia="Arial" w:hAnsi="Arial"/>
                <w:sz w:val="13"/>
                <w:szCs w:val="13"/>
                <w:color w:val="auto"/>
              </w:rPr>
              <w:t>$68,344</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78"/>
        </w:trPr>
        <w:tc>
          <w:tcPr>
            <w:tcW w:w="3040" w:type="dxa"/>
            <w:vAlign w:val="bottom"/>
            <w:shd w:val="clear" w:color="auto" w:fill="CCEEFF"/>
          </w:tcPr>
          <w:p>
            <w:pPr>
              <w:jc w:val="right"/>
              <w:ind w:right="917"/>
              <w:spacing w:after="0"/>
              <w:rPr>
                <w:sz w:val="20"/>
                <w:szCs w:val="20"/>
                <w:color w:val="auto"/>
              </w:rPr>
            </w:pPr>
            <w:r>
              <w:rPr>
                <w:rFonts w:ascii="Arial" w:cs="Arial" w:eastAsia="Arial" w:hAnsi="Arial"/>
                <w:sz w:val="13"/>
                <w:szCs w:val="13"/>
                <w:color w:val="auto"/>
              </w:rPr>
              <w:t>5/28/2014</w:t>
            </w:r>
          </w:p>
        </w:tc>
        <w:tc>
          <w:tcPr>
            <w:tcW w:w="16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5,667</w:t>
            </w: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9"/>
                <w:szCs w:val="9"/>
                <w:color w:val="auto"/>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$205,032</w:t>
            </w:r>
          </w:p>
        </w:tc>
      </w:tr>
      <w:tr>
        <w:trPr>
          <w:trHeight w:val="262"/>
        </w:trPr>
        <w:tc>
          <w:tcPr>
            <w:tcW w:w="3040" w:type="dxa"/>
            <w:vAlign w:val="bottom"/>
          </w:tcPr>
          <w:p>
            <w:pPr>
              <w:jc w:val="right"/>
              <w:ind w:right="917"/>
              <w:spacing w:after="0"/>
              <w:rPr>
                <w:sz w:val="20"/>
                <w:szCs w:val="20"/>
                <w:color w:val="auto"/>
              </w:rPr>
            </w:pPr>
            <w:r>
              <w:rPr>
                <w:rFonts w:ascii="Arial" w:cs="Arial" w:eastAsia="Arial" w:hAnsi="Arial"/>
                <w:sz w:val="13"/>
                <w:szCs w:val="13"/>
                <w:color w:val="auto"/>
              </w:rPr>
              <w:t>2/19/2015</w:t>
            </w:r>
          </w:p>
        </w:tc>
        <w:tc>
          <w:tcPr>
            <w:tcW w:w="1620" w:type="dxa"/>
            <w:vAlign w:val="bottom"/>
          </w:tcPr>
          <w:p>
            <w:pPr>
              <w:jc w:val="right"/>
              <w:ind w:right="217"/>
              <w:spacing w:after="0"/>
              <w:rPr>
                <w:sz w:val="20"/>
                <w:szCs w:val="20"/>
                <w:color w:val="auto"/>
              </w:rPr>
            </w:pPr>
            <w:r>
              <w:rPr>
                <w:rFonts w:ascii="Arial" w:cs="Arial" w:eastAsia="Arial" w:hAnsi="Arial"/>
                <w:sz w:val="13"/>
                <w:szCs w:val="13"/>
                <w:color w:val="auto"/>
              </w:rPr>
              <w:t>10,287</w:t>
            </w:r>
          </w:p>
        </w:tc>
        <w:tc>
          <w:tcPr>
            <w:tcW w:w="840" w:type="dxa"/>
            <w:vAlign w:val="bottom"/>
          </w:tcPr>
          <w:p>
            <w:pPr>
              <w:jc w:val="right"/>
              <w:ind w:right="137"/>
              <w:spacing w:after="0"/>
              <w:rPr>
                <w:sz w:val="20"/>
                <w:szCs w:val="20"/>
                <w:color w:val="auto"/>
              </w:rPr>
            </w:pPr>
            <w:r>
              <w:rPr>
                <w:rFonts w:ascii="Arial" w:cs="Arial" w:eastAsia="Arial" w:hAnsi="Arial"/>
                <w:sz w:val="13"/>
                <w:szCs w:val="13"/>
                <w:color w:val="auto"/>
              </w:rPr>
              <w:t>$35.29</w:t>
            </w:r>
          </w:p>
        </w:tc>
        <w:tc>
          <w:tcPr>
            <w:tcW w:w="1880" w:type="dxa"/>
            <w:vAlign w:val="bottom"/>
          </w:tcPr>
          <w:p>
            <w:pPr>
              <w:jc w:val="right"/>
              <w:ind w:right="1117"/>
              <w:spacing w:after="0"/>
              <w:rPr>
                <w:sz w:val="20"/>
                <w:szCs w:val="20"/>
                <w:color w:val="auto"/>
              </w:rPr>
            </w:pPr>
            <w:r>
              <w:rPr>
                <w:rFonts w:ascii="Arial" w:cs="Arial" w:eastAsia="Arial" w:hAnsi="Arial"/>
                <w:sz w:val="13"/>
                <w:szCs w:val="13"/>
                <w:color w:val="auto"/>
              </w:rPr>
              <w:t>2/19/2025</w:t>
            </w:r>
          </w:p>
        </w:tc>
        <w:tc>
          <w:tcPr>
            <w:tcW w:w="4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3040" w:type="dxa"/>
            <w:vAlign w:val="bottom"/>
            <w:shd w:val="clear" w:color="auto" w:fill="CCEEFF"/>
          </w:tcPr>
          <w:p>
            <w:pPr>
              <w:jc w:val="right"/>
              <w:ind w:right="917"/>
              <w:spacing w:after="0"/>
              <w:rPr>
                <w:sz w:val="20"/>
                <w:szCs w:val="20"/>
                <w:color w:val="auto"/>
              </w:rPr>
            </w:pPr>
            <w:r>
              <w:rPr>
                <w:rFonts w:ascii="Arial" w:cs="Arial" w:eastAsia="Arial" w:hAnsi="Arial"/>
                <w:sz w:val="13"/>
                <w:szCs w:val="13"/>
                <w:color w:val="auto"/>
              </w:rPr>
              <w:t>2/19/2015</w:t>
            </w:r>
          </w:p>
        </w:tc>
        <w:tc>
          <w:tcPr>
            <w:tcW w:w="16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3,542</w:t>
            </w: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9"/>
                <w:szCs w:val="9"/>
                <w:color w:val="auto"/>
              </w:rPr>
              <w:t>(2)</w:t>
            </w:r>
          </w:p>
        </w:tc>
        <w:tc>
          <w:tcPr>
            <w:tcW w:w="2160" w:type="dxa"/>
            <w:vAlign w:val="bottom"/>
            <w:shd w:val="clear" w:color="auto" w:fill="CCEEFF"/>
          </w:tcPr>
          <w:p>
            <w:pPr>
              <w:jc w:val="right"/>
              <w:ind w:right="1337"/>
              <w:spacing w:after="0"/>
              <w:rPr>
                <w:sz w:val="20"/>
                <w:szCs w:val="20"/>
                <w:color w:val="auto"/>
              </w:rPr>
            </w:pPr>
            <w:r>
              <w:rPr>
                <w:rFonts w:ascii="Arial" w:cs="Arial" w:eastAsia="Arial" w:hAnsi="Arial"/>
                <w:sz w:val="13"/>
                <w:szCs w:val="13"/>
                <w:color w:val="auto"/>
              </w:rPr>
              <w:t>$128,150</w:t>
            </w: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54"/>
        </w:trPr>
        <w:tc>
          <w:tcPr>
            <w:tcW w:w="3040" w:type="dxa"/>
            <w:vAlign w:val="bottom"/>
          </w:tcPr>
          <w:p>
            <w:pPr>
              <w:jc w:val="right"/>
              <w:ind w:right="917"/>
              <w:spacing w:after="0"/>
              <w:rPr>
                <w:sz w:val="20"/>
                <w:szCs w:val="20"/>
                <w:color w:val="auto"/>
              </w:rPr>
            </w:pPr>
            <w:r>
              <w:rPr>
                <w:rFonts w:ascii="Arial" w:cs="Arial" w:eastAsia="Arial" w:hAnsi="Arial"/>
                <w:sz w:val="13"/>
                <w:szCs w:val="13"/>
                <w:color w:val="auto"/>
              </w:rPr>
              <w:t>2/19/2015</w:t>
            </w:r>
          </w:p>
        </w:tc>
        <w:tc>
          <w:tcPr>
            <w:tcW w:w="1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7,084</w:t>
            </w:r>
          </w:p>
        </w:tc>
        <w:tc>
          <w:tcPr>
            <w:tcW w:w="540" w:type="dxa"/>
            <w:vAlign w:val="bottom"/>
          </w:tcPr>
          <w:p>
            <w:pPr>
              <w:jc w:val="right"/>
              <w:ind w:right="355"/>
              <w:spacing w:after="0"/>
              <w:rPr>
                <w:sz w:val="20"/>
                <w:szCs w:val="20"/>
                <w:color w:val="auto"/>
              </w:rPr>
            </w:pPr>
            <w:r>
              <w:rPr>
                <w:rFonts w:ascii="Arial" w:cs="Arial" w:eastAsia="Arial" w:hAnsi="Arial"/>
                <w:sz w:val="9"/>
                <w:szCs w:val="9"/>
                <w:color w:val="auto"/>
              </w:rPr>
              <w:t>(4)</w:t>
            </w:r>
          </w:p>
        </w:tc>
        <w:tc>
          <w:tcPr>
            <w:tcW w:w="900" w:type="dxa"/>
            <w:vAlign w:val="bottom"/>
          </w:tcPr>
          <w:p>
            <w:pPr>
              <w:jc w:val="right"/>
              <w:spacing w:after="0"/>
              <w:rPr>
                <w:sz w:val="20"/>
                <w:szCs w:val="20"/>
                <w:color w:val="auto"/>
              </w:rPr>
            </w:pPr>
            <w:r>
              <w:rPr>
                <w:rFonts w:ascii="Arial" w:cs="Arial" w:eastAsia="Arial" w:hAnsi="Arial"/>
                <w:sz w:val="13"/>
                <w:szCs w:val="13"/>
                <w:color w:val="auto"/>
              </w:rPr>
              <w:t>$256,299</w:t>
            </w:r>
          </w:p>
        </w:tc>
      </w:tr>
    </w:tbl>
    <w:p>
      <w:pPr>
        <w:spacing w:after="0" w:line="2" w:lineRule="exact"/>
        <w:rPr>
          <w:sz w:val="20"/>
          <w:szCs w:val="20"/>
          <w:color w:val="auto"/>
        </w:rPr>
      </w:pPr>
    </w:p>
    <w:p>
      <w:pPr>
        <w:jc w:val="both"/>
        <w:ind w:left="260" w:hanging="252"/>
        <w:spacing w:after="0" w:line="247" w:lineRule="auto"/>
        <w:tabs>
          <w:tab w:leader="none" w:pos="2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One third of the options granted on February 21, 2013 vest on each of February 21, 2014, 2015 and 2016. One third of the options granted on February 22, 2013 vest on each of February 22, 2014, 2015 and 2016. One third of the options granted on February 19, 2014 vest on each of February 19, 2015, 2016 and 2017. One third of the options granted on February 21, 2014 vest on each of February 21, 2015, 2016 and 2017. One third of the options granted on September 17, 2014 vest on each of September 17, 2015, 2016 and 2017.</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76"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260"/>
        <w:spacing w:after="0"/>
        <w:rPr>
          <w:sz w:val="20"/>
          <w:szCs w:val="20"/>
          <w:color w:val="auto"/>
        </w:rPr>
      </w:pPr>
      <w:r>
        <w:rPr>
          <w:rFonts w:ascii="Arial" w:cs="Arial" w:eastAsia="Arial" w:hAnsi="Arial"/>
          <w:sz w:val="11"/>
          <w:szCs w:val="11"/>
          <w:color w:val="auto"/>
        </w:rPr>
        <w:t>One third of the options granted on February 19, 2015 vest on each of February 19, 2016, 2017 and 2018. One third of the options granted on December 10, 2015 vest on each of December 10, 2016, 2017 and 2018.</w:t>
      </w:r>
    </w:p>
    <w:p>
      <w:pPr>
        <w:spacing w:after="0" w:line="76" w:lineRule="exact"/>
        <w:rPr>
          <w:sz w:val="20"/>
          <w:szCs w:val="20"/>
          <w:color w:val="auto"/>
        </w:rPr>
      </w:pPr>
    </w:p>
    <w:p>
      <w:pPr>
        <w:jc w:val="both"/>
        <w:ind w:left="260" w:hanging="252"/>
        <w:spacing w:after="0" w:line="241" w:lineRule="auto"/>
        <w:tabs>
          <w:tab w:leader="none" w:pos="2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Represents time-vested RSUs granted under the 2010 SIP. One third of the RSUs granted on February 21, 2013 vest on each of February 21, 2014, 2015 and 2016. One third of the RSUs granted on February 22, 2013 vest on each of February 22, 2014, 2015 and 2016. One third of the RSUs granted on February 19, 2014 vest on each of February 19, 2015, 2016 and 2017. One third of the RSUs granted on February 21, 2014 vest on each of February 21, 2015, 2016 and 2017. One third of the RSUs granted on September 17, 2014 vest on each of September 17, 2015, 2016 and 2017. One third of the RSUs granted on September 17, 2014 vest on each of September 17, 2015, 2016 and 2017. One third of the RSUs granted on February 19, 2015 vest on each of February 19, 2016, 2017 and 2018. One third of the RSUs granted on December 10, 2015 vest on each of December 10, 2016, 2017 and 2018.</w:t>
      </w:r>
    </w:p>
    <w:p>
      <w:pPr>
        <w:spacing w:after="0" w:line="2" w:lineRule="exact"/>
        <w:rPr>
          <w:rFonts w:ascii="Arial" w:cs="Arial" w:eastAsia="Arial" w:hAnsi="Arial"/>
          <w:sz w:val="13"/>
          <w:szCs w:val="13"/>
          <w:color w:val="auto"/>
        </w:rPr>
      </w:pPr>
    </w:p>
    <w:p>
      <w:pPr>
        <w:ind w:left="260" w:hanging="252"/>
        <w:spacing w:after="0"/>
        <w:tabs>
          <w:tab w:leader="none" w:pos="2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Represents PRSUs granted for the three-year performance cycle beginning in 2014 assuming achievement at target levels of performance.</w:t>
      </w:r>
    </w:p>
    <w:p>
      <w:pPr>
        <w:ind w:left="260" w:hanging="252"/>
        <w:spacing w:after="0"/>
        <w:tabs>
          <w:tab w:leader="none" w:pos="2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Represents PRSUs granted for the three-year performance cycle beginning in 2015 assuming achievement at target levels of performance.</w:t>
      </w:r>
    </w:p>
    <w:p>
      <w:pPr>
        <w:ind w:left="260" w:hanging="252"/>
        <w:spacing w:after="0"/>
        <w:tabs>
          <w:tab w:leader="none" w:pos="2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Based on the closing price of our common stock on December 31, 2015 ($36.18).</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w:t>
      </w:r>
      <w:r>
        <w:rPr>
          <w:rFonts w:ascii="Arial" w:cs="Arial" w:eastAsia="Arial" w:hAnsi="Arial"/>
          <w:sz w:val="17"/>
          <w:szCs w:val="17"/>
          <w:i w:val="1"/>
          <w:iCs w:val="1"/>
          <w:color w:val="auto"/>
        </w:rPr>
        <w:t>2015 Executive Compensation Program in Detail - Base Salary</w:t>
      </w:r>
      <w:r>
        <w:rPr>
          <w:rFonts w:ascii="Arial" w:cs="Arial" w:eastAsia="Arial" w:hAnsi="Arial"/>
          <w:sz w:val="17"/>
          <w:szCs w:val="17"/>
          <w:color w:val="auto"/>
        </w:rPr>
        <w:t>” in this CD&amp;A regarding severance paid to Mr. Holleran, which included the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equity awards that are reflected in the above table: 4,250 RSUs, which represent those RSUs from the February 19, 2014 grant (reflected above) that were vested as of February 19, 2016; and 3,629 PRSUs earned for the performance period 2013-2015. Mr. Holleran did not earn any PRSUs for the 2015 LTIP, and the remainder of his RSUs granted February 19, 2014 that were unvested at February 29, 2016 (date of his departure), expired by their terms. Mr. Holleran did not receive any accelerated vesting on any equity awards in connection with his termination from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Option Exercises and Stock Vested Table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provides information regarding stock option exercises and shares acquired upon the vesting of stock awards by the NEOs during the 2015 fiscal year.</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Borders>
              <w:bottom w:val="single" w:sz="8" w:color="auto"/>
            </w:tcBorders>
            <w:gridSpan w:val="3"/>
          </w:tcPr>
          <w:p>
            <w:pPr>
              <w:ind w:left="2020"/>
              <w:spacing w:after="0"/>
              <w:rPr>
                <w:sz w:val="20"/>
                <w:szCs w:val="20"/>
                <w:color w:val="auto"/>
              </w:rPr>
            </w:pPr>
            <w:r>
              <w:rPr>
                <w:rFonts w:ascii="Arial" w:cs="Arial" w:eastAsia="Arial" w:hAnsi="Arial"/>
                <w:sz w:val="13"/>
                <w:szCs w:val="13"/>
                <w:color w:val="auto"/>
                <w:w w:val="98"/>
              </w:rPr>
              <w:t>Option Awards</w:t>
            </w:r>
          </w:p>
        </w:tc>
        <w:tc>
          <w:tcPr>
            <w:tcW w:w="1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tcBorders>
              <w:bottom w:val="single" w:sz="8" w:color="auto"/>
            </w:tcBorders>
            <w:gridSpan w:val="3"/>
          </w:tcPr>
          <w:p>
            <w:pPr>
              <w:ind w:left="2040"/>
              <w:spacing w:after="0"/>
              <w:rPr>
                <w:sz w:val="20"/>
                <w:szCs w:val="20"/>
                <w:color w:val="auto"/>
              </w:rPr>
            </w:pPr>
            <w:r>
              <w:rPr>
                <w:rFonts w:ascii="Arial" w:cs="Arial" w:eastAsia="Arial" w:hAnsi="Arial"/>
                <w:sz w:val="13"/>
                <w:szCs w:val="13"/>
                <w:color w:val="auto"/>
              </w:rPr>
              <w:t>Stock Awards</w:t>
            </w:r>
          </w:p>
        </w:tc>
        <w:tc>
          <w:tcPr>
            <w:tcW w:w="1860" w:type="dxa"/>
            <w:vAlign w:val="bottom"/>
            <w:tcBorders>
              <w:bottom w:val="single" w:sz="8" w:color="auto"/>
            </w:tcBorders>
          </w:tcPr>
          <w:p>
            <w:pPr>
              <w:spacing w:after="0"/>
              <w:rPr>
                <w:sz w:val="14"/>
                <w:szCs w:val="14"/>
                <w:color w:val="auto"/>
              </w:rPr>
            </w:pPr>
          </w:p>
        </w:tc>
      </w:tr>
      <w:tr>
        <w:trPr>
          <w:trHeight w:val="25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80" w:type="dxa"/>
            <w:vAlign w:val="bottom"/>
            <w:gridSpan w:val="3"/>
          </w:tcPr>
          <w:p>
            <w:pPr>
              <w:jc w:val="center"/>
              <w:ind w:right="240"/>
              <w:spacing w:after="0"/>
              <w:rPr>
                <w:sz w:val="20"/>
                <w:szCs w:val="20"/>
                <w:color w:val="auto"/>
              </w:rPr>
            </w:pPr>
            <w:r>
              <w:rPr>
                <w:rFonts w:ascii="Arial" w:cs="Arial" w:eastAsia="Arial" w:hAnsi="Arial"/>
                <w:sz w:val="13"/>
                <w:szCs w:val="13"/>
                <w:color w:val="auto"/>
                <w:w w:val="87"/>
              </w:rPr>
              <w:t>Number of Shares Acquired on Exercise</w:t>
            </w:r>
          </w:p>
        </w:tc>
        <w:tc>
          <w:tcPr>
            <w:tcW w:w="202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Value Realized Upon Exercise</w:t>
            </w:r>
          </w:p>
        </w:tc>
        <w:tc>
          <w:tcPr>
            <w:tcW w:w="2920" w:type="dxa"/>
            <w:vAlign w:val="bottom"/>
            <w:gridSpan w:val="3"/>
          </w:tcPr>
          <w:p>
            <w:pPr>
              <w:ind w:left="320"/>
              <w:spacing w:after="0"/>
              <w:rPr>
                <w:sz w:val="20"/>
                <w:szCs w:val="20"/>
                <w:color w:val="auto"/>
              </w:rPr>
            </w:pPr>
            <w:r>
              <w:rPr>
                <w:rFonts w:ascii="Arial" w:cs="Arial" w:eastAsia="Arial" w:hAnsi="Arial"/>
                <w:sz w:val="13"/>
                <w:szCs w:val="13"/>
                <w:color w:val="auto"/>
              </w:rPr>
              <w:t>Number of Shares Acquired on Vesting</w:t>
            </w:r>
          </w:p>
        </w:tc>
        <w:tc>
          <w:tcPr>
            <w:tcW w:w="1860" w:type="dxa"/>
            <w:vAlign w:val="bottom"/>
          </w:tcPr>
          <w:p>
            <w:pPr>
              <w:jc w:val="right"/>
              <w:ind w:right="297"/>
              <w:spacing w:after="0"/>
              <w:rPr>
                <w:sz w:val="20"/>
                <w:szCs w:val="20"/>
                <w:color w:val="auto"/>
              </w:rPr>
            </w:pPr>
            <w:r>
              <w:rPr>
                <w:rFonts w:ascii="Arial" w:cs="Arial" w:eastAsia="Arial" w:hAnsi="Arial"/>
                <w:sz w:val="13"/>
                <w:szCs w:val="13"/>
                <w:color w:val="auto"/>
                <w:w w:val="97"/>
              </w:rPr>
              <w:t>Value Realized on Vesting</w:t>
            </w:r>
          </w:p>
        </w:tc>
      </w:tr>
      <w:tr>
        <w:trPr>
          <w:trHeight w:val="280"/>
        </w:trPr>
        <w:tc>
          <w:tcPr>
            <w:tcW w:w="1620" w:type="dxa"/>
            <w:vAlign w:val="bottom"/>
          </w:tcPr>
          <w:p>
            <w:pPr>
              <w:ind w:left="40"/>
              <w:spacing w:after="0"/>
              <w:rPr>
                <w:sz w:val="20"/>
                <w:szCs w:val="20"/>
                <w:color w:val="auto"/>
              </w:rPr>
            </w:pPr>
            <w:r>
              <w:rPr>
                <w:rFonts w:ascii="Arial" w:cs="Arial" w:eastAsia="Arial" w:hAnsi="Arial"/>
                <w:sz w:val="13"/>
                <w:szCs w:val="13"/>
                <w:color w:val="auto"/>
              </w:rPr>
              <w:t>Name</w:t>
            </w:r>
          </w:p>
        </w:tc>
        <w:tc>
          <w:tcPr>
            <w:tcW w:w="2760" w:type="dxa"/>
            <w:vAlign w:val="bottom"/>
            <w:gridSpan w:val="2"/>
          </w:tcPr>
          <w:p>
            <w:pPr>
              <w:jc w:val="right"/>
              <w:ind w:right="1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jc w:val="right"/>
              <w:ind w:right="8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2620" w:type="dxa"/>
            <w:vAlign w:val="bottom"/>
          </w:tcPr>
          <w:p>
            <w:pPr>
              <w:jc w:val="right"/>
              <w:ind w:right="109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jc w:val="right"/>
              <w:ind w:right="737"/>
              <w:spacing w:after="0"/>
              <w:rPr>
                <w:sz w:val="20"/>
                <w:szCs w:val="20"/>
                <w:color w:val="auto"/>
              </w:rPr>
            </w:pPr>
            <w:r>
              <w:rPr>
                <w:rFonts w:ascii="Arial" w:cs="Arial" w:eastAsia="Arial" w:hAnsi="Arial"/>
                <w:sz w:val="13"/>
                <w:szCs w:val="13"/>
                <w:color w:val="auto"/>
              </w:rPr>
              <w:t>($)(2)(3)</w:t>
            </w:r>
          </w:p>
        </w:tc>
      </w:tr>
      <w:tr>
        <w:trPr>
          <w:trHeight w:val="162"/>
        </w:trPr>
        <w:tc>
          <w:tcPr>
            <w:tcW w:w="1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spacing w:after="0"/>
              <w:rPr>
                <w:sz w:val="14"/>
                <w:szCs w:val="14"/>
                <w:color w:val="auto"/>
              </w:rPr>
            </w:pPr>
          </w:p>
        </w:tc>
      </w:tr>
      <w:tr>
        <w:trPr>
          <w:trHeight w:val="254"/>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Philip Mezey</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26,240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930,091</w:t>
            </w:r>
          </w:p>
        </w:tc>
      </w:tr>
      <w:tr>
        <w:trPr>
          <w:trHeight w:val="151"/>
        </w:trPr>
        <w:tc>
          <w:tcPr>
            <w:tcW w:w="1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r>
      <w:tr>
        <w:trPr>
          <w:trHeight w:val="254"/>
        </w:trPr>
        <w:tc>
          <w:tcPr>
            <w:tcW w:w="1620" w:type="dxa"/>
            <w:vAlign w:val="bottom"/>
          </w:tcPr>
          <w:p>
            <w:pPr>
              <w:ind w:left="40"/>
              <w:spacing w:after="0"/>
              <w:rPr>
                <w:sz w:val="20"/>
                <w:szCs w:val="20"/>
                <w:color w:val="auto"/>
              </w:rPr>
            </w:pPr>
            <w:r>
              <w:rPr>
                <w:rFonts w:ascii="Arial" w:cs="Arial" w:eastAsia="Arial" w:hAnsi="Arial"/>
                <w:sz w:val="13"/>
                <w:szCs w:val="13"/>
                <w:color w:val="auto"/>
              </w:rPr>
              <w:t>John Holleran</w:t>
            </w: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tcPr>
          <w:p>
            <w:pPr>
              <w:jc w:val="right"/>
              <w:spacing w:after="0"/>
              <w:rPr>
                <w:sz w:val="20"/>
                <w:szCs w:val="20"/>
                <w:color w:val="auto"/>
              </w:rPr>
            </w:pPr>
            <w:r>
              <w:rPr>
                <w:rFonts w:ascii="Arial" w:cs="Arial" w:eastAsia="Arial" w:hAnsi="Arial"/>
                <w:sz w:val="13"/>
                <w:szCs w:val="13"/>
                <w:color w:val="auto"/>
              </w:rPr>
              <w:t>15,608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554,145</w:t>
            </w:r>
          </w:p>
        </w:tc>
      </w:tr>
      <w:tr>
        <w:trPr>
          <w:trHeight w:val="151"/>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54"/>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Thomas Deitrich</w:t>
            </w:r>
          </w:p>
        </w:tc>
        <w:tc>
          <w:tcPr>
            <w:tcW w:w="120" w:type="dxa"/>
            <w:vAlign w:val="bottom"/>
            <w:shd w:val="clear" w:color="auto" w:fill="CCEEFF"/>
          </w:tcPr>
          <w:p>
            <w:pPr>
              <w:spacing w:after="0"/>
              <w:rPr>
                <w:sz w:val="22"/>
                <w:szCs w:val="22"/>
                <w:color w:val="auto"/>
              </w:rPr>
            </w:pPr>
          </w:p>
        </w:tc>
        <w:tc>
          <w:tcPr>
            <w:tcW w:w="2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51"/>
        </w:trPr>
        <w:tc>
          <w:tcPr>
            <w:tcW w:w="1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r>
      <w:tr>
        <w:trPr>
          <w:trHeight w:val="254"/>
        </w:trPr>
        <w:tc>
          <w:tcPr>
            <w:tcW w:w="1620" w:type="dxa"/>
            <w:vAlign w:val="bottom"/>
          </w:tcPr>
          <w:p>
            <w:pPr>
              <w:ind w:left="40"/>
              <w:spacing w:after="0"/>
              <w:rPr>
                <w:sz w:val="20"/>
                <w:szCs w:val="20"/>
                <w:color w:val="auto"/>
              </w:rPr>
            </w:pPr>
            <w:r>
              <w:rPr>
                <w:rFonts w:ascii="Arial" w:cs="Arial" w:eastAsia="Arial" w:hAnsi="Arial"/>
                <w:sz w:val="13"/>
                <w:szCs w:val="13"/>
                <w:color w:val="auto"/>
              </w:rPr>
              <w:t>W. Mark Schmitz</w:t>
            </w: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tcPr>
          <w:p>
            <w:pPr>
              <w:jc w:val="right"/>
              <w:spacing w:after="0"/>
              <w:rPr>
                <w:sz w:val="20"/>
                <w:szCs w:val="20"/>
                <w:color w:val="auto"/>
              </w:rPr>
            </w:pPr>
            <w:r>
              <w:rPr>
                <w:rFonts w:ascii="Arial" w:cs="Arial" w:eastAsia="Arial" w:hAnsi="Arial"/>
                <w:sz w:val="13"/>
                <w:szCs w:val="13"/>
                <w:color w:val="auto"/>
              </w:rPr>
              <w:t>1,539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46,816</w:t>
            </w:r>
          </w:p>
        </w:tc>
      </w:tr>
      <w:tr>
        <w:trPr>
          <w:trHeight w:val="151"/>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54"/>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Michel Cadieux</w:t>
            </w:r>
          </w:p>
        </w:tc>
        <w:tc>
          <w:tcPr>
            <w:tcW w:w="120" w:type="dxa"/>
            <w:vAlign w:val="bottom"/>
            <w:shd w:val="clear" w:color="auto" w:fill="CCEEFF"/>
          </w:tcPr>
          <w:p>
            <w:pPr>
              <w:spacing w:after="0"/>
              <w:rPr>
                <w:sz w:val="22"/>
                <w:szCs w:val="22"/>
                <w:color w:val="auto"/>
              </w:rPr>
            </w:pPr>
          </w:p>
        </w:tc>
        <w:tc>
          <w:tcPr>
            <w:tcW w:w="2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37,478</w:t>
            </w:r>
          </w:p>
        </w:tc>
      </w:tr>
      <w:tr>
        <w:trPr>
          <w:trHeight w:val="151"/>
        </w:trPr>
        <w:tc>
          <w:tcPr>
            <w:tcW w:w="1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r>
      <w:tr>
        <w:trPr>
          <w:trHeight w:val="254"/>
        </w:trPr>
        <w:tc>
          <w:tcPr>
            <w:tcW w:w="1620" w:type="dxa"/>
            <w:vAlign w:val="bottom"/>
          </w:tcPr>
          <w:p>
            <w:pPr>
              <w:ind w:left="40"/>
              <w:spacing w:after="0"/>
              <w:rPr>
                <w:sz w:val="20"/>
                <w:szCs w:val="20"/>
                <w:color w:val="auto"/>
              </w:rPr>
            </w:pPr>
            <w:r>
              <w:rPr>
                <w:rFonts w:ascii="Arial" w:cs="Arial" w:eastAsia="Arial" w:hAnsi="Arial"/>
                <w:sz w:val="13"/>
                <w:szCs w:val="13"/>
                <w:color w:val="auto"/>
              </w:rPr>
              <w:t>Shannon Votava</w:t>
            </w: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tcPr>
          <w:p>
            <w:pPr>
              <w:jc w:val="right"/>
              <w:spacing w:after="0"/>
              <w:rPr>
                <w:sz w:val="20"/>
                <w:szCs w:val="20"/>
                <w:color w:val="auto"/>
              </w:rPr>
            </w:pPr>
            <w:r>
              <w:rPr>
                <w:rFonts w:ascii="Arial" w:cs="Arial" w:eastAsia="Arial" w:hAnsi="Arial"/>
                <w:sz w:val="13"/>
                <w:szCs w:val="13"/>
                <w:color w:val="auto"/>
              </w:rPr>
              <w:t>3,659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3"/>
                <w:szCs w:val="13"/>
                <w:color w:val="auto"/>
              </w:rPr>
              <w:t>129,956</w:t>
            </w:r>
          </w:p>
        </w:tc>
      </w:tr>
    </w:tbl>
    <w:p>
      <w:pPr>
        <w:spacing w:after="0" w:line="2"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Represents the difference between the exercise price and the fair market value of our common stock on the date of exercise.</w:t>
      </w:r>
    </w:p>
    <w:p>
      <w:pPr>
        <w:spacing w:after="0" w:line="9" w:lineRule="exact"/>
        <w:rPr>
          <w:rFonts w:ascii="Arial" w:cs="Arial" w:eastAsia="Arial" w:hAnsi="Arial"/>
          <w:sz w:val="13"/>
          <w:szCs w:val="13"/>
          <w:color w:val="auto"/>
        </w:rPr>
      </w:pPr>
    </w:p>
    <w:p>
      <w:pPr>
        <w:ind w:left="260" w:hanging="252"/>
        <w:spacing w:after="0"/>
        <w:tabs>
          <w:tab w:leader="none" w:pos="2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PRSUs earned for the three-year performance cycle beginning in 2013 and vested on December 31, 2015.</w:t>
      </w:r>
    </w:p>
    <w:p>
      <w:pPr>
        <w:ind w:left="260" w:hanging="252"/>
        <w:spacing w:after="0"/>
        <w:tabs>
          <w:tab w:leader="none" w:pos="2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Based on the fair market value of our common stock on the vest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Nonqualified Deferred Compensation Table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nonqualified deferred compensation of each of the NEOs for the 2015 fiscal year.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Executive Contributions in Last</w:t>
            </w:r>
          </w:p>
        </w:tc>
        <w:tc>
          <w:tcPr>
            <w:tcW w:w="19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Registrant Contributions in Last</w:t>
            </w:r>
          </w:p>
        </w:tc>
        <w:tc>
          <w:tcPr>
            <w:tcW w:w="194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Aggregate Earnings in Last Fiscal</w:t>
            </w:r>
          </w:p>
        </w:tc>
        <w:tc>
          <w:tcPr>
            <w:tcW w:w="192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Aggregate</w:t>
            </w:r>
          </w:p>
        </w:tc>
        <w:tc>
          <w:tcPr>
            <w:tcW w:w="1800" w:type="dxa"/>
            <w:vAlign w:val="bottom"/>
          </w:tcPr>
          <w:p>
            <w:pPr>
              <w:jc w:val="center"/>
              <w:spacing w:after="0"/>
              <w:rPr>
                <w:sz w:val="20"/>
                <w:szCs w:val="20"/>
                <w:color w:val="auto"/>
              </w:rPr>
            </w:pPr>
            <w:r>
              <w:rPr>
                <w:rFonts w:ascii="Arial" w:cs="Arial" w:eastAsia="Arial" w:hAnsi="Arial"/>
                <w:sz w:val="13"/>
                <w:szCs w:val="13"/>
                <w:color w:val="auto"/>
                <w:w w:val="86"/>
              </w:rPr>
              <w:t>Aggregate Balance at Last Fiscal</w:t>
            </w:r>
          </w:p>
        </w:tc>
      </w:tr>
      <w:tr>
        <w:trPr>
          <w:trHeight w:val="160"/>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Fiscal Year</w:t>
            </w:r>
          </w:p>
        </w:tc>
        <w:tc>
          <w:tcPr>
            <w:tcW w:w="196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Fiscal Year</w:t>
            </w:r>
          </w:p>
        </w:tc>
        <w:tc>
          <w:tcPr>
            <w:tcW w:w="1940" w:type="dxa"/>
            <w:vAlign w:val="bottom"/>
            <w:gridSpan w:val="2"/>
          </w:tcPr>
          <w:p>
            <w:pPr>
              <w:jc w:val="center"/>
              <w:ind w:right="120"/>
              <w:spacing w:after="0"/>
              <w:rPr>
                <w:sz w:val="20"/>
                <w:szCs w:val="20"/>
                <w:color w:val="auto"/>
              </w:rPr>
            </w:pPr>
            <w:r>
              <w:rPr>
                <w:rFonts w:ascii="Arial" w:cs="Arial" w:eastAsia="Arial" w:hAnsi="Arial"/>
                <w:sz w:val="13"/>
                <w:szCs w:val="13"/>
                <w:color w:val="auto"/>
                <w:w w:val="79"/>
              </w:rPr>
              <w:t>Year</w:t>
            </w:r>
          </w:p>
        </w:tc>
        <w:tc>
          <w:tcPr>
            <w:tcW w:w="1920" w:type="dxa"/>
            <w:vAlign w:val="bottom"/>
            <w:gridSpan w:val="2"/>
          </w:tcPr>
          <w:p>
            <w:pPr>
              <w:jc w:val="center"/>
              <w:ind w:right="120"/>
              <w:spacing w:after="0"/>
              <w:rPr>
                <w:sz w:val="20"/>
                <w:szCs w:val="20"/>
                <w:color w:val="auto"/>
              </w:rPr>
            </w:pPr>
            <w:r>
              <w:rPr>
                <w:rFonts w:ascii="Arial" w:cs="Arial" w:eastAsia="Arial" w:hAnsi="Arial"/>
                <w:sz w:val="13"/>
                <w:szCs w:val="13"/>
                <w:color w:val="auto"/>
                <w:w w:val="90"/>
              </w:rPr>
              <w:t>Withdrawals/Distributions</w:t>
            </w:r>
          </w:p>
        </w:tc>
        <w:tc>
          <w:tcPr>
            <w:tcW w:w="1800" w:type="dxa"/>
            <w:vAlign w:val="bottom"/>
          </w:tcPr>
          <w:p>
            <w:pPr>
              <w:jc w:val="center"/>
              <w:spacing w:after="0"/>
              <w:rPr>
                <w:sz w:val="20"/>
                <w:szCs w:val="20"/>
                <w:color w:val="auto"/>
              </w:rPr>
            </w:pPr>
            <w:r>
              <w:rPr>
                <w:rFonts w:ascii="Arial" w:cs="Arial" w:eastAsia="Arial" w:hAnsi="Arial"/>
                <w:sz w:val="13"/>
                <w:szCs w:val="13"/>
                <w:color w:val="auto"/>
                <w:w w:val="87"/>
              </w:rPr>
              <w:t>Year-End</w:t>
            </w:r>
          </w:p>
        </w:tc>
      </w:tr>
      <w:tr>
        <w:trPr>
          <w:trHeight w:val="280"/>
        </w:trPr>
        <w:tc>
          <w:tcPr>
            <w:tcW w:w="1720" w:type="dxa"/>
            <w:vAlign w:val="bottom"/>
          </w:tcPr>
          <w:p>
            <w:pPr>
              <w:ind w:left="40"/>
              <w:spacing w:after="0"/>
              <w:rPr>
                <w:sz w:val="20"/>
                <w:szCs w:val="20"/>
                <w:color w:val="auto"/>
              </w:rPr>
            </w:pPr>
            <w:r>
              <w:rPr>
                <w:rFonts w:ascii="Arial" w:cs="Arial" w:eastAsia="Arial" w:hAnsi="Arial"/>
                <w:sz w:val="13"/>
                <w:szCs w:val="13"/>
                <w:color w:val="auto"/>
              </w:rPr>
              <w:t>Name</w:t>
            </w:r>
          </w:p>
        </w:tc>
        <w:tc>
          <w:tcPr>
            <w:tcW w:w="1960" w:type="dxa"/>
            <w:vAlign w:val="bottom"/>
            <w:gridSpan w:val="2"/>
          </w:tcPr>
          <w:p>
            <w:pPr>
              <w:jc w:val="center"/>
              <w:ind w:left="57"/>
              <w:spacing w:after="0"/>
              <w:rPr>
                <w:sz w:val="20"/>
                <w:szCs w:val="20"/>
                <w:color w:val="auto"/>
              </w:rPr>
            </w:pPr>
            <w:r>
              <w:rPr>
                <w:rFonts w:ascii="Arial" w:cs="Arial" w:eastAsia="Arial" w:hAnsi="Arial"/>
                <w:sz w:val="13"/>
                <w:szCs w:val="13"/>
                <w:color w:val="auto"/>
                <w:w w:val="90"/>
              </w:rPr>
              <w:t>($) (1)</w:t>
            </w:r>
          </w:p>
        </w:tc>
        <w:tc>
          <w:tcPr>
            <w:tcW w:w="12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90"/>
              </w:rPr>
              <w:t>($) (2)</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87"/>
              </w:rPr>
              <w:t>($)</w:t>
            </w:r>
          </w:p>
        </w:tc>
        <w:tc>
          <w:tcPr>
            <w:tcW w:w="1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3"/>
                <w:szCs w:val="13"/>
                <w:color w:val="auto"/>
                <w:w w:val="87"/>
              </w:rPr>
              <w:t>($)</w:t>
            </w:r>
          </w:p>
        </w:tc>
      </w:tr>
      <w:tr>
        <w:trPr>
          <w:trHeight w:val="162"/>
        </w:trPr>
        <w:tc>
          <w:tcPr>
            <w:tcW w:w="1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r>
      <w:tr>
        <w:trPr>
          <w:trHeight w:val="254"/>
        </w:trPr>
        <w:tc>
          <w:tcPr>
            <w:tcW w:w="1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Philip Mezey</w:t>
            </w:r>
          </w:p>
        </w:tc>
        <w:tc>
          <w:tcPr>
            <w:tcW w:w="19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92,318</w:t>
            </w: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37,286</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(36,077)</w:t>
            </w:r>
          </w:p>
        </w:tc>
        <w:tc>
          <w:tcPr>
            <w:tcW w:w="12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ind w:left="1560"/>
              <w:spacing w:after="0"/>
              <w:rPr>
                <w:sz w:val="20"/>
                <w:szCs w:val="20"/>
                <w:color w:val="auto"/>
              </w:rPr>
            </w:pPr>
            <w:r>
              <w:rPr>
                <w:rFonts w:ascii="Arial" w:cs="Arial" w:eastAsia="Arial" w:hAnsi="Arial"/>
                <w:sz w:val="13"/>
                <w:szCs w:val="13"/>
                <w:color w:val="auto"/>
              </w:rPr>
              <w:t>—</w:t>
            </w:r>
          </w:p>
        </w:tc>
        <w:tc>
          <w:tcPr>
            <w:tcW w:w="1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1,309,089</w:t>
            </w:r>
          </w:p>
        </w:tc>
      </w:tr>
      <w:tr>
        <w:trPr>
          <w:trHeight w:val="151"/>
        </w:trPr>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r>
      <w:tr>
        <w:trPr>
          <w:trHeight w:val="254"/>
        </w:trPr>
        <w:tc>
          <w:tcPr>
            <w:tcW w:w="1720" w:type="dxa"/>
            <w:vAlign w:val="bottom"/>
          </w:tcPr>
          <w:p>
            <w:pPr>
              <w:ind w:left="40"/>
              <w:spacing w:after="0"/>
              <w:rPr>
                <w:sz w:val="20"/>
                <w:szCs w:val="20"/>
                <w:color w:val="auto"/>
              </w:rPr>
            </w:pPr>
            <w:r>
              <w:rPr>
                <w:rFonts w:ascii="Arial" w:cs="Arial" w:eastAsia="Arial" w:hAnsi="Arial"/>
                <w:sz w:val="13"/>
                <w:szCs w:val="13"/>
                <w:color w:val="auto"/>
              </w:rPr>
              <w:t>John Holleran</w:t>
            </w:r>
          </w:p>
        </w:tc>
        <w:tc>
          <w:tcPr>
            <w:tcW w:w="1960" w:type="dxa"/>
            <w:vAlign w:val="bottom"/>
            <w:gridSpan w:val="2"/>
          </w:tcPr>
          <w:p>
            <w:pPr>
              <w:jc w:val="right"/>
              <w:ind w:right="57"/>
              <w:spacing w:after="0"/>
              <w:rPr>
                <w:sz w:val="20"/>
                <w:szCs w:val="20"/>
                <w:color w:val="auto"/>
              </w:rPr>
            </w:pPr>
            <w:r>
              <w:rPr>
                <w:rFonts w:ascii="Arial" w:cs="Arial" w:eastAsia="Arial" w:hAnsi="Arial"/>
                <w:sz w:val="13"/>
                <w:szCs w:val="13"/>
                <w:color w:val="auto"/>
              </w:rPr>
              <w:t>104,780</w:t>
            </w:r>
          </w:p>
        </w:tc>
        <w:tc>
          <w:tcPr>
            <w:tcW w:w="120" w:type="dxa"/>
            <w:vAlign w:val="bottom"/>
          </w:tcPr>
          <w:p>
            <w:pPr>
              <w:spacing w:after="0"/>
              <w:rPr>
                <w:sz w:val="22"/>
                <w:szCs w:val="22"/>
                <w:color w:val="auto"/>
              </w:rPr>
            </w:pPr>
          </w:p>
        </w:tc>
        <w:tc>
          <w:tcPr>
            <w:tcW w:w="1840" w:type="dxa"/>
            <w:vAlign w:val="bottom"/>
          </w:tcPr>
          <w:p>
            <w:pPr>
              <w:jc w:val="right"/>
              <w:ind w:right="57"/>
              <w:spacing w:after="0"/>
              <w:rPr>
                <w:sz w:val="20"/>
                <w:szCs w:val="20"/>
                <w:color w:val="auto"/>
              </w:rPr>
            </w:pPr>
            <w:r>
              <w:rPr>
                <w:rFonts w:ascii="Arial" w:cs="Arial" w:eastAsia="Arial" w:hAnsi="Arial"/>
                <w:sz w:val="13"/>
                <w:szCs w:val="13"/>
                <w:color w:val="auto"/>
              </w:rPr>
              <w:t>22,792</w:t>
            </w:r>
          </w:p>
        </w:tc>
        <w:tc>
          <w:tcPr>
            <w:tcW w:w="120" w:type="dxa"/>
            <w:vAlign w:val="bottom"/>
          </w:tcPr>
          <w:p>
            <w:pPr>
              <w:spacing w:after="0"/>
              <w:rPr>
                <w:sz w:val="22"/>
                <w:szCs w:val="22"/>
                <w:color w:val="auto"/>
              </w:rPr>
            </w:pPr>
          </w:p>
        </w:tc>
        <w:tc>
          <w:tcPr>
            <w:tcW w:w="1820" w:type="dxa"/>
            <w:vAlign w:val="bottom"/>
          </w:tcPr>
          <w:p>
            <w:pPr>
              <w:jc w:val="right"/>
              <w:ind w:right="37"/>
              <w:spacing w:after="0"/>
              <w:rPr>
                <w:sz w:val="20"/>
                <w:szCs w:val="20"/>
                <w:color w:val="auto"/>
              </w:rPr>
            </w:pPr>
            <w:r>
              <w:rPr>
                <w:rFonts w:ascii="Arial" w:cs="Arial" w:eastAsia="Arial" w:hAnsi="Arial"/>
                <w:sz w:val="13"/>
                <w:szCs w:val="13"/>
                <w:color w:val="auto"/>
              </w:rPr>
              <w:t>(8,798)</w:t>
            </w:r>
          </w:p>
        </w:tc>
        <w:tc>
          <w:tcPr>
            <w:tcW w:w="120" w:type="dxa"/>
            <w:vAlign w:val="bottom"/>
          </w:tcPr>
          <w:p>
            <w:pPr>
              <w:spacing w:after="0"/>
              <w:rPr>
                <w:sz w:val="22"/>
                <w:szCs w:val="22"/>
                <w:color w:val="auto"/>
              </w:rPr>
            </w:pPr>
          </w:p>
        </w:tc>
        <w:tc>
          <w:tcPr>
            <w:tcW w:w="1920" w:type="dxa"/>
            <w:vAlign w:val="bottom"/>
            <w:gridSpan w:val="2"/>
          </w:tcPr>
          <w:p>
            <w:pPr>
              <w:ind w:left="1560"/>
              <w:spacing w:after="0"/>
              <w:rPr>
                <w:sz w:val="20"/>
                <w:szCs w:val="20"/>
                <w:color w:val="auto"/>
              </w:rPr>
            </w:pPr>
            <w:r>
              <w:rPr>
                <w:rFonts w:ascii="Arial" w:cs="Arial" w:eastAsia="Arial" w:hAnsi="Arial"/>
                <w:sz w:val="13"/>
                <w:szCs w:val="13"/>
                <w:color w:val="auto"/>
              </w:rPr>
              <w:t>—</w:t>
            </w:r>
          </w:p>
        </w:tc>
        <w:tc>
          <w:tcPr>
            <w:tcW w:w="1800" w:type="dxa"/>
            <w:vAlign w:val="bottom"/>
          </w:tcPr>
          <w:p>
            <w:pPr>
              <w:jc w:val="right"/>
              <w:ind w:right="37"/>
              <w:spacing w:after="0"/>
              <w:rPr>
                <w:sz w:val="20"/>
                <w:szCs w:val="20"/>
                <w:color w:val="auto"/>
              </w:rPr>
            </w:pPr>
            <w:r>
              <w:rPr>
                <w:rFonts w:ascii="Arial" w:cs="Arial" w:eastAsia="Arial" w:hAnsi="Arial"/>
                <w:sz w:val="13"/>
                <w:szCs w:val="13"/>
                <w:color w:val="auto"/>
              </w:rPr>
              <w:t>272,702</w:t>
            </w:r>
          </w:p>
        </w:tc>
      </w:tr>
      <w:tr>
        <w:trPr>
          <w:trHeight w:val="151"/>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54"/>
        </w:trPr>
        <w:tc>
          <w:tcPr>
            <w:tcW w:w="1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Thomas Deitrich</w:t>
            </w:r>
          </w:p>
        </w:tc>
        <w:tc>
          <w:tcPr>
            <w:tcW w:w="12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920" w:type="dxa"/>
            <w:vAlign w:val="bottom"/>
            <w:gridSpan w:val="2"/>
            <w:shd w:val="clear" w:color="auto" w:fill="CCEEFF"/>
          </w:tcPr>
          <w:p>
            <w:pPr>
              <w:ind w:left="1560"/>
              <w:spacing w:after="0"/>
              <w:rPr>
                <w:sz w:val="20"/>
                <w:szCs w:val="20"/>
                <w:color w:val="auto"/>
              </w:rPr>
            </w:pPr>
            <w:r>
              <w:rPr>
                <w:rFonts w:ascii="Arial" w:cs="Arial" w:eastAsia="Arial" w:hAnsi="Arial"/>
                <w:sz w:val="13"/>
                <w:szCs w:val="13"/>
                <w:color w:val="auto"/>
              </w:rPr>
              <w:t>—</w:t>
            </w:r>
          </w:p>
        </w:tc>
        <w:tc>
          <w:tcPr>
            <w:tcW w:w="1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51"/>
        </w:trPr>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r>
      <w:tr>
        <w:trPr>
          <w:trHeight w:val="254"/>
        </w:trPr>
        <w:tc>
          <w:tcPr>
            <w:tcW w:w="1720" w:type="dxa"/>
            <w:vAlign w:val="bottom"/>
          </w:tcPr>
          <w:p>
            <w:pPr>
              <w:ind w:left="40"/>
              <w:spacing w:after="0"/>
              <w:rPr>
                <w:sz w:val="20"/>
                <w:szCs w:val="20"/>
                <w:color w:val="auto"/>
              </w:rPr>
            </w:pPr>
            <w:r>
              <w:rPr>
                <w:rFonts w:ascii="Arial" w:cs="Arial" w:eastAsia="Arial" w:hAnsi="Arial"/>
                <w:sz w:val="13"/>
                <w:szCs w:val="13"/>
                <w:color w:val="auto"/>
              </w:rPr>
              <w:t>W. Mark Schmitz</w:t>
            </w:r>
          </w:p>
        </w:tc>
        <w:tc>
          <w:tcPr>
            <w:tcW w:w="120" w:type="dxa"/>
            <w:vAlign w:val="bottom"/>
          </w:tcPr>
          <w:p>
            <w:pPr>
              <w:spacing w:after="0"/>
              <w:rPr>
                <w:sz w:val="22"/>
                <w:szCs w:val="22"/>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920" w:type="dxa"/>
            <w:vAlign w:val="bottom"/>
            <w:gridSpan w:val="2"/>
          </w:tcPr>
          <w:p>
            <w:pPr>
              <w:ind w:left="1560"/>
              <w:spacing w:after="0"/>
              <w:rPr>
                <w:sz w:val="20"/>
                <w:szCs w:val="20"/>
                <w:color w:val="auto"/>
              </w:rPr>
            </w:pPr>
            <w:r>
              <w:rPr>
                <w:rFonts w:ascii="Arial" w:cs="Arial" w:eastAsia="Arial" w:hAnsi="Arial"/>
                <w:sz w:val="13"/>
                <w:szCs w:val="13"/>
                <w:color w:val="auto"/>
              </w:rPr>
              <w:t>—</w:t>
            </w:r>
          </w:p>
        </w:tc>
        <w:tc>
          <w:tcPr>
            <w:tcW w:w="1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1"/>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54"/>
        </w:trPr>
        <w:tc>
          <w:tcPr>
            <w:tcW w:w="1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Michel Cadieux</w:t>
            </w:r>
          </w:p>
        </w:tc>
        <w:tc>
          <w:tcPr>
            <w:tcW w:w="12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920" w:type="dxa"/>
            <w:vAlign w:val="bottom"/>
            <w:gridSpan w:val="2"/>
            <w:shd w:val="clear" w:color="auto" w:fill="CCEEFF"/>
          </w:tcPr>
          <w:p>
            <w:pPr>
              <w:ind w:left="1560"/>
              <w:spacing w:after="0"/>
              <w:rPr>
                <w:sz w:val="20"/>
                <w:szCs w:val="20"/>
                <w:color w:val="auto"/>
              </w:rPr>
            </w:pPr>
            <w:r>
              <w:rPr>
                <w:rFonts w:ascii="Arial" w:cs="Arial" w:eastAsia="Arial" w:hAnsi="Arial"/>
                <w:sz w:val="13"/>
                <w:szCs w:val="13"/>
                <w:color w:val="auto"/>
              </w:rPr>
              <w:t>—</w:t>
            </w:r>
          </w:p>
        </w:tc>
        <w:tc>
          <w:tcPr>
            <w:tcW w:w="1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51"/>
        </w:trPr>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r>
      <w:tr>
        <w:trPr>
          <w:trHeight w:val="254"/>
        </w:trPr>
        <w:tc>
          <w:tcPr>
            <w:tcW w:w="1720" w:type="dxa"/>
            <w:vAlign w:val="bottom"/>
          </w:tcPr>
          <w:p>
            <w:pPr>
              <w:ind w:left="40"/>
              <w:spacing w:after="0"/>
              <w:rPr>
                <w:sz w:val="20"/>
                <w:szCs w:val="20"/>
                <w:color w:val="auto"/>
              </w:rPr>
            </w:pPr>
            <w:r>
              <w:rPr>
                <w:rFonts w:ascii="Arial" w:cs="Arial" w:eastAsia="Arial" w:hAnsi="Arial"/>
                <w:sz w:val="13"/>
                <w:szCs w:val="13"/>
                <w:color w:val="auto"/>
              </w:rPr>
              <w:t>Shannon Votava</w:t>
            </w:r>
          </w:p>
        </w:tc>
        <w:tc>
          <w:tcPr>
            <w:tcW w:w="120" w:type="dxa"/>
            <w:vAlign w:val="bottom"/>
          </w:tcPr>
          <w:p>
            <w:pPr>
              <w:spacing w:after="0"/>
              <w:rPr>
                <w:sz w:val="22"/>
                <w:szCs w:val="22"/>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920" w:type="dxa"/>
            <w:vAlign w:val="bottom"/>
            <w:gridSpan w:val="2"/>
          </w:tcPr>
          <w:p>
            <w:pPr>
              <w:ind w:left="1560"/>
              <w:spacing w:after="0"/>
              <w:rPr>
                <w:sz w:val="20"/>
                <w:szCs w:val="20"/>
                <w:color w:val="auto"/>
              </w:rPr>
            </w:pPr>
            <w:r>
              <w:rPr>
                <w:rFonts w:ascii="Arial" w:cs="Arial" w:eastAsia="Arial" w:hAnsi="Arial"/>
                <w:sz w:val="13"/>
                <w:szCs w:val="13"/>
                <w:color w:val="auto"/>
              </w:rPr>
              <w:t>—</w:t>
            </w:r>
          </w:p>
        </w:tc>
        <w:tc>
          <w:tcPr>
            <w:tcW w:w="1800" w:type="dxa"/>
            <w:vAlign w:val="bottom"/>
          </w:tcPr>
          <w:p>
            <w:pPr>
              <w:jc w:val="right"/>
              <w:ind w:right="37"/>
              <w:spacing w:after="0"/>
              <w:rPr>
                <w:sz w:val="20"/>
                <w:szCs w:val="20"/>
                <w:color w:val="auto"/>
              </w:rPr>
            </w:pPr>
            <w:r>
              <w:rPr>
                <w:rFonts w:ascii="Arial" w:cs="Arial" w:eastAsia="Arial" w:hAnsi="Arial"/>
                <w:sz w:val="13"/>
                <w:szCs w:val="13"/>
                <w:color w:val="auto"/>
              </w:rPr>
              <w:t>—</w:t>
            </w:r>
          </w:p>
        </w:tc>
      </w:tr>
    </w:tbl>
    <w:p>
      <w:pPr>
        <w:spacing w:after="0" w:line="2"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This deferred compensation represents amounts that are reported as compensation earned in 2015 in the Summary Compensation Table.</w:t>
      </w:r>
    </w:p>
    <w:p>
      <w:pPr>
        <w:spacing w:after="0" w:line="9" w:lineRule="exact"/>
        <w:rPr>
          <w:rFonts w:ascii="Arial" w:cs="Arial" w:eastAsia="Arial" w:hAnsi="Arial"/>
          <w:sz w:val="13"/>
          <w:szCs w:val="13"/>
          <w:color w:val="auto"/>
        </w:rPr>
      </w:pPr>
    </w:p>
    <w:p>
      <w:pPr>
        <w:ind w:left="260" w:hanging="252"/>
        <w:spacing w:after="0"/>
        <w:tabs>
          <w:tab w:leader="none" w:pos="2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These amounts have been included in the Summary Compensation Table in the "All Other Compensation" column.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Deferred Compensation Plan</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Executives located in the U.S. are eligible to participate in the Company’s Executive Deferred Compensation Plan. Under this plan, participants may defer up to 50% of their base salary and 50% of their annual incentive to a non-qualified account. Participants may also defer an additional portion of their base salary equal to the amount of any contributions returned to them during the year</w:t>
      </w:r>
    </w:p>
    <w:p>
      <w:pPr>
        <w:sectPr>
          <w:pgSz w:w="11900" w:h="16838" w:orient="portrait"/>
          <w:cols w:equalWidth="0" w:num="1">
            <w:col w:w="11420"/>
          </w:cols>
          <w:pgMar w:left="240" w:top="125"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1420"/>
          </w:cols>
          <w:pgMar w:left="240" w:top="125" w:right="239" w:bottom="1440" w:gutter="0" w:footer="0" w:header="0"/>
          <w:type w:val="continuous"/>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the Company’s 401(k) plan so that the 401(k) plan can satisfy the nondiscrimination requirements applicable to it. Annually, the Company makes matching contributions to the account of each participating executive at the rate of 50% of the first 6% of base salary and annual incentive deferred by the executive during that year. The employer match into the Executive Deferred Compensation Program only commences after the employee reaches IRS limits on the 401(k) plan and is no longer eligible for the 401(k) match.</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participant’s account is adjusted for hypothetical investment earnings or losses based on the performance of the “measurement funds” in which the account is deemed to be invested. Participants allocate their accounts among the measurement funds available under the plan and can change their allocation at any time. These measurement funds are the same as the mutual funds offered for investment purposes under the Company’s 401(k) plan. Measurement funds are used solely to determine the amount of the hypothetical investment earnings or losses to be allocated to the participant’s account. The Company is not obligated to invest any assets in these funds.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are distributed (or commence to be distributed) to participants upon termination of employment with the Company and its affiliates. Distribution will generally be made (or commence to be made) within 90 days after termination. However, distribution will be delayed until six months after termination to the extent necessary to comply with the requirements of Internal Revenue Code Section 409A.</w:t>
      </w:r>
    </w:p>
    <w:p>
      <w:pPr>
        <w:spacing w:after="0" w:line="1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participant’s account will be distributed in a lump sum, unless the participant elects to have it distributed in substantially equal annual installments over a period of not more than 10 years. This election must be made at the time the participant is first eligible to participate in the plan.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Severance Policy</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recognizes that it is usually difficult for executive officers whose employment is terminated involuntarily to obtain a position comparable to the one he or she has with the Company. In view of this, any executive officer who is terminated involuntarily, except if terminated for disciplinary reasons, will be entitled to receive severance pay equal to one year’s base salary, employer benefit premium payments/reimbursement for one year and outplacement assistance provided that (1) the executive releases all claims that he or she may have against the Company, (2) enters into a one year non-compete agreement (where enforceable), (3) agrees not to solicit employees for a period of one year, and (4) agrees not to disparage the Company.</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describes Company policies, as well as payments due upon termination in accordance with the provisions of our 2010 SIP, pursuant to which all of our LTIP equity awards are granted.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Upon any termination of employment, our NEOs are entitled to receive any accrued and unpaid base salary through the date of termination.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for Cause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executive is entitled to receive any accrued and unpaid base salary through the date of termination. All options granted automatically expire when terminated for cause and all unvested time-vested RSUs and all unvested awards under the LTIP and the EMIP are forfeited in the event of termination for cause.</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Due to Death, Disability, or Retirement</w:t>
      </w:r>
    </w:p>
    <w:p>
      <w:pPr>
        <w:spacing w:after="0" w:line="27" w:lineRule="exact"/>
        <w:rPr>
          <w:sz w:val="20"/>
          <w:szCs w:val="20"/>
          <w:color w:val="auto"/>
        </w:rPr>
      </w:pPr>
    </w:p>
    <w:p>
      <w:pPr>
        <w:ind w:left="66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Time-vested RSUs: </w:t>
      </w:r>
      <w:r>
        <w:rPr>
          <w:rFonts w:ascii="Arial" w:cs="Arial" w:eastAsia="Arial" w:hAnsi="Arial"/>
          <w:sz w:val="18"/>
          <w:szCs w:val="18"/>
          <w:color w:val="auto"/>
        </w:rPr>
        <w:t>If termination is due to retirement, any unvested RSUs granted under the 2010 SIP would immediately terminate. However, any</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RSUs will vest immediately upon termination due to death or disability (as defined in the 2010 SIP).</w:t>
      </w:r>
    </w:p>
    <w:p>
      <w:pPr>
        <w:jc w:val="both"/>
        <w:ind w:left="66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Upon retirement, all unvested options automatically expire and options that were granted under the 2010 SIP would remain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until the earlier of three years following termination or the option expiration date. If termination is due to death or disability, all unvested options become exercisable and remain exercisable until the earlier of one year following the date of termination or the date on which the options expire by their terms.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RSUs (PRSUs): </w:t>
      </w:r>
      <w:r>
        <w:rPr>
          <w:rFonts w:ascii="Arial" w:cs="Arial" w:eastAsia="Arial" w:hAnsi="Arial"/>
          <w:sz w:val="18"/>
          <w:szCs w:val="18"/>
          <w:color w:val="auto"/>
        </w:rPr>
        <w:t>If termination occurs due to death or disability during the performance period, the awards will be vested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actual performance at the conclusion of the performance period. If termination occurs due to retirement, the awards will be vested at actual performance and pro-rated based on the number of calendar days between the beginning of the performance period and the date of retirement. Vested units generally will be settled at the original vesting date set forth in the award agreement, and in accordance with the provisions of Section 409A of the Code.</w:t>
      </w:r>
    </w:p>
    <w:p>
      <w:pPr>
        <w:spacing w:after="0" w:line="2" w:lineRule="exact"/>
        <w:rPr>
          <w:rFonts w:ascii="Arial" w:cs="Arial" w:eastAsia="Arial" w:hAnsi="Arial"/>
          <w:sz w:val="18"/>
          <w:szCs w:val="18"/>
          <w:color w:val="auto"/>
        </w:rPr>
      </w:pPr>
    </w:p>
    <w:p>
      <w:pPr>
        <w:ind w:left="660" w:right="20" w:hanging="328"/>
        <w:spacing w:after="0" w:line="323"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Annual Incentive Plan: </w:t>
      </w:r>
      <w:r>
        <w:rPr>
          <w:rFonts w:ascii="Arial" w:cs="Arial" w:eastAsia="Arial" w:hAnsi="Arial"/>
          <w:sz w:val="16"/>
          <w:szCs w:val="16"/>
          <w:color w:val="auto"/>
        </w:rPr>
        <w:t>For awards under the EMIP, participants would receive a prorated award (assuming an award is earned) based on the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calendar days employed during the performance period and such payout, if any, will be made at the same time as the other participants.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312"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Definition of Retirement: </w:t>
      </w:r>
      <w:r>
        <w:rPr>
          <w:rFonts w:ascii="Arial" w:cs="Arial" w:eastAsia="Arial" w:hAnsi="Arial"/>
          <w:sz w:val="16"/>
          <w:szCs w:val="16"/>
          <w:color w:val="auto"/>
        </w:rPr>
        <w:t>For purposes of stock options granted since 2008 as well as all awards granted under the 2010 SIP to NEOs located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U.S., “retirement” means the earlier of age 65 or age 55 with at least 10 years of service with Itron. For awards outstanding under the Company’s prior 2000 Stock Incentive Plan (2000 SIP), other than stock options granted in 2008 or later, “retirement” means attainment of age 65.</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Termination or Termination without Cause</w:t>
      </w:r>
    </w:p>
    <w:p>
      <w:pPr>
        <w:spacing w:after="0" w:line="27" w:lineRule="exact"/>
        <w:rPr>
          <w:sz w:val="20"/>
          <w:szCs w:val="20"/>
          <w:color w:val="auto"/>
        </w:rPr>
      </w:pPr>
    </w:p>
    <w:p>
      <w:pPr>
        <w:jc w:val="both"/>
        <w:ind w:left="66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All unvested options automatically expire due to voluntary termination or termination by the Company without cause. Any vested</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would remain exercisable until the earlier of 90 days following termination of employment or the date on which the options expire by their terms.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Time-vested RSUs: </w:t>
      </w:r>
      <w:r>
        <w:rPr>
          <w:rFonts w:ascii="Arial" w:cs="Arial" w:eastAsia="Arial" w:hAnsi="Arial"/>
          <w:sz w:val="18"/>
          <w:szCs w:val="18"/>
          <w:color w:val="auto"/>
        </w:rPr>
        <w:t>All unvested RSUs are forfeited upon voluntary termination or termination without cause.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RSUs (PRSUs): </w:t>
      </w:r>
      <w:r>
        <w:rPr>
          <w:rFonts w:ascii="Arial" w:cs="Arial" w:eastAsia="Arial" w:hAnsi="Arial"/>
          <w:sz w:val="18"/>
          <w:szCs w:val="18"/>
          <w:color w:val="auto"/>
        </w:rPr>
        <w:t>All unvested PRSUs are forfeited upon voluntary termination or termination without cause. Vested units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accordance with the provisions of Section 409A of the Code.</w:t>
      </w:r>
    </w:p>
    <w:p>
      <w:pPr>
        <w:ind w:left="660" w:hanging="328"/>
        <w:spacing w:after="0" w:line="323"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Annual Incentive Plan: </w:t>
      </w:r>
      <w:r>
        <w:rPr>
          <w:rFonts w:ascii="Arial" w:cs="Arial" w:eastAsia="Arial" w:hAnsi="Arial"/>
          <w:sz w:val="16"/>
          <w:szCs w:val="16"/>
          <w:color w:val="auto"/>
        </w:rPr>
        <w:t>The bonus under the EMIP would be forfeited in its entirety if the NEO is not employed by the Company or working as a</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contractor for the Company at the time of the payout. The 2015 EMIP was cancelled so there will be no payouts from that plan to anyone.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Change-in-Control</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following describes the material provisions of the change-in-control agreements that we entered into with our NEOs in January of 2013 or later. The change-in-control agreements provide for the following benefits if there is a change-in-control and the NEO’s employment is terminated by the Company without cause or by the NEO for “good reason:”</w:t>
      </w:r>
    </w:p>
    <w:p>
      <w:pPr>
        <w:spacing w:after="0" w:line="1" w:lineRule="exact"/>
        <w:rPr>
          <w:sz w:val="20"/>
          <w:szCs w:val="20"/>
          <w:color w:val="auto"/>
        </w:rPr>
      </w:pPr>
    </w:p>
    <w:p>
      <w:pPr>
        <w:jc w:val="both"/>
        <w:ind w:left="660" w:hanging="328"/>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Severance Benefit: </w:t>
      </w:r>
      <w:r>
        <w:rPr>
          <w:rFonts w:ascii="Arial" w:cs="Arial" w:eastAsia="Arial" w:hAnsi="Arial"/>
          <w:sz w:val="18"/>
          <w:szCs w:val="18"/>
          <w:color w:val="auto"/>
        </w:rPr>
        <w:t>The change-in-control agreements provide Messrs. Mezey, Holleran, Deitrich, and Schmitz with a severance benefit equal to 2.5</w:t>
      </w:r>
      <w:r>
        <w:rPr>
          <w:rFonts w:ascii="Arial" w:cs="Arial" w:eastAsia="Arial" w:hAnsi="Arial"/>
          <w:sz w:val="18"/>
          <w:szCs w:val="18"/>
          <w:i w:val="1"/>
          <w:iCs w:val="1"/>
          <w:color w:val="auto"/>
        </w:rPr>
        <w:t xml:space="preserve"> </w:t>
      </w:r>
      <w:r>
        <w:rPr>
          <w:rFonts w:ascii="Arial" w:cs="Arial" w:eastAsia="Arial" w:hAnsi="Arial"/>
          <w:sz w:val="18"/>
          <w:szCs w:val="18"/>
          <w:color w:val="auto"/>
        </w:rPr>
        <w:t>times the sum of base salary and target annual incentive opportunity. For Ms. Votava and Mr. Cadieux, the benefit is equal to 2 times the sum of base salary and target annual incentive opportunity. For all, the benefit is paid in cash in one lump sum.</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Pro-Rata Annual Incentive for Year of Termination</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change-in-control agreements provide for a payment based on the greater of target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or actual performance (as determined by the Board), prorated for the time worked during the year of termination.</w:t>
      </w:r>
    </w:p>
    <w:p>
      <w:pPr>
        <w:jc w:val="both"/>
        <w:ind w:left="660" w:hanging="328"/>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Welfare Benefit Continuation: </w:t>
      </w:r>
      <w:r>
        <w:rPr>
          <w:rFonts w:ascii="Arial" w:cs="Arial" w:eastAsia="Arial" w:hAnsi="Arial"/>
          <w:sz w:val="18"/>
          <w:szCs w:val="18"/>
          <w:color w:val="auto"/>
        </w:rPr>
        <w:t>The change-in-control agreements provide Messrs. Mezey, Holleran, Deitrich and Schmitz with 2.5 years of life and</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insurance coverage (with no tax gross-up). For Ms. Votava and Mr. Cadieux, this benefit is equal to 2 years of life and disability insurance coverage (with no tax gross-up). The Agreements also provide our NEOs and their dependents with the same respective years of health care coverage.</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Equity Award Vesting and Acceleration (Double Trigger): </w:t>
      </w:r>
      <w:r>
        <w:rPr>
          <w:rFonts w:ascii="Arial" w:cs="Arial" w:eastAsia="Arial" w:hAnsi="Arial"/>
          <w:sz w:val="16"/>
          <w:szCs w:val="16"/>
          <w:color w:val="auto"/>
        </w:rPr>
        <w:t>The change-in-control agreements provide that for equity awards granted after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2014, any acceleration is “double trigger” and thus will occur only upon a change-in-control and a qualifying termination (a termination without cause or for good reason). Equity granted prior to January 1, 2014 will accelerate at the time of the change-in-control, and PRSU awards would be based on the greater of target opportunity or actual performance, as determined by the Board, pro-rated for the portion of the performance period as of the date of the change-in-control. All vesting acceleration is subject to consummation of the change-in-control transaction.</w:t>
      </w:r>
    </w:p>
    <w:p>
      <w:pPr>
        <w:spacing w:after="0" w:line="3" w:lineRule="exact"/>
        <w:rPr>
          <w:rFonts w:ascii="Arial" w:cs="Arial" w:eastAsia="Arial" w:hAnsi="Arial"/>
          <w:sz w:val="16"/>
          <w:szCs w:val="16"/>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Excise Tax Gross-Up: </w:t>
      </w:r>
      <w:r>
        <w:rPr>
          <w:rFonts w:ascii="Arial" w:cs="Arial" w:eastAsia="Arial" w:hAnsi="Arial"/>
          <w:sz w:val="18"/>
          <w:szCs w:val="18"/>
          <w:color w:val="auto"/>
        </w:rPr>
        <w:t>There are no effective provisions for an excise tax gross-up.</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Legal Fees: </w:t>
      </w:r>
      <w:r>
        <w:rPr>
          <w:rFonts w:ascii="Arial" w:cs="Arial" w:eastAsia="Arial" w:hAnsi="Arial"/>
          <w:sz w:val="18"/>
          <w:szCs w:val="18"/>
          <w:color w:val="auto"/>
        </w:rPr>
        <w:t>The change-in-control agreements provide that NEOs will be reimbursed for legal fees and expenses incurred in seeking to enforce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change-in-control agreement.</w:t>
      </w:r>
    </w:p>
    <w:p>
      <w:pPr>
        <w:ind w:left="660" w:hanging="328"/>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The change-in-control agreements include restrictive covenants relating to non-solicitation (one-year) and non-disparagement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require a release of all claims against the Company.</w:t>
      </w: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Definition of Change-in-Control: </w:t>
      </w:r>
      <w:r>
        <w:rPr>
          <w:rFonts w:ascii="Arial" w:cs="Arial" w:eastAsia="Arial" w:hAnsi="Arial"/>
          <w:sz w:val="16"/>
          <w:szCs w:val="16"/>
          <w:color w:val="auto"/>
        </w:rPr>
        <w:t>For purposes of the change-in-control agreements, a “change-in-control” generally consists of any of the following:</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 acquisition of 25 percent or more of our voting securities;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Our current Board of Directors (and their approved successors) ceasing to constitute a majority of the Board;</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Consummation of any merger or consolidation with or into another corporation, the effect of which would be that our Board would consist of a majority of directors who were not members of the Board prior to the merger or consolidation; or</w:t>
      </w:r>
    </w:p>
    <w:p>
      <w:pPr>
        <w:ind w:left="1300" w:hanging="320"/>
        <w:spacing w:after="0" w:line="250"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Consummation of any sale or disposition of all or substantially all of our assets, or the approval by our shareholders of a plan of complete liquidation or dissolution of the Company.</w:t>
      </w:r>
    </w:p>
    <w:p>
      <w:pPr>
        <w:ind w:left="660" w:hanging="328"/>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Good Reason: </w:t>
      </w:r>
      <w:r>
        <w:rPr>
          <w:rFonts w:ascii="Arial" w:cs="Arial" w:eastAsia="Arial" w:hAnsi="Arial"/>
          <w:sz w:val="18"/>
          <w:szCs w:val="18"/>
          <w:color w:val="auto"/>
        </w:rPr>
        <w:t>For purposes of the change-in-control agreements, “good reason” for termination by the NEO of his or her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means any one of the following acts by the Company following a change-in-control:</w:t>
      </w:r>
    </w:p>
    <w:p>
      <w:pPr>
        <w:ind w:left="1300" w:hanging="320"/>
        <w:spacing w:after="0"/>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 adverse change in the NEO’s duties, status or position as an executive officer;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reduction in the NEO’s base salary;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reduction in the NEO’s annual bonus or long-term incentive opportunity;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125"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right="20" w:hanging="320"/>
        <w:spacing w:after="0" w:line="258"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failure to continue to provide welfare, medical, and other fringe benefits which in the aggregate are substantially similar to those provided immediately prior to the change-in-control;</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requirement for the NEO to be based at an office more than 50 miles from the NEO’s office prior to the change-in-control; or</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failure by the Company or successor company to assume or agree to perform the provisions of the change-in-control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See also </w:t>
      </w:r>
      <w:r>
        <w:rPr>
          <w:rFonts w:ascii="Arial" w:cs="Arial" w:eastAsia="Arial" w:hAnsi="Arial"/>
          <w:sz w:val="18"/>
          <w:szCs w:val="18"/>
          <w:color w:val="auto"/>
        </w:rPr>
        <w:t>“</w:t>
      </w:r>
      <w:r>
        <w:rPr>
          <w:rFonts w:ascii="Arial" w:cs="Arial" w:eastAsia="Arial" w:hAnsi="Arial"/>
          <w:sz w:val="18"/>
          <w:szCs w:val="18"/>
          <w:i w:val="1"/>
          <w:iCs w:val="1"/>
          <w:color w:val="auto"/>
        </w:rPr>
        <w:t xml:space="preserve">Termination Payment Tables for NEOs” </w:t>
      </w:r>
      <w:r>
        <w:rPr>
          <w:rFonts w:ascii="Arial" w:cs="Arial" w:eastAsia="Arial" w:hAnsi="Arial"/>
          <w:sz w:val="18"/>
          <w:szCs w:val="18"/>
          <w:color w:val="auto"/>
        </w:rPr>
        <w:t>in this CD&amp;A.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SIP Change-in-Control Provisions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2010 SIP provides that in the event of a change-in-control, as defined in our change-in-control agreements described above, unless otherwise provided in the award agreement, generally awards will be assumed or substituted for by the surviving corporation, and will accelerate only if not so assumed or substituted. The vesting and payout of PRSUs will be governed by the award agreement, as described below.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(PRSU) Change-in-Control Provisions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If a change-in-control occurs during the following performance periods (2013-2015) under the 2013 grant; (2014-2016) under the 2014 grant; or (2015-2017) under the 2015 grant, the PRSU awards will be vested at the greater of target or actual performance for the year, and pro-rated based on the number of calendar days between the beginning of the performance period and the change-in-control (i) in the event the awards are not assumed by the acquiring entity, or (ii) the beginning of the performance period and the date of termination of employment in the event the awards are assumed by the acquiring entity.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Payment Tables for NEOs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tables below reflect the estimated amount of incremental compensation payable to each of our NEOs in the event of termination of employment or change-in-control. The tables do not include benefits generally available to all employees on a non-discriminatory basis or payments and benefits that the NEOs would have already earned during their employment with us, whether or not a termination or change-in-control event had occurred. The amounts shown assume that such termination or change-in-control was effective as of December 31, 2015. With the exception of Mr. Holleran, the actual amounts to be paid out can only be determined at the time of such executive’s termination or upon a change-in-control, as applicable. Mr. Holleran received severance in accordance with our Severance Policy, which is summarized under </w:t>
      </w:r>
      <w:r>
        <w:rPr>
          <w:rFonts w:ascii="Arial" w:cs="Arial" w:eastAsia="Arial" w:hAnsi="Arial"/>
          <w:sz w:val="18"/>
          <w:szCs w:val="18"/>
          <w:i w:val="1"/>
          <w:iCs w:val="1"/>
          <w:color w:val="auto"/>
        </w:rPr>
        <w:t>“Potential Payments upon Termination - Executive Officer Severance Policy.”</w:t>
      </w:r>
      <w:r>
        <w:rPr>
          <w:rFonts w:ascii="Arial" w:cs="Arial" w:eastAsia="Arial" w:hAnsi="Arial"/>
          <w:sz w:val="18"/>
          <w:szCs w:val="18"/>
          <w:color w:val="auto"/>
        </w:rPr>
        <w:t xml:space="preserve"> Severance payments to Mr. Holleran included one year’s base salary ($600,000), employer benefit premium payments for one year ($14,776) and outplacement assistance ($17,500).</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Summary of Termination Payments</w:t>
      </w:r>
    </w:p>
    <w:p>
      <w:pPr>
        <w:jc w:val="center"/>
        <w:spacing w:after="0"/>
        <w:rPr>
          <w:sz w:val="20"/>
          <w:szCs w:val="20"/>
          <w:color w:val="auto"/>
        </w:rPr>
      </w:pPr>
      <w:r>
        <w:rPr>
          <w:rFonts w:ascii="Arial" w:cs="Arial" w:eastAsia="Arial" w:hAnsi="Arial"/>
          <w:sz w:val="13"/>
          <w:szCs w:val="13"/>
          <w:color w:val="auto"/>
        </w:rPr>
        <w:t>Philip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w w:val="91"/>
              </w:rPr>
              <w:t>Termination Without</w:t>
            </w: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117"/>
              <w:spacing w:after="0" w:line="135" w:lineRule="exact"/>
              <w:rPr>
                <w:sz w:val="20"/>
                <w:szCs w:val="20"/>
                <w:color w:val="auto"/>
              </w:rPr>
            </w:pPr>
            <w:r>
              <w:rPr>
                <w:rFonts w:ascii="Arial" w:cs="Arial" w:eastAsia="Arial" w:hAnsi="Arial"/>
                <w:sz w:val="13"/>
                <w:szCs w:val="13"/>
                <w:color w:val="auto"/>
                <w:w w:val="85"/>
              </w:rPr>
              <w:t>Cause or by</w:t>
            </w: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0"/>
              </w:rPr>
              <w:t>Executive for Good</w:t>
            </w: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Termination for</w:t>
            </w:r>
          </w:p>
        </w:tc>
        <w:tc>
          <w:tcPr>
            <w:tcW w:w="12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Voluntary</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0"/>
              </w:rPr>
              <w:t>Termination</w:t>
            </w:r>
          </w:p>
        </w:tc>
        <w:tc>
          <w:tcPr>
            <w:tcW w:w="12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Change-in-</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7"/>
              </w:rPr>
              <w:t>Reason Following a</w:t>
            </w:r>
          </w:p>
        </w:tc>
      </w:tr>
      <w:tr>
        <w:trPr>
          <w:trHeight w:val="170"/>
        </w:trPr>
        <w:tc>
          <w:tcPr>
            <w:tcW w:w="2980" w:type="dxa"/>
            <w:vAlign w:val="bottom"/>
            <w:tcBorders>
              <w:bottom w:val="single" w:sz="8" w:color="auto"/>
            </w:tcBorders>
          </w:tcPr>
          <w:p>
            <w:pPr>
              <w:ind w:left="920"/>
              <w:spacing w:after="0"/>
              <w:rPr>
                <w:sz w:val="20"/>
                <w:szCs w:val="20"/>
                <w:color w:val="auto"/>
              </w:rPr>
            </w:pPr>
            <w:r>
              <w:rPr>
                <w:rFonts w:ascii="Arial" w:cs="Arial" w:eastAsia="Arial" w:hAnsi="Arial"/>
                <w:sz w:val="13"/>
                <w:szCs w:val="13"/>
                <w:color w:val="auto"/>
              </w:rPr>
              <w:t>Executive Benefits (1)</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Cause</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Termination</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Death</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Disability</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91"/>
              </w:rPr>
              <w:t>Retirement</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6"/>
              </w:rPr>
              <w:t>Without Cause</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Control</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0"/>
              </w:rPr>
              <w:t>Change-in-Control</w:t>
            </w:r>
          </w:p>
        </w:tc>
      </w:tr>
      <w:tr>
        <w:trPr>
          <w:trHeight w:val="25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Annual Incentive (2)</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1,000,000</w:t>
            </w:r>
          </w:p>
        </w:tc>
      </w:tr>
      <w:tr>
        <w:trPr>
          <w:trHeight w:val="262"/>
        </w:trPr>
        <w:tc>
          <w:tcPr>
            <w:tcW w:w="3100" w:type="dxa"/>
            <w:vAlign w:val="bottom"/>
            <w:gridSpan w:val="2"/>
          </w:tcPr>
          <w:p>
            <w:pPr>
              <w:ind w:left="40"/>
              <w:spacing w:after="0"/>
              <w:rPr>
                <w:sz w:val="20"/>
                <w:szCs w:val="20"/>
                <w:color w:val="auto"/>
              </w:rPr>
            </w:pPr>
            <w:r>
              <w:rPr>
                <w:rFonts w:ascii="Arial" w:cs="Arial" w:eastAsia="Arial" w:hAnsi="Arial"/>
                <w:sz w:val="13"/>
                <w:szCs w:val="13"/>
                <w:color w:val="auto"/>
              </w:rPr>
              <w:t>Accelerated Stock Options (3)</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103,013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103,013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103,013</w:t>
            </w:r>
          </w:p>
        </w:tc>
      </w:tr>
      <w:tr>
        <w:trPr>
          <w:trHeight w:val="278"/>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Severance (4)</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829,607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4,500,000</w:t>
            </w:r>
          </w:p>
        </w:tc>
      </w:tr>
      <w:tr>
        <w:trPr>
          <w:trHeight w:val="262"/>
        </w:trPr>
        <w:tc>
          <w:tcPr>
            <w:tcW w:w="3100" w:type="dxa"/>
            <w:vAlign w:val="bottom"/>
            <w:gridSpan w:val="2"/>
          </w:tcPr>
          <w:p>
            <w:pPr>
              <w:ind w:left="40"/>
              <w:spacing w:after="0"/>
              <w:rPr>
                <w:sz w:val="20"/>
                <w:szCs w:val="20"/>
                <w:color w:val="auto"/>
              </w:rPr>
            </w:pPr>
            <w:r>
              <w:rPr>
                <w:rFonts w:ascii="Arial" w:cs="Arial" w:eastAsia="Arial" w:hAnsi="Arial"/>
                <w:sz w:val="13"/>
                <w:szCs w:val="13"/>
                <w:color w:val="auto"/>
              </w:rPr>
              <w:t>Benefit Continuation</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51,519</w:t>
            </w:r>
          </w:p>
        </w:tc>
      </w:tr>
      <w:tr>
        <w:trPr>
          <w:trHeight w:val="278"/>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Accelerated RSUs (5)</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1,593,078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1,593,078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222,398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1,593,078</w:t>
            </w:r>
          </w:p>
        </w:tc>
      </w:tr>
      <w:tr>
        <w:trPr>
          <w:trHeight w:val="254"/>
        </w:trPr>
        <w:tc>
          <w:tcPr>
            <w:tcW w:w="3100" w:type="dxa"/>
            <w:vAlign w:val="bottom"/>
            <w:gridSpan w:val="2"/>
          </w:tcPr>
          <w:p>
            <w:pPr>
              <w:ind w:left="40"/>
              <w:spacing w:after="0"/>
              <w:rPr>
                <w:sz w:val="20"/>
                <w:szCs w:val="20"/>
                <w:color w:val="auto"/>
              </w:rPr>
            </w:pPr>
            <w:r>
              <w:rPr>
                <w:rFonts w:ascii="Arial" w:cs="Arial" w:eastAsia="Arial" w:hAnsi="Arial"/>
                <w:sz w:val="13"/>
                <w:szCs w:val="13"/>
                <w:color w:val="auto"/>
              </w:rPr>
              <w:t>Accelerated Performance RSUs (PRSUs) (6)</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3,519,807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3,519,807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1,874,224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662,166</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2,536,391</w:t>
            </w:r>
          </w:p>
        </w:tc>
      </w:tr>
    </w:tbl>
    <w:p>
      <w:pPr>
        <w:spacing w:after="0" w:line="2" w:lineRule="exact"/>
        <w:rPr>
          <w:sz w:val="20"/>
          <w:szCs w:val="20"/>
          <w:color w:val="auto"/>
        </w:rPr>
      </w:pPr>
    </w:p>
    <w:p>
      <w:pPr>
        <w:jc w:val="both"/>
        <w:ind w:left="260" w:hanging="252"/>
        <w:spacing w:after="0" w:line="241" w:lineRule="auto"/>
        <w:tabs>
          <w:tab w:leader="none" w:pos="2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2" w:lineRule="exact"/>
        <w:rPr>
          <w:rFonts w:ascii="Arial" w:cs="Arial" w:eastAsia="Arial" w:hAnsi="Arial"/>
          <w:sz w:val="13"/>
          <w:szCs w:val="13"/>
          <w:color w:val="auto"/>
        </w:rPr>
      </w:pPr>
    </w:p>
    <w:p>
      <w:pPr>
        <w:jc w:val="both"/>
        <w:ind w:left="260" w:hanging="252"/>
        <w:spacing w:after="0" w:line="238" w:lineRule="auto"/>
        <w:tabs>
          <w:tab w:leader="none" w:pos="2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Pursuant to our change-in-control agreement with this executive, the annual bonus payable in the event of termination following a change-in-control is the greater of target or the actual amount earned. For 2015, the annual incentive plan was cancelled resulting in a $0 payout, thus actual performance was below target. Value represents the difference between the target value under the annual incentive program for 2015 and the amount earned based on actual performance in 2015.</w:t>
      </w:r>
    </w:p>
    <w:p>
      <w:pPr>
        <w:ind w:left="260" w:hanging="252"/>
        <w:spacing w:after="0" w:line="238" w:lineRule="auto"/>
        <w:tabs>
          <w:tab w:leader="none" w:pos="2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Represents in-the-money value of accelerated stock options based on the closing price of our common stock on December 31, 2015 ($36.18). Beginning with grants made in 2014, stock options will accelerate only if they are not assumed or substituted, and otherwise provide for a double trigger; values presume that the acquirer assumes outstanding stock options.</w:t>
      </w:r>
    </w:p>
    <w:p>
      <w:pPr>
        <w:ind w:left="260" w:hanging="252"/>
        <w:spacing w:after="0" w:line="238" w:lineRule="auto"/>
        <w:tabs>
          <w:tab w:leader="none" w:pos="2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jc w:val="both"/>
        <w:ind w:left="260" w:hanging="252"/>
        <w:spacing w:after="0" w:line="269" w:lineRule="auto"/>
        <w:tabs>
          <w:tab w:leader="none" w:pos="2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For the time-vested RSUs, upon termination due to death or disability, represents the accelerated value of the RSUs based on the closing price of our common stock on December 31, 2015 ($36.18). Change-in-control amounts represent the accelerated value of all outstanding unvested RSU awards granted prior to 2014 based on the closing price of our stock on December 31, 2015 ($36.18). Beginning with grants made in 2014, upon a change-in-control only (single trigger) RSUs that are not assumed by an acquirer will accelerate; values presume that the acquirer assumes applicable outstanding RSUs.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125"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260" w:hanging="252"/>
        <w:spacing w:after="0" w:line="264" w:lineRule="auto"/>
        <w:tabs>
          <w:tab w:leader="none" w:pos="2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As of December 31, 2015, two three-year performance cycles (2014-2016 and 2015-2017) are not yet complete and target performance is presumed. For the 2013-2015 performance cycle, target payouts were used since actual payouts are less than target for the cycle. Beginning with grants made in 2014, upon a change-in-control only (single trigger) PRSUs that are not assumed by an acquirer will accelerate; values presume that the acquirer assumes applicable outstanding PRSUs. Upon a change-in-control only, value represents the incremental difference in values between target and actual performance. Values are based on the closing price of our common stock on December 31, 2015 ($36.18).</w:t>
      </w:r>
    </w:p>
    <w:p>
      <w:pPr>
        <w:spacing w:after="0" w:line="284" w:lineRule="exact"/>
        <w:rPr>
          <w:sz w:val="20"/>
          <w:szCs w:val="20"/>
          <w:color w:val="auto"/>
        </w:rPr>
      </w:pPr>
    </w:p>
    <w:p>
      <w:pPr>
        <w:jc w:val="center"/>
        <w:ind w:left="260"/>
        <w:spacing w:after="0"/>
        <w:rPr>
          <w:sz w:val="20"/>
          <w:szCs w:val="20"/>
          <w:color w:val="auto"/>
        </w:rPr>
      </w:pPr>
      <w:r>
        <w:rPr>
          <w:rFonts w:ascii="Arial" w:cs="Arial" w:eastAsia="Arial" w:hAnsi="Arial"/>
          <w:sz w:val="13"/>
          <w:szCs w:val="13"/>
          <w:color w:val="auto"/>
        </w:rPr>
        <w:t>Summary of Termination Payments</w:t>
      </w:r>
    </w:p>
    <w:p>
      <w:pPr>
        <w:jc w:val="center"/>
        <w:ind w:left="260"/>
        <w:spacing w:after="0"/>
        <w:rPr>
          <w:sz w:val="20"/>
          <w:szCs w:val="20"/>
          <w:color w:val="auto"/>
        </w:rPr>
      </w:pPr>
      <w:r>
        <w:rPr>
          <w:rFonts w:ascii="Arial" w:cs="Arial" w:eastAsia="Arial" w:hAnsi="Arial"/>
          <w:sz w:val="13"/>
          <w:szCs w:val="13"/>
          <w:color w:val="auto"/>
        </w:rPr>
        <w:t>Thomas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10795</wp:posOffset>
            </wp:positionV>
            <wp:extent cx="70923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92315" cy="8890"/>
                    </a:xfrm>
                    <a:prstGeom prst="rect">
                      <a:avLst/>
                    </a:prstGeom>
                    <a:noFill/>
                  </pic:spPr>
                </pic:pic>
              </a:graphicData>
            </a:graphic>
          </wp:anchor>
        </w:drawing>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w w:val="91"/>
              </w:rPr>
              <w:t>Termination Without</w:t>
            </w: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117"/>
              <w:spacing w:after="0" w:line="135" w:lineRule="exact"/>
              <w:rPr>
                <w:sz w:val="20"/>
                <w:szCs w:val="20"/>
                <w:color w:val="auto"/>
              </w:rPr>
            </w:pPr>
            <w:r>
              <w:rPr>
                <w:rFonts w:ascii="Arial" w:cs="Arial" w:eastAsia="Arial" w:hAnsi="Arial"/>
                <w:sz w:val="13"/>
                <w:szCs w:val="13"/>
                <w:color w:val="auto"/>
                <w:w w:val="85"/>
              </w:rPr>
              <w:t>Cause or by</w:t>
            </w: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0"/>
              </w:rPr>
              <w:t>Executive for Good</w:t>
            </w: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Termination for</w:t>
            </w:r>
          </w:p>
        </w:tc>
        <w:tc>
          <w:tcPr>
            <w:tcW w:w="1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Voluntary</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7"/>
              </w:rPr>
              <w:t>Termination</w:t>
            </w:r>
          </w:p>
        </w:tc>
        <w:tc>
          <w:tcPr>
            <w:tcW w:w="12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Change-in-</w:t>
            </w:r>
          </w:p>
        </w:tc>
        <w:tc>
          <w:tcPr>
            <w:tcW w:w="110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Reason Following a</w:t>
            </w:r>
          </w:p>
        </w:tc>
      </w:tr>
      <w:tr>
        <w:trPr>
          <w:trHeight w:val="170"/>
        </w:trPr>
        <w:tc>
          <w:tcPr>
            <w:tcW w:w="290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rPr>
              <w:t>Executive Benefits (1)</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Cause</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Termination</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Death</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Disability</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Retirement</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9"/>
              </w:rPr>
              <w:t>Without Cause</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Control</w:t>
            </w: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8"/>
              </w:rPr>
              <w:t>Change-in-Control</w:t>
            </w:r>
          </w:p>
        </w:tc>
      </w:tr>
      <w:tr>
        <w:trPr>
          <w:trHeight w:val="257"/>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Annual Incentive (2)</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123,562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123,562</w:t>
            </w:r>
          </w:p>
        </w:tc>
      </w:tr>
      <w:tr>
        <w:trPr>
          <w:trHeight w:val="2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Accelerated Stock Options (3)</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87,968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87,968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87,968</w:t>
            </w:r>
          </w:p>
        </w:tc>
      </w:tr>
      <w:tr>
        <w:trPr>
          <w:trHeight w:val="278"/>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Severance (4)</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580,497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2,750,000</w:t>
            </w:r>
          </w:p>
        </w:tc>
      </w:tr>
      <w:tr>
        <w:trPr>
          <w:trHeight w:val="2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Benefit Continuation</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53,742</w:t>
            </w:r>
          </w:p>
        </w:tc>
      </w:tr>
      <w:tr>
        <w:trPr>
          <w:trHeight w:val="278"/>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Accelerated RSUs (5)</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3,089,663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3,089,663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3,089,663</w:t>
            </w:r>
          </w:p>
        </w:tc>
      </w:tr>
      <w:tr>
        <w:trPr>
          <w:trHeight w:val="254"/>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Accelerated Performance RSUs (PRSUs) (6)</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w:t>
            </w:r>
          </w:p>
        </w:tc>
      </w:tr>
    </w:tbl>
    <w:p>
      <w:pPr>
        <w:spacing w:after="0" w:line="2" w:lineRule="exact"/>
        <w:rPr>
          <w:sz w:val="20"/>
          <w:szCs w:val="20"/>
          <w:color w:val="auto"/>
        </w:rPr>
      </w:pPr>
    </w:p>
    <w:p>
      <w:pPr>
        <w:jc w:val="both"/>
        <w:ind w:left="260" w:hanging="252"/>
        <w:spacing w:after="0" w:line="241" w:lineRule="auto"/>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2" w:lineRule="exact"/>
        <w:rPr>
          <w:rFonts w:ascii="Arial" w:cs="Arial" w:eastAsia="Arial" w:hAnsi="Arial"/>
          <w:sz w:val="13"/>
          <w:szCs w:val="13"/>
          <w:color w:val="auto"/>
        </w:rPr>
      </w:pPr>
    </w:p>
    <w:p>
      <w:pPr>
        <w:jc w:val="both"/>
        <w:ind w:left="260" w:hanging="252"/>
        <w:spacing w:after="0" w:line="238" w:lineRule="auto"/>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Pursuant to our change-in-control agreement with this executive, the annual bonus payable in the event of termination following a change-in-control is the greater of target or the actual amount earned. For 2015, the annual incentive plan was cancelled resulting in a $0 payout, thus actual performance was below target. Value represents the difference between the target value under the annual incentive program for 2015 and the amount earned based on actual performance in 2015.</w:t>
      </w:r>
    </w:p>
    <w:p>
      <w:pPr>
        <w:ind w:left="260" w:hanging="252"/>
        <w:spacing w:after="0" w:line="238" w:lineRule="auto"/>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Represents in-the-money value of accelerated stock options based on the closing price of our common stock on December 31, 2015 ($36.18). Beginning with grants made in 2014, stock options will accelerate only if they are not assumed or substituted, and otherwise provide for a double trigger; values presume that the acquirer assumes outstanding stock options.</w:t>
      </w:r>
    </w:p>
    <w:p>
      <w:pPr>
        <w:ind w:left="260" w:hanging="252"/>
        <w:spacing w:after="0" w:line="238" w:lineRule="auto"/>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jc w:val="both"/>
        <w:ind w:left="260" w:hanging="252"/>
        <w:spacing w:after="0" w:line="258" w:lineRule="auto"/>
        <w:tabs>
          <w:tab w:leader="none" w:pos="2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For the time-vested RSUs, upon termination due to death or disability, represents the accelerated value of the RSUs based on the closing price of our common stock on December 31, 2015 ($36.18). Change-in-control amounts represent the accelerated value of all outstanding unvested RSU awards granted prior to 2014 based on the closing price of our stock on December 31, 2015 ($36.18). Beginning with grants made in 2014, upon a change-in-control only (single trigger) RSUs that are not assumed by an acquirer will accelerate; values presume that the acquirer assumes applicable outstanding RSUs.</w:t>
      </w:r>
    </w:p>
    <w:p>
      <w:pPr>
        <w:ind w:left="260" w:hanging="252"/>
        <w:spacing w:after="0"/>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Mr. Deitrich did not have any outstanding PRSUs as of December 31, 2015.</w:t>
      </w:r>
    </w:p>
    <w:p>
      <w:pPr>
        <w:spacing w:after="0" w:line="295" w:lineRule="exact"/>
        <w:rPr>
          <w:sz w:val="20"/>
          <w:szCs w:val="20"/>
          <w:color w:val="auto"/>
        </w:rPr>
      </w:pPr>
    </w:p>
    <w:p>
      <w:pPr>
        <w:jc w:val="center"/>
        <w:ind w:left="260"/>
        <w:spacing w:after="0"/>
        <w:rPr>
          <w:sz w:val="20"/>
          <w:szCs w:val="20"/>
          <w:color w:val="auto"/>
        </w:rPr>
      </w:pPr>
      <w:r>
        <w:rPr>
          <w:rFonts w:ascii="Arial" w:cs="Arial" w:eastAsia="Arial" w:hAnsi="Arial"/>
          <w:sz w:val="13"/>
          <w:szCs w:val="13"/>
          <w:color w:val="auto"/>
        </w:rPr>
        <w:t>Summary of Termination Payments</w:t>
      </w:r>
    </w:p>
    <w:p>
      <w:pPr>
        <w:jc w:val="center"/>
        <w:ind w:left="260"/>
        <w:spacing w:after="0"/>
        <w:rPr>
          <w:sz w:val="20"/>
          <w:szCs w:val="20"/>
          <w:color w:val="auto"/>
        </w:rPr>
      </w:pPr>
      <w:r>
        <w:rPr>
          <w:rFonts w:ascii="Arial" w:cs="Arial" w:eastAsia="Arial" w:hAnsi="Arial"/>
          <w:sz w:val="13"/>
          <w:szCs w:val="13"/>
          <w:color w:val="auto"/>
        </w:rPr>
        <w:t>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10795</wp:posOffset>
            </wp:positionV>
            <wp:extent cx="70923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92315" cy="8890"/>
                    </a:xfrm>
                    <a:prstGeom prst="rect">
                      <a:avLst/>
                    </a:prstGeom>
                    <a:noFill/>
                  </pic:spPr>
                </pic:pic>
              </a:graphicData>
            </a:graphic>
          </wp:anchor>
        </w:drawing>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w w:val="91"/>
              </w:rPr>
              <w:t>Termination Without</w:t>
            </w: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117"/>
              <w:spacing w:after="0" w:line="135" w:lineRule="exact"/>
              <w:rPr>
                <w:sz w:val="20"/>
                <w:szCs w:val="20"/>
                <w:color w:val="auto"/>
              </w:rPr>
            </w:pPr>
            <w:r>
              <w:rPr>
                <w:rFonts w:ascii="Arial" w:cs="Arial" w:eastAsia="Arial" w:hAnsi="Arial"/>
                <w:sz w:val="13"/>
                <w:szCs w:val="13"/>
                <w:color w:val="auto"/>
                <w:w w:val="85"/>
              </w:rPr>
              <w:t>Cause or by</w:t>
            </w: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0"/>
              </w:rPr>
              <w:t>Executive for Good</w:t>
            </w: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Termination for</w:t>
            </w:r>
          </w:p>
        </w:tc>
        <w:tc>
          <w:tcPr>
            <w:tcW w:w="1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Voluntary</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7"/>
              </w:rPr>
              <w:t>Termination</w:t>
            </w:r>
          </w:p>
        </w:tc>
        <w:tc>
          <w:tcPr>
            <w:tcW w:w="12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Change-in-</w:t>
            </w:r>
          </w:p>
        </w:tc>
        <w:tc>
          <w:tcPr>
            <w:tcW w:w="110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Reason Following a</w:t>
            </w:r>
          </w:p>
        </w:tc>
      </w:tr>
      <w:tr>
        <w:trPr>
          <w:trHeight w:val="170"/>
        </w:trPr>
        <w:tc>
          <w:tcPr>
            <w:tcW w:w="290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rPr>
              <w:t>Executive Benefits (1)</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Cause</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Termination</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Death</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Disability</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91"/>
              </w:rPr>
              <w:t>Retirement</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9"/>
              </w:rPr>
              <w:t>Without Cause</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Control</w:t>
            </w: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8"/>
              </w:rPr>
              <w:t>Change-in-Control</w:t>
            </w:r>
          </w:p>
        </w:tc>
      </w:tr>
      <w:tr>
        <w:trPr>
          <w:trHeight w:val="257"/>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Annual Incentive (2)</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356,250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356,250</w:t>
            </w:r>
          </w:p>
        </w:tc>
      </w:tr>
      <w:tr>
        <w:trPr>
          <w:trHeight w:val="2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Accelerated Stock Options (3)</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18,312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18,312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18,312</w:t>
            </w:r>
          </w:p>
        </w:tc>
      </w:tr>
      <w:tr>
        <w:trPr>
          <w:trHeight w:val="278"/>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Severance (4)</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498,104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2,078,125</w:t>
            </w:r>
          </w:p>
        </w:tc>
      </w:tr>
      <w:tr>
        <w:trPr>
          <w:trHeight w:val="2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Benefit Continuation</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35,260</w:t>
            </w:r>
          </w:p>
        </w:tc>
      </w:tr>
      <w:tr>
        <w:trPr>
          <w:trHeight w:val="278"/>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Accelerated RSUs (5)</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367,734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367,734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367,734</w:t>
            </w:r>
          </w:p>
        </w:tc>
      </w:tr>
      <w:tr>
        <w:trPr>
          <w:trHeight w:val="254"/>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Accelerated Performance RSUs (PRSUs) (6)</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846,829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846,829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393,327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393,327</w:t>
            </w:r>
          </w:p>
        </w:tc>
      </w:tr>
    </w:tbl>
    <w:p>
      <w:pPr>
        <w:spacing w:after="0" w:line="2" w:lineRule="exact"/>
        <w:rPr>
          <w:sz w:val="20"/>
          <w:szCs w:val="20"/>
          <w:color w:val="auto"/>
        </w:rPr>
      </w:pPr>
    </w:p>
    <w:p>
      <w:pPr>
        <w:jc w:val="both"/>
        <w:ind w:left="260" w:hanging="252"/>
        <w:spacing w:after="0" w:line="241" w:lineRule="auto"/>
        <w:tabs>
          <w:tab w:leader="none" w:pos="2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2" w:lineRule="exact"/>
        <w:rPr>
          <w:rFonts w:ascii="Arial" w:cs="Arial" w:eastAsia="Arial" w:hAnsi="Arial"/>
          <w:sz w:val="13"/>
          <w:szCs w:val="13"/>
          <w:color w:val="auto"/>
        </w:rPr>
      </w:pPr>
    </w:p>
    <w:p>
      <w:pPr>
        <w:jc w:val="both"/>
        <w:ind w:left="260" w:hanging="252"/>
        <w:spacing w:after="0" w:line="238" w:lineRule="auto"/>
        <w:tabs>
          <w:tab w:leader="none" w:pos="2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Pursuant to our change-in-control agreement with this executive, the annual bonus payable in the event of termination following a change-in-control is the greater of target or the actual amount earned. For 2015, the annual incentive plan was cancelled resulting in a $0 payout, thus actual performance was below target. Value represents the difference between the target value under the annual incentive program for 2015 and the amount earned based on actual performance in 2015.</w:t>
      </w:r>
    </w:p>
    <w:p>
      <w:pPr>
        <w:ind w:left="260" w:hanging="252"/>
        <w:spacing w:after="0" w:line="238" w:lineRule="auto"/>
        <w:tabs>
          <w:tab w:leader="none" w:pos="2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Represents in-the-money value of accelerated stock options based on the closing price of our common stock on December 31, 2015 ($36.18). Beginning with grants made in 2014, stock options will accelerate only if they are not assumed or substituted, and otherwise provide for a double trigger; values presume that the acquirer assumes outstanding stock options.</w:t>
      </w:r>
    </w:p>
    <w:p>
      <w:pPr>
        <w:ind w:left="260" w:hanging="252"/>
        <w:spacing w:after="0" w:line="238" w:lineRule="auto"/>
        <w:tabs>
          <w:tab w:leader="none" w:pos="2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ind w:left="260" w:hanging="252"/>
        <w:spacing w:after="0" w:line="239" w:lineRule="auto"/>
        <w:tabs>
          <w:tab w:leader="none" w:pos="2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For the time-vested RSUs, upon termination due to death or disability, represents the accelerated value of the RSUs based on the closing price of our common stock on December 31, 2015 ($36.18). Change-in-control amounts represent the accelerated value of all outstanding unvested RSU awards granted prior to 2014 based on the closing price of our stock</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125"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260" w:right="20"/>
        <w:spacing w:after="0" w:line="368" w:lineRule="auto"/>
        <w:rPr>
          <w:sz w:val="20"/>
          <w:szCs w:val="20"/>
          <w:color w:val="auto"/>
        </w:rPr>
      </w:pPr>
      <w:r>
        <w:rPr>
          <w:rFonts w:ascii="Arial" w:cs="Arial" w:eastAsia="Arial" w:hAnsi="Arial"/>
          <w:sz w:val="13"/>
          <w:szCs w:val="13"/>
          <w:color w:val="auto"/>
        </w:rPr>
        <w:t>on December 31, 2015 ($36.18). Beginning with grants made in 2014, upon a change-in-control only (single trigger) RSUs that are not assumed by an acquirer will accelerate; values presume that the acquirer assumes applicable outstanding RSUs.</w:t>
      </w:r>
    </w:p>
    <w:p>
      <w:pPr>
        <w:spacing w:after="0" w:line="1" w:lineRule="exact"/>
        <w:rPr>
          <w:sz w:val="20"/>
          <w:szCs w:val="20"/>
          <w:color w:val="auto"/>
        </w:rPr>
      </w:pPr>
    </w:p>
    <w:p>
      <w:pPr>
        <w:jc w:val="both"/>
        <w:ind w:left="260" w:hanging="252"/>
        <w:spacing w:after="0" w:line="264" w:lineRule="auto"/>
        <w:tabs>
          <w:tab w:leader="none" w:pos="2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As of December 31, 2015, two three-year performance cycles (2014-2016 and 2015-2017) are not yet complete and target performance is presumed. For the 2013-2015 performance cycle, target payouts were used since actual payouts are less than target for the cycle. Beginning with grants made in 2014, upon a change-in-control only (single trigger) PRSUs that are not assumed by an acquirer will accelerate; values presume that the acquirer assumes applicable outstanding PRSUs. Upon a change-in-control only, value represents the incremental difference in values between target and actual performance. Values are based on the closing price of our common stock on December 31, 2015 ($36.18).</w:t>
      </w:r>
    </w:p>
    <w:p>
      <w:pPr>
        <w:spacing w:after="0" w:line="284" w:lineRule="exact"/>
        <w:rPr>
          <w:sz w:val="20"/>
          <w:szCs w:val="20"/>
          <w:color w:val="auto"/>
        </w:rPr>
      </w:pPr>
    </w:p>
    <w:p>
      <w:pPr>
        <w:jc w:val="center"/>
        <w:ind w:left="260"/>
        <w:spacing w:after="0"/>
        <w:rPr>
          <w:sz w:val="20"/>
          <w:szCs w:val="20"/>
          <w:color w:val="auto"/>
        </w:rPr>
      </w:pPr>
      <w:r>
        <w:rPr>
          <w:rFonts w:ascii="Arial" w:cs="Arial" w:eastAsia="Arial" w:hAnsi="Arial"/>
          <w:sz w:val="13"/>
          <w:szCs w:val="13"/>
          <w:color w:val="auto"/>
        </w:rPr>
        <w:t>Summary of Termination Payments</w:t>
      </w:r>
    </w:p>
    <w:p>
      <w:pPr>
        <w:jc w:val="center"/>
        <w:ind w:left="260"/>
        <w:spacing w:after="0"/>
        <w:rPr>
          <w:sz w:val="20"/>
          <w:szCs w:val="20"/>
          <w:color w:val="auto"/>
        </w:rPr>
      </w:pPr>
      <w:r>
        <w:rPr>
          <w:rFonts w:ascii="Arial" w:cs="Arial" w:eastAsia="Arial" w:hAnsi="Arial"/>
          <w:sz w:val="13"/>
          <w:szCs w:val="13"/>
          <w:color w:val="auto"/>
        </w:rPr>
        <w:t>Michel Cadieux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10795</wp:posOffset>
            </wp:positionV>
            <wp:extent cx="70923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92315" cy="8890"/>
                    </a:xfrm>
                    <a:prstGeom prst="rect">
                      <a:avLst/>
                    </a:prstGeom>
                    <a:noFill/>
                  </pic:spPr>
                </pic:pic>
              </a:graphicData>
            </a:graphic>
          </wp:anchor>
        </w:drawing>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w w:val="91"/>
              </w:rPr>
              <w:t>Termination Without</w:t>
            </w: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117"/>
              <w:spacing w:after="0" w:line="135" w:lineRule="exact"/>
              <w:rPr>
                <w:sz w:val="20"/>
                <w:szCs w:val="20"/>
                <w:color w:val="auto"/>
              </w:rPr>
            </w:pPr>
            <w:r>
              <w:rPr>
                <w:rFonts w:ascii="Arial" w:cs="Arial" w:eastAsia="Arial" w:hAnsi="Arial"/>
                <w:sz w:val="13"/>
                <w:szCs w:val="13"/>
                <w:color w:val="auto"/>
                <w:w w:val="85"/>
              </w:rPr>
              <w:t>Cause or by</w:t>
            </w: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0"/>
              </w:rPr>
              <w:t>Executive for Good</w:t>
            </w: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Termination for</w:t>
            </w:r>
          </w:p>
        </w:tc>
        <w:tc>
          <w:tcPr>
            <w:tcW w:w="1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Voluntary</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7"/>
              </w:rPr>
              <w:t>Termination</w:t>
            </w:r>
          </w:p>
        </w:tc>
        <w:tc>
          <w:tcPr>
            <w:tcW w:w="12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Change-in-</w:t>
            </w:r>
          </w:p>
        </w:tc>
        <w:tc>
          <w:tcPr>
            <w:tcW w:w="110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Reason Following a</w:t>
            </w:r>
          </w:p>
        </w:tc>
      </w:tr>
      <w:tr>
        <w:trPr>
          <w:trHeight w:val="170"/>
        </w:trPr>
        <w:tc>
          <w:tcPr>
            <w:tcW w:w="290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rPr>
              <w:t>Executive Benefits (1)</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Cause</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Termination</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Death</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Disability</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91"/>
              </w:rPr>
              <w:t>Retirement</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9"/>
              </w:rPr>
              <w:t>Without Cause</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Control</w:t>
            </w: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8"/>
              </w:rPr>
              <w:t>Change-in-Control</w:t>
            </w:r>
          </w:p>
        </w:tc>
      </w:tr>
      <w:tr>
        <w:trPr>
          <w:trHeight w:val="257"/>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Annual Incentive (2)</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300,000</w:t>
            </w:r>
          </w:p>
        </w:tc>
      </w:tr>
      <w:tr>
        <w:trPr>
          <w:trHeight w:val="2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Accelerated Stock Options (3)</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19,528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19,528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19,528</w:t>
            </w:r>
          </w:p>
        </w:tc>
      </w:tr>
      <w:tr>
        <w:trPr>
          <w:trHeight w:val="278"/>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Severance (4)</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430,295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1,400,000</w:t>
            </w:r>
          </w:p>
        </w:tc>
      </w:tr>
      <w:tr>
        <w:trPr>
          <w:trHeight w:val="2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Benefit Continuation</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42,590</w:t>
            </w:r>
          </w:p>
        </w:tc>
      </w:tr>
      <w:tr>
        <w:trPr>
          <w:trHeight w:val="278"/>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Accelerated RSUs (5)</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281,915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281,915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281,915</w:t>
            </w:r>
          </w:p>
        </w:tc>
      </w:tr>
      <w:tr>
        <w:trPr>
          <w:trHeight w:val="254"/>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Accelerated Performance RSUs (PRSUs) (6)</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640,712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640,712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290,188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290,188</w:t>
            </w:r>
          </w:p>
        </w:tc>
      </w:tr>
    </w:tbl>
    <w:p>
      <w:pPr>
        <w:spacing w:after="0" w:line="2" w:lineRule="exact"/>
        <w:rPr>
          <w:sz w:val="20"/>
          <w:szCs w:val="20"/>
          <w:color w:val="auto"/>
        </w:rPr>
      </w:pPr>
    </w:p>
    <w:p>
      <w:pPr>
        <w:jc w:val="both"/>
        <w:ind w:left="260" w:hanging="252"/>
        <w:spacing w:after="0" w:line="241" w:lineRule="auto"/>
        <w:tabs>
          <w:tab w:leader="none" w:pos="2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2" w:lineRule="exact"/>
        <w:rPr>
          <w:rFonts w:ascii="Arial" w:cs="Arial" w:eastAsia="Arial" w:hAnsi="Arial"/>
          <w:sz w:val="13"/>
          <w:szCs w:val="13"/>
          <w:color w:val="auto"/>
        </w:rPr>
      </w:pPr>
    </w:p>
    <w:p>
      <w:pPr>
        <w:jc w:val="both"/>
        <w:ind w:left="260" w:hanging="252"/>
        <w:spacing w:after="0" w:line="238" w:lineRule="auto"/>
        <w:tabs>
          <w:tab w:leader="none" w:pos="2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Pursuant to our change-in-control agreement with this executive, the annual bonus payable in the event of termination following a change-in-control is the greater of target or the actual amount earned. For 2015, the annual incentive plan was cancelled resulting in a $0 payout, thus actual performance was below target. Value represents the difference between the target value under the annual incentive program for 2015 and the amount earned based on actual performance in 2015.</w:t>
      </w:r>
    </w:p>
    <w:p>
      <w:pPr>
        <w:ind w:left="260" w:hanging="252"/>
        <w:spacing w:after="0" w:line="238" w:lineRule="auto"/>
        <w:tabs>
          <w:tab w:leader="none" w:pos="2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Represents in-the-money value of accelerated stock options based on the closing price of our common stock on December 31, 2015 ($36.18). Beginning with grants made in 2014, stock options will accelerate only if they are not assumed or substituted, and otherwise provide for a double trigger; values presume that the acquirer assumes outstanding stock options.</w:t>
      </w:r>
    </w:p>
    <w:p>
      <w:pPr>
        <w:ind w:left="260" w:hanging="252"/>
        <w:spacing w:after="0" w:line="238" w:lineRule="auto"/>
        <w:tabs>
          <w:tab w:leader="none" w:pos="2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jc w:val="both"/>
        <w:ind w:left="260" w:hanging="252"/>
        <w:spacing w:after="0" w:line="258" w:lineRule="auto"/>
        <w:tabs>
          <w:tab w:leader="none" w:pos="2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For the time-vested RSUs, upon termination due to death or disability, represents the accelerated value of the RSUs based on the closing price of our common stock on December 31, 2015 ($36.18). Change-in-control amounts represent the accelerated value of all outstanding unvested RSU awards granted prior to 2014 based on the closing price of our stock on December 31, 2015 ($36.18). Beginning with grants made in 2014, upon a change-in-control only (single trigger) RSUs that are not assumed by an acquirer will accelerate; values presume that the acquirer assumes applicable outstanding RSUs.</w:t>
      </w:r>
    </w:p>
    <w:p>
      <w:pPr>
        <w:jc w:val="both"/>
        <w:ind w:left="260" w:hanging="252"/>
        <w:spacing w:after="0" w:line="261" w:lineRule="auto"/>
        <w:tabs>
          <w:tab w:leader="none" w:pos="2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As of December 31, 2015, two three-year performance cycles (2014-2016 and 2015-2017) are not yet complete and target performance is presumed. For the 2013-2015 performance cycle, target payouts were used since actual payouts are less than target for the cycle. Beginning with grants made in 2014, upon a change-in-control only (single trigger) PRSUs that are not assumed by an acquirer will accelerate; values presume that the acquirer assumes applicable outstanding PRSUs. Upon a change-in-control only, value represents the incremental difference in values between target and actual performance. Values are based on the closing price of our common stock on December 31, 2015 ($36.18).</w:t>
      </w:r>
    </w:p>
    <w:p>
      <w:pPr>
        <w:spacing w:after="0" w:line="286" w:lineRule="exact"/>
        <w:rPr>
          <w:sz w:val="20"/>
          <w:szCs w:val="20"/>
          <w:color w:val="auto"/>
        </w:rPr>
      </w:pPr>
    </w:p>
    <w:p>
      <w:pPr>
        <w:jc w:val="center"/>
        <w:ind w:left="260"/>
        <w:spacing w:after="0"/>
        <w:rPr>
          <w:sz w:val="20"/>
          <w:szCs w:val="20"/>
          <w:color w:val="auto"/>
        </w:rPr>
      </w:pPr>
      <w:r>
        <w:rPr>
          <w:rFonts w:ascii="Arial" w:cs="Arial" w:eastAsia="Arial" w:hAnsi="Arial"/>
          <w:sz w:val="13"/>
          <w:szCs w:val="13"/>
          <w:color w:val="auto"/>
        </w:rPr>
        <w:t>Summary of Termination Payments</w:t>
      </w:r>
    </w:p>
    <w:p>
      <w:pPr>
        <w:jc w:val="center"/>
        <w:ind w:left="260"/>
        <w:spacing w:after="0"/>
        <w:rPr>
          <w:sz w:val="20"/>
          <w:szCs w:val="20"/>
          <w:color w:val="auto"/>
        </w:rPr>
      </w:pPr>
      <w:r>
        <w:rPr>
          <w:rFonts w:ascii="Arial" w:cs="Arial" w:eastAsia="Arial" w:hAnsi="Arial"/>
          <w:sz w:val="13"/>
          <w:szCs w:val="13"/>
          <w:color w:val="auto"/>
        </w:rPr>
        <w:t>Shannon Votava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10795</wp:posOffset>
            </wp:positionV>
            <wp:extent cx="70923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92315" cy="8890"/>
                    </a:xfrm>
                    <a:prstGeom prst="rect">
                      <a:avLst/>
                    </a:prstGeom>
                    <a:noFill/>
                  </pic:spPr>
                </pic:pic>
              </a:graphicData>
            </a:graphic>
          </wp:anchor>
        </w:drawing>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w w:val="91"/>
              </w:rPr>
              <w:t>Termination Without</w:t>
            </w: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117"/>
              <w:spacing w:after="0" w:line="135" w:lineRule="exact"/>
              <w:rPr>
                <w:sz w:val="20"/>
                <w:szCs w:val="20"/>
                <w:color w:val="auto"/>
              </w:rPr>
            </w:pPr>
            <w:r>
              <w:rPr>
                <w:rFonts w:ascii="Arial" w:cs="Arial" w:eastAsia="Arial" w:hAnsi="Arial"/>
                <w:sz w:val="13"/>
                <w:szCs w:val="13"/>
                <w:color w:val="auto"/>
                <w:w w:val="85"/>
              </w:rPr>
              <w:t>Cause or by</w:t>
            </w: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0"/>
              </w:rPr>
              <w:t>Executive for Good</w:t>
            </w: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Termination for</w:t>
            </w:r>
          </w:p>
        </w:tc>
        <w:tc>
          <w:tcPr>
            <w:tcW w:w="1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Voluntary</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7"/>
              </w:rPr>
              <w:t>Termination</w:t>
            </w:r>
          </w:p>
        </w:tc>
        <w:tc>
          <w:tcPr>
            <w:tcW w:w="12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Change-in-</w:t>
            </w:r>
          </w:p>
        </w:tc>
        <w:tc>
          <w:tcPr>
            <w:tcW w:w="110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9"/>
              </w:rPr>
              <w:t>Reason Following a</w:t>
            </w:r>
          </w:p>
        </w:tc>
      </w:tr>
      <w:tr>
        <w:trPr>
          <w:trHeight w:val="170"/>
        </w:trPr>
        <w:tc>
          <w:tcPr>
            <w:tcW w:w="290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rPr>
              <w:t>Executive Benefits (1)</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Cause</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Termination</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Death</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Disability</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91"/>
              </w:rPr>
              <w:t>Retirement</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9"/>
              </w:rPr>
              <w:t>Without Cause</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Control</w:t>
            </w: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88"/>
              </w:rPr>
              <w:t>Change-in-Control</w:t>
            </w:r>
          </w:p>
        </w:tc>
      </w:tr>
      <w:tr>
        <w:trPr>
          <w:trHeight w:val="257"/>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Annual Incentive (2)</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199,477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199,477</w:t>
            </w:r>
          </w:p>
        </w:tc>
      </w:tr>
      <w:tr>
        <w:trPr>
          <w:trHeight w:val="2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Accelerated Stock Options (3)</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13,492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13,492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13,492</w:t>
            </w:r>
          </w:p>
        </w:tc>
      </w:tr>
      <w:tr>
        <w:trPr>
          <w:trHeight w:val="278"/>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Severance (4)</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398,379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1,261,260</w:t>
            </w:r>
          </w:p>
        </w:tc>
      </w:tr>
      <w:tr>
        <w:trPr>
          <w:trHeight w:val="2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Benefit Continuation</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14,358</w:t>
            </w:r>
          </w:p>
        </w:tc>
      </w:tr>
      <w:tr>
        <w:trPr>
          <w:trHeight w:val="278"/>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Accelerated RSUs (5)</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224,967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224,967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28,474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224,967</w:t>
            </w:r>
          </w:p>
        </w:tc>
      </w:tr>
      <w:tr>
        <w:trPr>
          <w:trHeight w:val="254"/>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Accelerated Performance RSUs (PRSUs) (6)</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490,492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490,492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251,079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84,806</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335,885</w:t>
            </w:r>
          </w:p>
        </w:tc>
      </w:tr>
    </w:tbl>
    <w:p>
      <w:pPr>
        <w:spacing w:after="0" w:line="2" w:lineRule="exact"/>
        <w:rPr>
          <w:sz w:val="20"/>
          <w:szCs w:val="20"/>
          <w:color w:val="auto"/>
        </w:rPr>
      </w:pPr>
    </w:p>
    <w:p>
      <w:pPr>
        <w:jc w:val="both"/>
        <w:ind w:left="260" w:hanging="252"/>
        <w:spacing w:after="0" w:line="242" w:lineRule="auto"/>
        <w:tabs>
          <w:tab w:leader="none" w:pos="2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126"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260" w:hanging="252"/>
        <w:spacing w:after="0" w:line="243" w:lineRule="auto"/>
        <w:tabs>
          <w:tab w:leader="none" w:pos="2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Pursuant to our change-in-control agreement with this executive, the annual bonus payable in the event of termination following a change-in-control is the greater of target or the actual amount earned. For 2015, the annual incentive plan was cancelled resulting in a $0 payout, thus actual performance was below target. Value represents the difference between the target value under the annual incentive program for 2015 and the amount earned based on actual performance in 2015.</w:t>
      </w:r>
    </w:p>
    <w:p>
      <w:pPr>
        <w:spacing w:after="0" w:line="1" w:lineRule="exact"/>
        <w:rPr>
          <w:rFonts w:ascii="Arial" w:cs="Arial" w:eastAsia="Arial" w:hAnsi="Arial"/>
          <w:sz w:val="13"/>
          <w:szCs w:val="13"/>
          <w:color w:val="auto"/>
        </w:rPr>
      </w:pPr>
    </w:p>
    <w:p>
      <w:pPr>
        <w:ind w:left="260" w:hanging="252"/>
        <w:spacing w:after="0" w:line="238" w:lineRule="auto"/>
        <w:tabs>
          <w:tab w:leader="none" w:pos="2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Represents in-the-money value of accelerated stock options based on the closing price of our common stock on December 31, 2015 ($36.18). Beginning with grants made in 2014, stock options will accelerate only if they are not assumed or substituted, and otherwise provide for a double trigger; values presume that the acquirer assumes outstanding stock options.</w:t>
      </w:r>
    </w:p>
    <w:p>
      <w:pPr>
        <w:ind w:left="260" w:hanging="252"/>
        <w:spacing w:after="0" w:line="238" w:lineRule="auto"/>
        <w:tabs>
          <w:tab w:leader="none" w:pos="2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jc w:val="both"/>
        <w:ind w:left="260" w:hanging="252"/>
        <w:spacing w:after="0" w:line="258" w:lineRule="auto"/>
        <w:tabs>
          <w:tab w:leader="none" w:pos="2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For the time-vested RSUs, upon termination due to death or disability, represents the accelerated value of the RSUs based on the closing price of our common stock on December 31, 2015 ($36.18). Change-in-control amounts represent the accelerated value of all outstanding unvested RSU awards granted prior to 2014 based on the closing price of our stock on December 31, 2015 ($36.18). Beginning with grants made in 2014, upon a change-in-control only (single trigger) RSUs that are not assumed by an acquirer will accelerate; values presume that the acquirer assumes applicable outstanding RSUs.</w:t>
      </w:r>
    </w:p>
    <w:p>
      <w:pPr>
        <w:jc w:val="both"/>
        <w:ind w:left="260" w:hanging="252"/>
        <w:spacing w:after="0" w:line="261" w:lineRule="auto"/>
        <w:tabs>
          <w:tab w:leader="none" w:pos="2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Upon a termination due to death or disability, awards will vest based on actual performance at the conclusion of the performance periods. Upon a termination due to retirement, awards will vest based on actual performance and are pro-rated based on the number of completed calendar days during the performance period; values assume target performance has been achieved.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As of December 31, 2015, two three-year performance cycles (2014-2016 and 2015-2017) are not yet complete and target performance is presumed. For the 2013-2015 performance cycle, target payouts were used since actual payouts are less than target for the cycle. Beginning with grants made in 2014, upon a change-in-control only (single trigger) PRSUs that are not assumed by an acquirer will accelerate; values presume that the acquirer assumes applicable outstanding PRSUs. Upon a change-in-control only, value represents the incremental difference in values between target and actual performance. Values are based on the closing price of our common stock on December 31, 2015 ($36.18).</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gives certain information about our equity compensation plans in effect as of December 31, 2015.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 Remaining</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Number of Shares to Be Issued</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Available for Issuance Under</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Upon Exercise of</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Weighted-Average Exercise Price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Equity Compensation</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 Options,</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of Outstanding Options,</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Plans (excluding shares</w:t>
            </w: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Warrants and Rights</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Warrants and Rights</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reflected in column (a))</w:t>
            </w:r>
          </w:p>
        </w:tc>
      </w:tr>
      <w:tr>
        <w:trPr>
          <w:trHeight w:val="270"/>
        </w:trPr>
        <w:tc>
          <w:tcPr>
            <w:tcW w:w="3000" w:type="dxa"/>
            <w:vAlign w:val="bottom"/>
            <w:gridSpan w:val="2"/>
          </w:tcPr>
          <w:p>
            <w:pPr>
              <w:ind w:left="880"/>
              <w:spacing w:after="0"/>
              <w:rPr>
                <w:sz w:val="20"/>
                <w:szCs w:val="20"/>
                <w:color w:val="auto"/>
              </w:rPr>
            </w:pPr>
            <w:r>
              <w:rPr>
                <w:rFonts w:ascii="Arial" w:cs="Arial" w:eastAsia="Arial" w:hAnsi="Arial"/>
                <w:sz w:val="18"/>
                <w:szCs w:val="18"/>
                <w:b w:val="1"/>
                <w:bCs w:val="1"/>
                <w:color w:val="auto"/>
              </w:rPr>
              <w:t>Plan Category</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w:t>
            </w:r>
          </w:p>
        </w:tc>
        <w:tc>
          <w:tcPr>
            <w:tcW w:w="2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(b)</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2"/>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Equity Compensation Plans Approved</w:t>
            </w:r>
          </w:p>
        </w:tc>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r>
      <w:tr>
        <w:trPr>
          <w:trHeight w:val="257"/>
        </w:trPr>
        <w:tc>
          <w:tcPr>
            <w:tcW w:w="300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by Shareholders </w:t>
            </w:r>
            <w:r>
              <w:rPr>
                <w:rFonts w:ascii="Arial" w:cs="Arial" w:eastAsia="Arial" w:hAnsi="Arial"/>
                <w:sz w:val="25"/>
                <w:szCs w:val="25"/>
                <w:color w:val="auto"/>
                <w:vertAlign w:val="superscript"/>
              </w:rPr>
              <w:t>(1)</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1,936,603</w:t>
            </w:r>
          </w:p>
        </w:tc>
        <w:tc>
          <w:tcPr>
            <w:tcW w:w="120" w:type="dxa"/>
            <w:vAlign w:val="bottom"/>
            <w:shd w:val="clear" w:color="auto" w:fill="CCEEFF"/>
          </w:tcPr>
          <w:p>
            <w:pPr>
              <w:spacing w:after="0"/>
              <w:rPr>
                <w:sz w:val="22"/>
                <w:szCs w:val="22"/>
                <w:color w:val="auto"/>
              </w:rPr>
            </w:pPr>
          </w:p>
        </w:tc>
        <w:tc>
          <w:tcPr>
            <w:tcW w:w="2720" w:type="dxa"/>
            <w:vAlign w:val="bottom"/>
            <w:shd w:val="clear" w:color="auto" w:fill="CCEEFF"/>
          </w:tcPr>
          <w:p>
            <w:pPr>
              <w:jc w:val="center"/>
              <w:spacing w:after="0" w:line="257" w:lineRule="exact"/>
              <w:rPr>
                <w:sz w:val="20"/>
                <w:szCs w:val="20"/>
                <w:color w:val="auto"/>
              </w:rPr>
            </w:pPr>
            <w:r>
              <w:rPr>
                <w:rFonts w:ascii="Arial" w:cs="Arial" w:eastAsia="Arial" w:hAnsi="Arial"/>
                <w:sz w:val="18"/>
                <w:szCs w:val="18"/>
                <w:color w:val="auto"/>
                <w:w w:val="84"/>
              </w:rPr>
              <w:t xml:space="preserve">$48.31 </w:t>
            </w:r>
            <w:r>
              <w:rPr>
                <w:rFonts w:ascii="Arial" w:cs="Arial" w:eastAsia="Arial" w:hAnsi="Arial"/>
                <w:sz w:val="25"/>
                <w:szCs w:val="25"/>
                <w:color w:val="auto"/>
                <w:w w:val="84"/>
                <w:vertAlign w:val="superscript"/>
              </w:rPr>
              <w:t>(2)</w:t>
            </w:r>
          </w:p>
        </w:tc>
        <w:tc>
          <w:tcPr>
            <w:tcW w:w="120" w:type="dxa"/>
            <w:vAlign w:val="bottom"/>
            <w:shd w:val="clear" w:color="auto" w:fill="CCEEFF"/>
          </w:tcPr>
          <w:p>
            <w:pPr>
              <w:spacing w:after="0"/>
              <w:rPr>
                <w:sz w:val="22"/>
                <w:szCs w:val="22"/>
                <w:color w:val="auto"/>
              </w:rPr>
            </w:pPr>
          </w:p>
        </w:tc>
        <w:tc>
          <w:tcPr>
            <w:tcW w:w="2720" w:type="dxa"/>
            <w:vAlign w:val="bottom"/>
            <w:shd w:val="clear" w:color="auto" w:fill="CCEEFF"/>
          </w:tcPr>
          <w:p>
            <w:pPr>
              <w:jc w:val="center"/>
              <w:spacing w:after="0" w:line="257" w:lineRule="exact"/>
              <w:rPr>
                <w:sz w:val="20"/>
                <w:szCs w:val="20"/>
                <w:color w:val="auto"/>
              </w:rPr>
            </w:pPr>
            <w:r>
              <w:rPr>
                <w:rFonts w:ascii="Arial" w:cs="Arial" w:eastAsia="Arial" w:hAnsi="Arial"/>
                <w:sz w:val="18"/>
                <w:szCs w:val="18"/>
                <w:color w:val="auto"/>
                <w:w w:val="85"/>
              </w:rPr>
              <w:t xml:space="preserve">2,992,613 </w:t>
            </w:r>
            <w:r>
              <w:rPr>
                <w:rFonts w:ascii="Arial" w:cs="Arial" w:eastAsia="Arial" w:hAnsi="Arial"/>
                <w:sz w:val="25"/>
                <w:szCs w:val="25"/>
                <w:color w:val="auto"/>
                <w:w w:val="85"/>
                <w:vertAlign w:val="superscript"/>
              </w:rPr>
              <w:t>(3)</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Approved by Shareholders</w:t>
            </w: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64"/>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1,936,603</w:t>
            </w:r>
          </w:p>
        </w:tc>
        <w:tc>
          <w:tcPr>
            <w:tcW w:w="12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auto"/>
            </w:tcBorders>
            <w:shd w:val="clear" w:color="auto" w:fill="CCEEFF"/>
          </w:tcPr>
          <w:p>
            <w:pPr>
              <w:jc w:val="center"/>
              <w:spacing w:after="0" w:line="264" w:lineRule="exact"/>
              <w:rPr>
                <w:sz w:val="20"/>
                <w:szCs w:val="20"/>
                <w:color w:val="auto"/>
              </w:rPr>
            </w:pPr>
            <w:r>
              <w:rPr>
                <w:rFonts w:ascii="Arial" w:cs="Arial" w:eastAsia="Arial" w:hAnsi="Arial"/>
                <w:sz w:val="18"/>
                <w:szCs w:val="18"/>
                <w:color w:val="auto"/>
                <w:w w:val="84"/>
              </w:rPr>
              <w:t xml:space="preserve">$48.31 </w:t>
            </w:r>
            <w:r>
              <w:rPr>
                <w:rFonts w:ascii="Arial" w:cs="Arial" w:eastAsia="Arial" w:hAnsi="Arial"/>
                <w:sz w:val="25"/>
                <w:szCs w:val="25"/>
                <w:color w:val="auto"/>
                <w:w w:val="84"/>
                <w:vertAlign w:val="superscript"/>
              </w:rPr>
              <w:t>(2)</w:t>
            </w:r>
          </w:p>
        </w:tc>
        <w:tc>
          <w:tcPr>
            <w:tcW w:w="12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auto"/>
            </w:tcBorders>
            <w:shd w:val="clear" w:color="auto" w:fill="CCEEFF"/>
          </w:tcPr>
          <w:p>
            <w:pPr>
              <w:jc w:val="center"/>
              <w:spacing w:after="0" w:line="264" w:lineRule="exact"/>
              <w:rPr>
                <w:sz w:val="20"/>
                <w:szCs w:val="20"/>
                <w:color w:val="auto"/>
              </w:rPr>
            </w:pPr>
            <w:r>
              <w:rPr>
                <w:rFonts w:ascii="Arial" w:cs="Arial" w:eastAsia="Arial" w:hAnsi="Arial"/>
                <w:sz w:val="18"/>
                <w:szCs w:val="18"/>
                <w:color w:val="auto"/>
                <w:w w:val="85"/>
              </w:rPr>
              <w:t xml:space="preserve">2,992,613 </w:t>
            </w:r>
            <w:r>
              <w:rPr>
                <w:rFonts w:ascii="Arial" w:cs="Arial" w:eastAsia="Arial" w:hAnsi="Arial"/>
                <w:sz w:val="25"/>
                <w:szCs w:val="25"/>
                <w:color w:val="auto"/>
                <w:w w:val="85"/>
                <w:vertAlign w:val="superscript"/>
              </w:rPr>
              <w:t>(3)</w:t>
            </w: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60"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Under the provisions of the Itron Amended and Restated 2010 Stock Incentive Plan (2010 Plan), the Company may grant stock awards, stock units, performance shares, stock appreciation rights, and performance units (collectively Awards) in addition to stock options. For purposes of this table, the number of performance shares included are determined based on achievement of target performance goals.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weighted-average exercise price pertains only to outstanding options and excludes 735,646 shares issuable upon vesting of outstanding Awards.</w:t>
      </w:r>
    </w:p>
    <w:p>
      <w:pPr>
        <w:spacing w:after="0" w:line="59"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number includes 2,600,999 shares available for issuance under the 2010 Plan and 391,614 shares available for issuance under the 2012 Employee Stock Purchase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the beneficial ownership of our common stock as of June 15, 2016 by:</w:t>
      </w:r>
    </w:p>
    <w:p>
      <w:pPr>
        <w:spacing w:after="0" w:line="90" w:lineRule="exact"/>
        <w:rPr>
          <w:sz w:val="20"/>
          <w:szCs w:val="20"/>
          <w:color w:val="auto"/>
        </w:rPr>
      </w:pPr>
    </w:p>
    <w:p>
      <w:pPr>
        <w:ind w:left="980" w:hanging="351"/>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980" w:hanging="351"/>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our executive officers listed in the Summary Compensation Table;</w:t>
      </w:r>
    </w:p>
    <w:p>
      <w:pPr>
        <w:spacing w:after="0" w:line="90" w:lineRule="exact"/>
        <w:rPr>
          <w:rFonts w:ascii="Arial" w:cs="Arial" w:eastAsia="Arial" w:hAnsi="Arial"/>
          <w:sz w:val="18"/>
          <w:szCs w:val="18"/>
          <w:color w:val="auto"/>
        </w:rPr>
      </w:pPr>
    </w:p>
    <w:p>
      <w:pPr>
        <w:ind w:left="980" w:hanging="351"/>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of our director nominees, directors, and executive officers as a group; and</w:t>
      </w:r>
    </w:p>
    <w:p>
      <w:pPr>
        <w:spacing w:after="0" w:line="90" w:lineRule="exact"/>
        <w:rPr>
          <w:rFonts w:ascii="Arial" w:cs="Arial" w:eastAsia="Arial" w:hAnsi="Arial"/>
          <w:sz w:val="18"/>
          <w:szCs w:val="18"/>
          <w:color w:val="auto"/>
        </w:rPr>
      </w:pPr>
    </w:p>
    <w:p>
      <w:pPr>
        <w:ind w:left="980" w:hanging="351"/>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person that we know beneficially owns more than 5% of our common stock.</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percentage ownership data is based on 38,242,461 shares of our common stock outstanding as of June 15, 2016. Under SEC rules, beneficial ownership includes shares over which the indicated beneficial owner exercises voting and/or investment power. Shares of common stock subject to options that are currently exercisable or will become exercisable within 60 days are deemed outstanding for computing the number of shares and the percentage ownership of the person holding the option, but are not deemed outstanding for purposes of computing the percentage ownership of any other person. Except as otherwise noted, we believe that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125"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beneficial owners of the shares of common stock listed below have sole voting and investment power with respect to all shares beneficially owned, subject to applicable community property laws.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20" w:type="dxa"/>
            <w:vAlign w:val="bottom"/>
            <w:gridSpan w:val="4"/>
          </w:tcPr>
          <w:p>
            <w:pPr>
              <w:ind w:left="60"/>
              <w:spacing w:after="0"/>
              <w:rPr>
                <w:sz w:val="20"/>
                <w:szCs w:val="20"/>
                <w:color w:val="auto"/>
              </w:rPr>
            </w:pPr>
            <w:r>
              <w:rPr>
                <w:rFonts w:ascii="Arial" w:cs="Arial" w:eastAsia="Arial" w:hAnsi="Arial"/>
                <w:sz w:val="18"/>
                <w:szCs w:val="18"/>
                <w:b w:val="1"/>
                <w:bCs w:val="1"/>
                <w:color w:val="auto"/>
              </w:rPr>
              <w:t>Shares Beneficially Owned</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1580" w:type="dxa"/>
            <w:vAlign w:val="bottom"/>
            <w:gridSpan w:val="4"/>
          </w:tcPr>
          <w:p>
            <w:pPr>
              <w:ind w:left="420"/>
              <w:spacing w:after="0"/>
              <w:rPr>
                <w:sz w:val="20"/>
                <w:szCs w:val="20"/>
                <w:color w:val="auto"/>
              </w:rPr>
            </w:pPr>
            <w:r>
              <w:rPr>
                <w:rFonts w:ascii="Arial" w:cs="Arial" w:eastAsia="Arial" w:hAnsi="Arial"/>
                <w:sz w:val="18"/>
                <w:szCs w:val="18"/>
                <w:b w:val="1"/>
                <w:bCs w:val="1"/>
                <w:color w:val="auto"/>
              </w:rPr>
              <w:t>Number</w:t>
            </w:r>
          </w:p>
        </w:tc>
        <w:tc>
          <w:tcPr>
            <w:tcW w:w="1480" w:type="dxa"/>
            <w:vAlign w:val="bottom"/>
          </w:tcPr>
          <w:p>
            <w:pPr>
              <w:ind w:left="46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Philip C. Mezey (1)</w:t>
            </w:r>
          </w:p>
        </w:tc>
        <w:tc>
          <w:tcPr>
            <w:tcW w:w="148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436,974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W. Mark Schmitz (2)</w:t>
            </w:r>
          </w:p>
        </w:tc>
        <w:tc>
          <w:tcPr>
            <w:tcW w:w="102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28,168</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L. Deitrich (3)</w:t>
            </w:r>
          </w:p>
        </w:tc>
        <w:tc>
          <w:tcPr>
            <w:tcW w:w="1020" w:type="dxa"/>
            <w:vAlign w:val="bottom"/>
            <w:tcBorders>
              <w:bottom w:val="single" w:sz="8" w:color="CCEEFF"/>
            </w:tcBorders>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97,881</w:t>
            </w: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John W. Holleran (4)</w:t>
            </w:r>
          </w:p>
        </w:tc>
        <w:tc>
          <w:tcPr>
            <w:tcW w:w="1020" w:type="dxa"/>
            <w:vAlign w:val="bottom"/>
            <w:gridSpan w:val="2"/>
          </w:tcPr>
          <w:p>
            <w:pPr>
              <w:jc w:val="center"/>
              <w:ind w:left="370"/>
              <w:spacing w:after="0"/>
              <w:rPr>
                <w:sz w:val="20"/>
                <w:szCs w:val="20"/>
                <w:color w:val="auto"/>
              </w:rPr>
            </w:pPr>
            <w:r>
              <w:rPr>
                <w:rFonts w:ascii="Arial" w:cs="Arial" w:eastAsia="Arial" w:hAnsi="Arial"/>
                <w:sz w:val="18"/>
                <w:szCs w:val="18"/>
                <w:color w:val="auto"/>
                <w:w w:val="88"/>
              </w:rPr>
              <w:t>3,427</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Michel C. Cadieux (5)</w:t>
            </w:r>
          </w:p>
        </w:tc>
        <w:tc>
          <w:tcPr>
            <w:tcW w:w="1020" w:type="dxa"/>
            <w:vAlign w:val="bottom"/>
            <w:tcBorders>
              <w:bottom w:val="single" w:sz="8" w:color="CCEEFF"/>
            </w:tcBorders>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23,574</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Shannon M. Votava (6)</w:t>
            </w:r>
          </w:p>
        </w:tc>
        <w:tc>
          <w:tcPr>
            <w:tcW w:w="102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41,327</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Kirby A. Dyess (7)</w:t>
            </w:r>
          </w:p>
        </w:tc>
        <w:tc>
          <w:tcPr>
            <w:tcW w:w="1020" w:type="dxa"/>
            <w:vAlign w:val="bottom"/>
            <w:tcBorders>
              <w:bottom w:val="single" w:sz="8" w:color="CCEEFF"/>
            </w:tcBorders>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16,823</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Jon E. Eliassen (8)</w:t>
            </w:r>
          </w:p>
        </w:tc>
        <w:tc>
          <w:tcPr>
            <w:tcW w:w="102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22,636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Charles H. Gaylord, Jr. (9)</w:t>
            </w:r>
          </w:p>
        </w:tc>
        <w:tc>
          <w:tcPr>
            <w:tcW w:w="1020" w:type="dxa"/>
            <w:vAlign w:val="bottom"/>
            <w:tcBorders>
              <w:bottom w:val="single" w:sz="8" w:color="CCEEFF"/>
            </w:tcBorders>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20,409</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Thomas S. Glanville (10)</w:t>
            </w:r>
          </w:p>
        </w:tc>
        <w:tc>
          <w:tcPr>
            <w:tcW w:w="102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25,032</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Frank M. Jaehnert (11)</w:t>
            </w:r>
          </w:p>
        </w:tc>
        <w:tc>
          <w:tcPr>
            <w:tcW w:w="1020" w:type="dxa"/>
            <w:vAlign w:val="bottom"/>
            <w:tcBorders>
              <w:bottom w:val="single" w:sz="8" w:color="CCEEFF"/>
            </w:tcBorders>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88"/>
              </w:rPr>
              <w:t>3,967</w:t>
            </w: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Jerome J. Lande (12)</w:t>
            </w:r>
          </w:p>
        </w:tc>
        <w:tc>
          <w:tcPr>
            <w:tcW w:w="1020" w:type="dxa"/>
            <w:vAlign w:val="bottom"/>
            <w:gridSpan w:val="2"/>
          </w:tcPr>
          <w:p>
            <w:pPr>
              <w:jc w:val="center"/>
              <w:ind w:left="370"/>
              <w:spacing w:after="0"/>
              <w:rPr>
                <w:sz w:val="20"/>
                <w:szCs w:val="20"/>
                <w:color w:val="auto"/>
              </w:rPr>
            </w:pPr>
            <w:r>
              <w:rPr>
                <w:rFonts w:ascii="Arial" w:cs="Arial" w:eastAsia="Arial" w:hAnsi="Arial"/>
                <w:sz w:val="18"/>
                <w:szCs w:val="18"/>
                <w:color w:val="auto"/>
                <w:w w:val="88"/>
              </w:rPr>
              <w:t>5,445</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Timothy M. Leyden (13)</w:t>
            </w:r>
          </w:p>
        </w:tc>
        <w:tc>
          <w:tcPr>
            <w:tcW w:w="1020" w:type="dxa"/>
            <w:vAlign w:val="bottom"/>
            <w:tcBorders>
              <w:bottom w:val="single" w:sz="8" w:color="CCEEFF"/>
            </w:tcBorders>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88"/>
              </w:rPr>
              <w:t>4,598</w:t>
            </w: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Peter Mainz (14)</w:t>
            </w:r>
          </w:p>
        </w:tc>
        <w:tc>
          <w:tcPr>
            <w:tcW w:w="1020" w:type="dxa"/>
            <w:vAlign w:val="bottom"/>
            <w:gridSpan w:val="2"/>
          </w:tcPr>
          <w:p>
            <w:pPr>
              <w:jc w:val="center"/>
              <w:ind w:left="370"/>
              <w:spacing w:after="0"/>
              <w:rPr>
                <w:sz w:val="20"/>
                <w:szCs w:val="20"/>
                <w:color w:val="auto"/>
              </w:rPr>
            </w:pPr>
            <w:r>
              <w:rPr>
                <w:rFonts w:ascii="Arial" w:cs="Arial" w:eastAsia="Arial" w:hAnsi="Arial"/>
                <w:sz w:val="18"/>
                <w:szCs w:val="18"/>
                <w:color w:val="auto"/>
                <w:w w:val="88"/>
              </w:rPr>
              <w:t>2,211</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Sharon L. Nelson (15)</w:t>
            </w:r>
          </w:p>
        </w:tc>
        <w:tc>
          <w:tcPr>
            <w:tcW w:w="1020" w:type="dxa"/>
            <w:vAlign w:val="bottom"/>
            <w:tcBorders>
              <w:bottom w:val="single" w:sz="8" w:color="CCEEFF"/>
            </w:tcBorders>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17,457</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Daniel S. Pelino (16)</w:t>
            </w:r>
          </w:p>
        </w:tc>
        <w:tc>
          <w:tcPr>
            <w:tcW w:w="1020" w:type="dxa"/>
            <w:vAlign w:val="bottom"/>
            <w:gridSpan w:val="2"/>
          </w:tcPr>
          <w:p>
            <w:pPr>
              <w:jc w:val="center"/>
              <w:ind w:left="370"/>
              <w:spacing w:after="0"/>
              <w:rPr>
                <w:sz w:val="20"/>
                <w:szCs w:val="20"/>
                <w:color w:val="auto"/>
              </w:rPr>
            </w:pPr>
            <w:r>
              <w:rPr>
                <w:rFonts w:ascii="Arial" w:cs="Arial" w:eastAsia="Arial" w:hAnsi="Arial"/>
                <w:sz w:val="18"/>
                <w:szCs w:val="18"/>
                <w:color w:val="auto"/>
                <w:w w:val="88"/>
              </w:rPr>
              <w:t>5,319</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Gary E. Pruitt (17)</w:t>
            </w:r>
          </w:p>
        </w:tc>
        <w:tc>
          <w:tcPr>
            <w:tcW w:w="1020" w:type="dxa"/>
            <w:vAlign w:val="bottom"/>
            <w:tcBorders>
              <w:bottom w:val="single" w:sz="8" w:color="CCEEFF"/>
            </w:tcBorders>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27,381</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Diana D. Tremblay (18)</w:t>
            </w:r>
          </w:p>
        </w:tc>
        <w:tc>
          <w:tcPr>
            <w:tcW w:w="1020" w:type="dxa"/>
            <w:vAlign w:val="bottom"/>
            <w:gridSpan w:val="2"/>
          </w:tcPr>
          <w:p>
            <w:pPr>
              <w:jc w:val="center"/>
              <w:ind w:left="370"/>
              <w:spacing w:after="0"/>
              <w:rPr>
                <w:sz w:val="20"/>
                <w:szCs w:val="20"/>
                <w:color w:val="auto"/>
              </w:rPr>
            </w:pPr>
            <w:r>
              <w:rPr>
                <w:rFonts w:ascii="Arial" w:cs="Arial" w:eastAsia="Arial" w:hAnsi="Arial"/>
                <w:sz w:val="18"/>
                <w:szCs w:val="18"/>
                <w:color w:val="auto"/>
                <w:w w:val="88"/>
              </w:rPr>
              <w:t>3,967</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Lynda L. Ziegler (19)</w:t>
            </w:r>
          </w:p>
        </w:tc>
        <w:tc>
          <w:tcPr>
            <w:tcW w:w="1020" w:type="dxa"/>
            <w:vAlign w:val="bottom"/>
            <w:tcBorders>
              <w:bottom w:val="single" w:sz="8" w:color="CCEEFF"/>
            </w:tcBorders>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88"/>
              </w:rPr>
              <w:t>9,547</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All directors and executive officers as a group (19 persons) (20)</w:t>
            </w:r>
          </w:p>
        </w:tc>
        <w:tc>
          <w:tcPr>
            <w:tcW w:w="14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796,143</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2.1%</w:t>
            </w:r>
          </w:p>
        </w:tc>
        <w:tc>
          <w:tcPr>
            <w:tcW w:w="0" w:type="dxa"/>
            <w:vAlign w:val="bottom"/>
          </w:tcPr>
          <w:p>
            <w:pPr>
              <w:spacing w:after="0"/>
              <w:rPr>
                <w:sz w:val="1"/>
                <w:szCs w:val="1"/>
                <w:color w:val="auto"/>
              </w:rPr>
            </w:pPr>
          </w:p>
        </w:tc>
      </w:tr>
      <w:tr>
        <w:trPr>
          <w:trHeight w:val="45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Greater-Than-5% Beneficial Owners:</w:t>
            </w:r>
          </w:p>
        </w:tc>
        <w:tc>
          <w:tcPr>
            <w:tcW w:w="4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BlackRock, Inc. (21)</w:t>
            </w: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200"/>
              <w:spacing w:after="0" w:line="216" w:lineRule="exact"/>
              <w:rPr>
                <w:sz w:val="20"/>
                <w:szCs w:val="20"/>
                <w:color w:val="auto"/>
              </w:rPr>
            </w:pPr>
            <w:r>
              <w:rPr>
                <w:rFonts w:ascii="Arial" w:cs="Arial" w:eastAsia="Arial" w:hAnsi="Arial"/>
                <w:sz w:val="18"/>
                <w:szCs w:val="18"/>
                <w:color w:val="auto"/>
              </w:rPr>
              <w:t>40 East 52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Street</w:t>
            </w:r>
          </w:p>
        </w:tc>
        <w:tc>
          <w:tcPr>
            <w:tcW w:w="148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4,697,733</w:t>
            </w:r>
          </w:p>
        </w:tc>
        <w:tc>
          <w:tcPr>
            <w:tcW w:w="10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12.3%</w:t>
            </w: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10022</w:t>
            </w:r>
          </w:p>
        </w:tc>
        <w:tc>
          <w:tcPr>
            <w:tcW w:w="1480" w:type="dxa"/>
            <w:vAlign w:val="bottom"/>
            <w:tcBorders>
              <w:bottom w:val="single" w:sz="8" w:color="CCEEFF"/>
            </w:tcBorders>
            <w:gridSpan w:val="3"/>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Scopia Capital Management LP (22)</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152 West 57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33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Floor</w:t>
            </w:r>
          </w:p>
        </w:tc>
        <w:tc>
          <w:tcPr>
            <w:tcW w:w="14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4,475,084</w:t>
            </w:r>
          </w:p>
        </w:tc>
        <w:tc>
          <w:tcPr>
            <w:tcW w:w="100" w:type="dxa"/>
            <w:vAlign w:val="bottom"/>
          </w:tcPr>
          <w:p>
            <w:pPr>
              <w:spacing w:after="0"/>
              <w:rPr>
                <w:sz w:val="18"/>
                <w:szCs w:val="18"/>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0"/>
              </w:rPr>
              <w:t>11.7%</w:t>
            </w:r>
          </w:p>
        </w:tc>
        <w:tc>
          <w:tcPr>
            <w:tcW w:w="0" w:type="dxa"/>
            <w:vAlign w:val="bottom"/>
          </w:tcPr>
          <w:p>
            <w:pPr>
              <w:spacing w:after="0"/>
              <w:rPr>
                <w:sz w:val="1"/>
                <w:szCs w:val="1"/>
                <w:color w:val="auto"/>
              </w:rPr>
            </w:pPr>
          </w:p>
        </w:tc>
      </w:tr>
      <w:tr>
        <w:trPr>
          <w:trHeight w:val="230"/>
        </w:trPr>
        <w:tc>
          <w:tcPr>
            <w:tcW w:w="8360" w:type="dxa"/>
            <w:vAlign w:val="bottom"/>
            <w:gridSpan w:val="2"/>
          </w:tcPr>
          <w:p>
            <w:pPr>
              <w:ind w:left="200"/>
              <w:spacing w:after="0"/>
              <w:rPr>
                <w:sz w:val="20"/>
                <w:szCs w:val="20"/>
                <w:color w:val="auto"/>
              </w:rPr>
            </w:pPr>
            <w:r>
              <w:rPr>
                <w:rFonts w:ascii="Arial" w:cs="Arial" w:eastAsia="Arial" w:hAnsi="Arial"/>
                <w:sz w:val="18"/>
                <w:szCs w:val="18"/>
                <w:color w:val="auto"/>
              </w:rPr>
              <w:t>New York, New York 10019</w:t>
            </w:r>
          </w:p>
        </w:tc>
        <w:tc>
          <w:tcPr>
            <w:tcW w:w="14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Fairpointe Capital LLC (23)</w:t>
            </w: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 N. Franklin Ste. 3300</w:t>
            </w:r>
          </w:p>
        </w:tc>
        <w:tc>
          <w:tcPr>
            <w:tcW w:w="148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3,442,744</w:t>
            </w:r>
          </w:p>
        </w:tc>
        <w:tc>
          <w:tcPr>
            <w:tcW w:w="10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9.0%</w:t>
            </w: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Chicago, IL 60606</w:t>
            </w:r>
          </w:p>
        </w:tc>
        <w:tc>
          <w:tcPr>
            <w:tcW w:w="1480" w:type="dxa"/>
            <w:vAlign w:val="bottom"/>
            <w:tcBorders>
              <w:bottom w:val="single" w:sz="8" w:color="CCEEFF"/>
            </w:tcBorders>
            <w:gridSpan w:val="3"/>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Harris Associates L.P. (24)</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ind w:left="200"/>
              <w:spacing w:after="0"/>
              <w:rPr>
                <w:sz w:val="20"/>
                <w:szCs w:val="20"/>
                <w:color w:val="auto"/>
              </w:rPr>
            </w:pPr>
            <w:r>
              <w:rPr>
                <w:rFonts w:ascii="Arial" w:cs="Arial" w:eastAsia="Arial" w:hAnsi="Arial"/>
                <w:sz w:val="18"/>
                <w:szCs w:val="18"/>
                <w:color w:val="auto"/>
              </w:rPr>
              <w:t>111 South Wacker Drive, Suite 4600</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2"/>
              </w:rPr>
              <w:t>8.3%</w:t>
            </w:r>
          </w:p>
        </w:tc>
        <w:tc>
          <w:tcPr>
            <w:tcW w:w="0" w:type="dxa"/>
            <w:vAlign w:val="bottom"/>
          </w:tcPr>
          <w:p>
            <w:pPr>
              <w:spacing w:after="0"/>
              <w:rPr>
                <w:sz w:val="1"/>
                <w:szCs w:val="1"/>
                <w:color w:val="auto"/>
              </w:rPr>
            </w:pPr>
          </w:p>
        </w:tc>
      </w:tr>
      <w:tr>
        <w:trPr>
          <w:trHeight w:val="230"/>
        </w:trPr>
        <w:tc>
          <w:tcPr>
            <w:tcW w:w="8360" w:type="dxa"/>
            <w:vAlign w:val="bottom"/>
            <w:gridSpan w:val="2"/>
          </w:tcPr>
          <w:p>
            <w:pPr>
              <w:ind w:left="200"/>
              <w:spacing w:after="0"/>
              <w:rPr>
                <w:sz w:val="20"/>
                <w:szCs w:val="20"/>
                <w:color w:val="auto"/>
              </w:rPr>
            </w:pPr>
            <w:r>
              <w:rPr>
                <w:rFonts w:ascii="Arial" w:cs="Arial" w:eastAsia="Arial" w:hAnsi="Arial"/>
                <w:sz w:val="18"/>
                <w:szCs w:val="18"/>
                <w:color w:val="auto"/>
              </w:rPr>
              <w:t>Chicago, IL 60606</w:t>
            </w: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9"/>
              </w:rPr>
              <w:t>3,156,690</w:t>
            </w:r>
          </w:p>
        </w:tc>
        <w:tc>
          <w:tcPr>
            <w:tcW w:w="10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Vanguard Group (25)</w:t>
            </w: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100 Vanguard Blvd.</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7.3%</w:t>
            </w:r>
          </w:p>
        </w:tc>
        <w:tc>
          <w:tcPr>
            <w:tcW w:w="0" w:type="dxa"/>
            <w:vAlign w:val="bottom"/>
          </w:tcPr>
          <w:p>
            <w:pPr>
              <w:spacing w:after="0"/>
              <w:rPr>
                <w:sz w:val="1"/>
                <w:szCs w:val="1"/>
                <w:color w:val="auto"/>
              </w:rPr>
            </w:pPr>
          </w:p>
        </w:tc>
      </w:tr>
      <w:tr>
        <w:trPr>
          <w:trHeight w:val="230"/>
        </w:trPr>
        <w:tc>
          <w:tcPr>
            <w:tcW w:w="8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Malvern, PA 19355</w:t>
            </w:r>
          </w:p>
        </w:tc>
        <w:tc>
          <w:tcPr>
            <w:tcW w:w="14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2,789,068</w:t>
            </w:r>
          </w:p>
        </w:tc>
        <w:tc>
          <w:tcPr>
            <w:tcW w:w="100" w:type="dxa"/>
            <w:vAlign w:val="bottom"/>
            <w:shd w:val="clear" w:color="auto" w:fill="CCEEFF"/>
          </w:tcPr>
          <w:p>
            <w:pPr>
              <w:spacing w:after="0"/>
              <w:rPr>
                <w:sz w:val="20"/>
                <w:szCs w:val="20"/>
                <w:color w:val="auto"/>
              </w:rPr>
            </w:pPr>
          </w:p>
        </w:tc>
        <w:tc>
          <w:tcPr>
            <w:tcW w:w="14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49"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Includes 337,909 shares issuable on exercise of outstanding options exercisable within 60 days at a weighted average exercise price of $46.79 per share.</w:t>
      </w:r>
    </w:p>
    <w:p>
      <w:pPr>
        <w:spacing w:after="0" w:line="86" w:lineRule="exact"/>
        <w:rPr>
          <w:rFonts w:ascii="Arial" w:cs="Arial" w:eastAsia="Arial" w:hAnsi="Arial"/>
          <w:sz w:val="16"/>
          <w:szCs w:val="16"/>
          <w:color w:val="auto"/>
        </w:rPr>
      </w:pPr>
    </w:p>
    <w:p>
      <w:pPr>
        <w:ind w:left="340" w:hanging="332"/>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Includes 11,367 shares issuable on exercise of outstanding options exercisable within 60 days at a weighted average exercise price of $37.39 per share.</w:t>
      </w:r>
    </w:p>
    <w:p>
      <w:pPr>
        <w:spacing w:after="0" w:line="86" w:lineRule="exact"/>
        <w:rPr>
          <w:rFonts w:ascii="Arial" w:cs="Arial" w:eastAsia="Arial" w:hAnsi="Arial"/>
          <w:sz w:val="16"/>
          <w:szCs w:val="16"/>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Includes 10,968 shares issuable on exercise of outstanding options exercisable within 60 days at a weighted average exercise price of $35.29 per share.</w:t>
      </w:r>
    </w:p>
    <w:p>
      <w:pPr>
        <w:sectPr>
          <w:pgSz w:w="11900" w:h="16838" w:orient="portrait"/>
          <w:cols w:equalWidth="0" w:num="1">
            <w:col w:w="11420"/>
          </w:cols>
          <w:pgMar w:left="240" w:top="125" w:right="239"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1420"/>
          </w:cols>
          <w:pgMar w:left="240" w:top="125" w:right="239" w:bottom="1440" w:gutter="0" w:footer="0" w:header="0"/>
          <w:type w:val="continuous"/>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28,845 shares issuable on exercise of outstanding options exercisable within 60 days at a weighted average exercise price of $38.82 per share.</w:t>
      </w:r>
    </w:p>
    <w:p>
      <w:pPr>
        <w:spacing w:after="0" w:line="86" w:lineRule="exact"/>
        <w:rPr>
          <w:rFonts w:ascii="Arial" w:cs="Arial" w:eastAsia="Arial" w:hAnsi="Arial"/>
          <w:sz w:val="16"/>
          <w:szCs w:val="16"/>
          <w:color w:val="auto"/>
        </w:rPr>
      </w:pPr>
    </w:p>
    <w:p>
      <w:pPr>
        <w:ind w:left="340" w:hanging="332"/>
        <w:spacing w:after="0"/>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4,099 shares issuable on exercise of outstanding options exercisable within 60 days at a weighted average exercise price of $66.87 per share.</w:t>
      </w:r>
    </w:p>
    <w:p>
      <w:pPr>
        <w:spacing w:after="0" w:line="86" w:lineRule="exact"/>
        <w:rPr>
          <w:rFonts w:ascii="Arial" w:cs="Arial" w:eastAsia="Arial" w:hAnsi="Arial"/>
          <w:sz w:val="16"/>
          <w:szCs w:val="16"/>
          <w:color w:val="auto"/>
        </w:rPr>
      </w:pPr>
    </w:p>
    <w:p>
      <w:pPr>
        <w:ind w:left="340" w:hanging="332"/>
        <w:spacing w:after="0"/>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5,144 shares issuable on exercise of outstanding options exercisable within 60 days at a weighted average exercise price of $67.55 per share.</w:t>
      </w:r>
    </w:p>
    <w:p>
      <w:pPr>
        <w:spacing w:after="0" w:line="86" w:lineRule="exact"/>
        <w:rPr>
          <w:rFonts w:ascii="Arial" w:cs="Arial" w:eastAsia="Arial" w:hAnsi="Arial"/>
          <w:sz w:val="16"/>
          <w:szCs w:val="16"/>
          <w:color w:val="auto"/>
        </w:rPr>
      </w:pPr>
    </w:p>
    <w:p>
      <w:pPr>
        <w:ind w:left="340" w:hanging="332"/>
        <w:spacing w:after="0" w:line="317"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3,486 shares issuable on exercise of outstanding options exercisable within 60 days at a weighted average exercise price of $70.81 per share. Also includes 2,000 shares held in a trust with Mr. Gaylord and his spouse as trustees, who share voting and investment power over these shares.</w:t>
      </w:r>
    </w:p>
    <w:p>
      <w:pPr>
        <w:ind w:left="340" w:hanging="332"/>
        <w:spacing w:after="0"/>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4,712 shares issuable on exercise of outstanding options exercisable within 60 days at a weighted average exercise price of $63.96 per share.</w:t>
      </w:r>
    </w:p>
    <w:p>
      <w:pPr>
        <w:spacing w:after="0" w:line="86" w:lineRule="exact"/>
        <w:rPr>
          <w:rFonts w:ascii="Arial" w:cs="Arial" w:eastAsia="Arial" w:hAnsi="Arial"/>
          <w:sz w:val="16"/>
          <w:szCs w:val="16"/>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3,486 shares issuable on exercise of outstanding options exercisable within 60 days at a weighted average exercise price of $70.81 per share.</w:t>
      </w:r>
    </w:p>
    <w:p>
      <w:pPr>
        <w:spacing w:after="0" w:line="86" w:lineRule="exact"/>
        <w:rPr>
          <w:rFonts w:ascii="Arial" w:cs="Arial" w:eastAsia="Arial" w:hAnsi="Arial"/>
          <w:sz w:val="16"/>
          <w:szCs w:val="16"/>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8,486 shares issuable on exercise of outstanding options exercisable within 60 days at a weighted average exercise price of $61.97 per share.</w:t>
      </w:r>
    </w:p>
    <w:p>
      <w:pPr>
        <w:spacing w:after="0" w:line="86" w:lineRule="exact"/>
        <w:rPr>
          <w:rFonts w:ascii="Arial" w:cs="Arial" w:eastAsia="Arial" w:hAnsi="Arial"/>
          <w:sz w:val="16"/>
          <w:szCs w:val="16"/>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shares owned as of June 15, 2016.</w:t>
      </w:r>
    </w:p>
    <w:p>
      <w:pPr>
        <w:spacing w:after="0" w:line="6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825,078 shares issuable on exercise of outstanding options that are held by all directors and executive officers and are exercisable within 60 days.</w:t>
      </w:r>
    </w:p>
    <w:p>
      <w:pPr>
        <w:spacing w:after="0" w:line="8"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Information is based on Amendment No. 13 to a Schedule 13G filed with the SEC on January 8, 2016 by BlackRock, Inc., reporting beneficial ownership as of December 31, 2015 on behalf of its investment advisory subsidiaries, BlackRock Advisors LLC, BlackRock Asset Management Canada Limited, BlackRock Asset Management Ireland Limited, BlackRock Asset Management Schweiz AG, BlackRock Capital Management, BlackRock Fund Advisors, BlackRock Institutional Trust Company, N.A., BlackRock Investment Management, LLC, BlackRock (Luxembourg) S.A., BlackRock Life Ltd, BlackRock Investment Management (Australia) Limited, and BlackRock Investment Management UK Ltd. The Schedule 13G indicates that BlackRock Fund Advisors beneficially owns 5% or greater of these shares reported, and that BlackRock, Inc. has sole voting power over 4,602,984 of these shares, and sole dispositive power over all of these shares.</w:t>
      </w:r>
    </w:p>
    <w:p>
      <w:pPr>
        <w:spacing w:after="0" w:line="15" w:lineRule="exact"/>
        <w:rPr>
          <w:rFonts w:ascii="Arial" w:cs="Arial" w:eastAsia="Arial" w:hAnsi="Arial"/>
          <w:sz w:val="17"/>
          <w:szCs w:val="17"/>
          <w:color w:val="auto"/>
        </w:rPr>
      </w:pPr>
    </w:p>
    <w:p>
      <w:pPr>
        <w:jc w:val="both"/>
        <w:ind w:left="340" w:hanging="332"/>
        <w:spacing w:after="0" w:line="269" w:lineRule="auto"/>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Information is based on Amendment No. 8 to a Schedule 13D filed with the SEC on March 14, 2016 by Scopia Capital Management LP (“Scopia”) (jointly with others as described below), reporting beneficial ownership as of March 10, 2016, and supplemented with information based on a Form 4 filed by Scopia (jointly with others as described below) with the SEC on April 4, 2016. According to these filings, Scopia beneficially owns 4,475,084 shares of Common Stock by virtue of having sole voting power over 4,475,084 shares of Common Stock and sole power to dispose of 4,475,084 shares of Common Stock in its role as investment advisor for certain funds, consisting of a managed account and the following investment advisory subsidiaries: Scopia Long LLC; Scopia LB LLC; Scopia PX LLC; Scopia Partners LLC; Scopia Long QP LLC; Scopia Long International Master Fund LP; Scopia Windmill Fund LP; Scopia International Master Fund LP; Scopia PX International Master Fund LP; and Scopia LB International Master Fund LP. These filings further indicate that Scopia Management, Inc., as the general partner of Scopia, beneficially owns 4,475,084 shares of Common Stock by virtue of having sole voting power and dispositive power of 4,475,084 shares of Common Stock, and Messrs. Matthew Sirovich and Jeremy Mindich, as the managing directors of Scopia Management, Inc., each beneficially own 4,475,084 shares of Common Stock by virtue of having shared voting power and dispositive power of 4,475,084 shares of Common Stock.</w:t>
      </w:r>
    </w:p>
    <w:p>
      <w:pPr>
        <w:spacing w:after="0" w:line="20"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Information is based on Amendment No. 4 to a Schedule 13G filed with the SEC on February 10, 2016 by Fairpointe Capital LLC (Fairpointe), reporting beneficial ownership as of December 31, 2015. The Schedule 13G indicates that Fairpointe has sole voting power over 3,342,412 of these shares, and sole dispositive power over all but 64,250 shares over which it shares dispositive power.</w:t>
      </w:r>
    </w:p>
    <w:p>
      <w:pPr>
        <w:spacing w:after="0" w:line="19" w:lineRule="exact"/>
        <w:rPr>
          <w:rFonts w:ascii="Arial" w:cs="Arial" w:eastAsia="Arial" w:hAnsi="Arial"/>
          <w:sz w:val="18"/>
          <w:szCs w:val="18"/>
          <w:color w:val="auto"/>
        </w:rPr>
      </w:pPr>
    </w:p>
    <w:p>
      <w:pPr>
        <w:ind w:left="340" w:right="20" w:hanging="332"/>
        <w:spacing w:after="0" w:line="298" w:lineRule="auto"/>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Information is based on a Schedule 13G filed with the SEC on February 10, 2016 by Harris Associates L.P. (Harris) reporting beneficial ownership as of December 31, 2015. The Schedule indicates that Harris has sole voting power and sole dispositive power over 2,888,165 of these shares.</w:t>
      </w:r>
    </w:p>
    <w:p>
      <w:pPr>
        <w:ind w:left="34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Information is based on Amendment No. 3 to a Schedule 13G filed with the SEC on February 10, 2016 by The Vanguard Group (Vanguard), reporting beneficial ownership as of December 31, 2015. The Schedule 13G indicates that Vanguard has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125"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340"/>
        <w:spacing w:after="0" w:line="324" w:lineRule="auto"/>
        <w:rPr>
          <w:sz w:val="20"/>
          <w:szCs w:val="20"/>
          <w:color w:val="auto"/>
        </w:rPr>
      </w:pPr>
      <w:r>
        <w:rPr>
          <w:rFonts w:ascii="Arial" w:cs="Arial" w:eastAsia="Arial" w:hAnsi="Arial"/>
          <w:sz w:val="18"/>
          <w:szCs w:val="18"/>
          <w:color w:val="auto"/>
        </w:rPr>
        <w:t>sole dispositive power over 2,739,601 of these shares, and shared dispositive power over 49,467 of these shares. Vanguard has sole voting power over 48,771 of these shares.</w:t>
      </w:r>
    </w:p>
    <w:p>
      <w:pPr>
        <w:spacing w:after="0" w:line="193" w:lineRule="exact"/>
        <w:rPr>
          <w:sz w:val="20"/>
          <w:szCs w:val="20"/>
          <w:color w:val="auto"/>
        </w:rPr>
      </w:pPr>
    </w:p>
    <w:p>
      <w:pPr>
        <w:ind w:right="2360"/>
        <w:spacing w:after="0" w:line="378"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Transactions with Related Persons</w:t>
      </w:r>
    </w:p>
    <w:p>
      <w:pPr>
        <w:jc w:val="both"/>
        <w:spacing w:after="0" w:line="255" w:lineRule="auto"/>
        <w:rPr>
          <w:sz w:val="20"/>
          <w:szCs w:val="20"/>
          <w:color w:val="auto"/>
        </w:rPr>
      </w:pPr>
      <w:r>
        <w:rPr>
          <w:rFonts w:ascii="Arial" w:cs="Arial" w:eastAsia="Arial" w:hAnsi="Arial"/>
          <w:sz w:val="18"/>
          <w:szCs w:val="18"/>
          <w:color w:val="auto"/>
        </w:rPr>
        <w:t>There were no related person transactions required to be disclosed pursuant to Item 404(a) of Regulation S-K in fiscal year 2015. In order to determine this, the Board requires our executive officers, directors, or director nominees to disclose certain information related to related person transactions. A “related person transaction” generally is a transaction (including any indebtedness or a guarantee of indebtedness) that involves the Company’s directors, executive officers, director nominees, 5% or more beneficial owners of the Company’s common stock, immediate family members of these persons, or entities in which one of these persons has a direct or indirect material interest. The current threshold required to be disclosed under SEC regulations is $120,000. Under its charter, the Corporate Governance Committee of the Board has been delegated with the responsibility of reviewing and approving any related person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common stock is listed on the NASDAQ stock exchange.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Corporate Governance Committee has determined that a majority of our Board are independent directors as defined under the rules of NASDAQ and the SEC, with Mr. Mezey serving as the sole non-independent director. As Mr. Mezey does not sit on any committees, the Corporate Governance Committee has determined that all members of Itron’s committees are independent under SEC rules and NASDAQ listing standards. In making these determinations, the Corporate Governance Committee reviewed and discussed information provided by the directors and us with regard to each director’s business and personal activities and relationships as they may relate to us and our management.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125"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4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2015 AUDIT/FINANCE COMMITTEE REPORT</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Audit/Finance Committee is composed of independent directors as defined by Rule 5605(a)(2) of the NASDAQ rules and acts under a written charter developed by the Committee and approved by the Board. Management is responsible for the Company’s internal controls and the financial reporting process. Ernst &amp; Young LLP, the Company’s independent registered public accounting firm in 2015, is responsible for performing an independent audit of the Company’s consolidated financial statements and internal control over financial reporting in accordance with auditing standards of the Public Company Accounting Oversight Board (United States) (the PCAOB) and for issuing a report thereon. The Committee’s responsibility is to monitor and oversee these processes on behalf of our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December 31, 2015 financial statements, the Audit/Finance Committee hereby reports as follows:</w:t>
      </w:r>
    </w:p>
    <w:p>
      <w:pPr>
        <w:spacing w:after="0" w:line="90" w:lineRule="exact"/>
        <w:rPr>
          <w:sz w:val="20"/>
          <w:szCs w:val="20"/>
          <w:color w:val="auto"/>
        </w:rPr>
      </w:pPr>
    </w:p>
    <w:p>
      <w:pPr>
        <w:ind w:left="880" w:hanging="467"/>
        <w:spacing w:after="0" w:line="277"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Audit/Finance Committee has reviewed and discussed the audited financial statements and report on internal control over financial reporting with management.</w:t>
      </w:r>
    </w:p>
    <w:p>
      <w:pPr>
        <w:spacing w:after="0" w:line="35" w:lineRule="exact"/>
        <w:rPr>
          <w:rFonts w:ascii="Arial" w:cs="Arial" w:eastAsia="Arial" w:hAnsi="Arial"/>
          <w:sz w:val="18"/>
          <w:szCs w:val="18"/>
          <w:color w:val="auto"/>
        </w:rPr>
      </w:pPr>
    </w:p>
    <w:p>
      <w:pPr>
        <w:ind w:left="880" w:hanging="467"/>
        <w:spacing w:after="0" w:line="277"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Audit/Finance Committee has discussed with the independent auditors the matters required by PCAOB Auditing Standard No. 16, </w:t>
      </w:r>
      <w:r>
        <w:rPr>
          <w:rFonts w:ascii="Arial" w:cs="Arial" w:eastAsia="Arial" w:hAnsi="Arial"/>
          <w:sz w:val="18"/>
          <w:szCs w:val="18"/>
          <w:i w:val="1"/>
          <w:iCs w:val="1"/>
          <w:color w:val="auto"/>
        </w:rPr>
        <w:t>Communications with Audit Committees.</w:t>
      </w:r>
    </w:p>
    <w:p>
      <w:pPr>
        <w:spacing w:after="0" w:line="35" w:lineRule="exact"/>
        <w:rPr>
          <w:rFonts w:ascii="Arial" w:cs="Arial" w:eastAsia="Arial" w:hAnsi="Arial"/>
          <w:sz w:val="18"/>
          <w:szCs w:val="18"/>
          <w:color w:val="auto"/>
        </w:rPr>
      </w:pPr>
    </w:p>
    <w:p>
      <w:pPr>
        <w:jc w:val="both"/>
        <w:ind w:left="880" w:hanging="467"/>
        <w:spacing w:after="0" w:line="264"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Audit/Finance Committee has received the written disclosures and the letter from the auditors required by applicable requirements of the PCAOB regarding the independent accountant’s communications with the Audit/Finance Committee concerning independence, and discussed with the auditors the auditors’ independence.</w:t>
      </w:r>
    </w:p>
    <w:p>
      <w:pPr>
        <w:spacing w:after="0" w:line="46" w:lineRule="exact"/>
        <w:rPr>
          <w:rFonts w:ascii="Arial" w:cs="Arial" w:eastAsia="Arial" w:hAnsi="Arial"/>
          <w:sz w:val="18"/>
          <w:szCs w:val="18"/>
          <w:color w:val="auto"/>
        </w:rPr>
      </w:pPr>
    </w:p>
    <w:p>
      <w:pPr>
        <w:jc w:val="both"/>
        <w:ind w:left="880" w:hanging="467"/>
        <w:spacing w:after="0" w:line="264"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upon these reviews and discussions, the Audit/Finance Committee has recommended to the Board of Directors and the Board has approved, that the Company’s audited financial statements be included in the Securities and Exchange Commission Annual Report on Form 10-K for the year ended December 31, 2015.</w:t>
      </w:r>
    </w:p>
    <w:p>
      <w:pPr>
        <w:spacing w:after="0" w:line="100" w:lineRule="exact"/>
        <w:rPr>
          <w:sz w:val="20"/>
          <w:szCs w:val="20"/>
          <w:color w:val="auto"/>
        </w:rPr>
      </w:pPr>
    </w:p>
    <w:p>
      <w:pPr>
        <w:ind w:left="4280"/>
        <w:spacing w:after="0"/>
        <w:rPr>
          <w:sz w:val="20"/>
          <w:szCs w:val="20"/>
          <w:color w:val="auto"/>
        </w:rPr>
      </w:pPr>
      <w:r>
        <w:rPr>
          <w:rFonts w:ascii="Arial" w:cs="Arial" w:eastAsia="Arial" w:hAnsi="Arial"/>
          <w:sz w:val="18"/>
          <w:szCs w:val="18"/>
          <w:i w:val="1"/>
          <w:iCs w:val="1"/>
          <w:color w:val="auto"/>
        </w:rPr>
        <w:t>Audit/Finance Committee</w:t>
      </w:r>
    </w:p>
    <w:p>
      <w:pPr>
        <w:spacing w:after="0" w:line="9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Thomas S. Glanville, Chairman</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Jerome J. Lande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Timothy M. Leyden</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Sharon L. Nelson</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Gary E. Pruitt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AUDIT FEES AND SERVICES</w:t>
      </w:r>
    </w:p>
    <w:p>
      <w:pPr>
        <w:spacing w:after="0" w:line="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years ended December 31, 2014 and December 31, 2015, professional services were performed by Ernst &amp; Young LLP and their respective affiliates (collectively, EY). The aggregate fees billed by EY for the years ended December 31, 2014 and 2015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Services Rendered</w:t>
            </w: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7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7,773,112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11,139,010</w:t>
            </w:r>
          </w:p>
        </w:tc>
      </w:tr>
      <w:tr>
        <w:trPr>
          <w:trHeight w:val="270"/>
        </w:trPr>
        <w:tc>
          <w:tcPr>
            <w:tcW w:w="79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40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112,324</w:t>
            </w:r>
          </w:p>
        </w:tc>
      </w:tr>
      <w:tr>
        <w:trPr>
          <w:trHeight w:val="244"/>
        </w:trPr>
        <w:tc>
          <w:tcPr>
            <w:tcW w:w="7900" w:type="dxa"/>
            <w:vAlign w:val="bottom"/>
            <w:tcBorders>
              <w:top w:val="single" w:sz="8" w:color="CCEEFF"/>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Audit and Audit-Related Fees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7,773,112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11,251,334</w:t>
            </w:r>
          </w:p>
        </w:tc>
      </w:tr>
      <w:tr>
        <w:trPr>
          <w:trHeight w:val="176"/>
        </w:trPr>
        <w:tc>
          <w:tcPr>
            <w:tcW w:w="7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70"/>
        </w:trPr>
        <w:tc>
          <w:tcPr>
            <w:tcW w:w="79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(3)</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20,513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17,274</w:t>
            </w:r>
          </w:p>
        </w:tc>
      </w:tr>
      <w:tr>
        <w:trPr>
          <w:trHeight w:val="270"/>
        </w:trPr>
        <w:tc>
          <w:tcPr>
            <w:tcW w:w="790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Other Fees </w:t>
            </w:r>
            <w:r>
              <w:rPr>
                <w:rFonts w:ascii="Arial" w:cs="Arial" w:eastAsia="Arial" w:hAnsi="Arial"/>
                <w:sz w:val="25"/>
                <w:szCs w:val="25"/>
                <w:color w:val="auto"/>
                <w:vertAlign w:val="superscript"/>
              </w:rPr>
              <w:t>(4)</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Fees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7,795,620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11,268,608</w:t>
            </w: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left="340" w:hanging="332"/>
        <w:spacing w:after="0" w:line="258"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Audit services include fees for professional services rendered for the audit of the Company’s annual financial statements and internal controls over financial reporting for the years ended December 31, 2014 and 2015, and reviews of the financial statements included in the Company’s Quarterly Reports on Form 10-Q. In addition, services include statutory audits required, and accounting consultations on matters related to the annual audits or interim reviews.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Audit-related services primarily include fees for accounting policy and process advice and agreed-upon procedures.</w:t>
      </w:r>
    </w:p>
    <w:p>
      <w:pPr>
        <w:spacing w:after="0" w:line="36" w:lineRule="exact"/>
        <w:rPr>
          <w:rFonts w:ascii="Arial" w:cs="Arial" w:eastAsia="Arial" w:hAnsi="Arial"/>
          <w:sz w:val="18"/>
          <w:szCs w:val="18"/>
          <w:color w:val="auto"/>
        </w:rPr>
      </w:pPr>
    </w:p>
    <w:p>
      <w:pPr>
        <w:ind w:left="340" w:hanging="332"/>
        <w:spacing w:after="0" w:line="266"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Tax services include fees for consultation and assistance with tax preparation and compliance during the years ended December 31, 2014 and 2015. No other tax services were performed by EY.</w:t>
      </w:r>
    </w:p>
    <w:p>
      <w:pPr>
        <w:ind w:left="340" w:hanging="332"/>
        <w:spacing w:after="0" w:line="308"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Services performed by EY qualifying as “Other” for the year ended December 31, 2014 related to accounting research tools. The Audit/Finance Committee has considered and concluded that the non-audit services provided to the Company by EY do not impair the auditors’ independence.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125"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Audit/Finance Committee has adopted policies and procedures that require the Company to obtain the Committee’s pre-approval of all audit and permissible non-audit services to be provided by the Company’s independent registered public accounting firm. Pre-approval is generally granted on a quarterly basis, is detailed as to the particular service or category of services to be provided, and is granted after consideration of the estimated fees for each service or category of service. Actual fees and any changes to estimated fees for pre-approved services are reported to the Committee on a quarterly basis. In 2014 and 2015, all services were pre-approved in accordance with the charter of the Audit/Finance Committee.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125"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15:</w:t>
        <w:tab/>
        <w:t>EXHIBITS, FINANCIAL STATEMENT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submitted in Item 8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Financial Statement Schedule: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Schedule II: Valuation and Qualifying Accounts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Financial Statement Schedules not listed above have been omitted because of the absence of conditions under which they are required or because the required information is included in the consolidated financial statements or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 Number</w:t>
            </w:r>
          </w:p>
        </w:tc>
        <w:tc>
          <w:tcPr>
            <w:tcW w:w="10040" w:type="dxa"/>
            <w:vAlign w:val="bottom"/>
          </w:tcPr>
          <w:p>
            <w:pPr>
              <w:ind w:left="4320"/>
              <w:spacing w:after="0"/>
              <w:rPr>
                <w:sz w:val="20"/>
                <w:szCs w:val="20"/>
                <w:color w:val="auto"/>
              </w:rPr>
            </w:pPr>
            <w:r>
              <w:rPr>
                <w:rFonts w:ascii="Arial" w:cs="Arial" w:eastAsia="Arial" w:hAnsi="Arial"/>
                <w:sz w:val="14"/>
                <w:szCs w:val="14"/>
                <w:b w:val="1"/>
                <w:bCs w:val="1"/>
                <w:color w:val="auto"/>
              </w:rPr>
              <w:t>Description of Exhibits</w:t>
            </w:r>
          </w:p>
        </w:tc>
      </w:tr>
      <w:tr>
        <w:trPr>
          <w:trHeight w:val="458"/>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Amended and Restated Articles of Incorporation of Itron, Inc. (Filed as Exhibit 3.1 to Itron, Inc.’s Annual Report on Form 10-K, filed 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March 27, 2003)</w:t>
            </w: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Amended and Restated Bylaws of Itron, Inc. (filed with this report)</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Amended and Restated Credit Agreement dated June 23, 2015 among Itron, Inc. and a syndicate of banks led by Wells Fargo Bank,</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National Association, JPMorgan Chase Bank, N.A., J.P. Morgan Europe Limited, and BNP Paribas. (Filed as Exhibit 4.1 to Itron, Inc.’s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Current Report on Form 8-K, filed on June 23, 2015)</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First Amendment to Security Agreement dated June 23, 2015 among Itron, Inc. and Wells Fargo Bank, National Association. (Filed as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Exhibit 4.2 to Itron, Inc.’s Current Report on Form 8-K, filed on June 23, 2015)</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Form of Amended and Restated Change in Control Severance Agreement for Executive Officers. (Filed as Exhibit 10.1 to Itron, Inc.’s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Annual Report on Form 10-K, filed on February 22, 2013)</w:t>
            </w: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Schedule of certain executive officers who are parties to Change in Control Severance Agreements with Itron, Inc. (filed with this report)</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Form of Indemnification Agreements between Itron, Inc. and certain directors and officers. (Filed as Exhibit 10.9 to Itron, Inc.’s Annual</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10-K, filed on March 30, 2000)</w:t>
            </w: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8"/>
              </w:rPr>
              <w:t>Schedule of directors and executive officers who are parties to Indemnification Agreements with Itron, Inc. (filed with this report)</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Amended and Restated 2000 Stock Incentive Plan. (Filed as Appendix A to Itron, Inc.’s Proxy Statement for the 2007 Annual Meeting of</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Shareholders, filed on March 26, 2007)</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Amended and Restated 2010 Stock Incentive Plan. (Filed as Appendix A to Itron, Inc.’s Proxy Statement for the 2014 Annual Meeting of</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Shareholders, filed on March 13, 2014)</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Rules of Itron Inc.'s Amended and Restated 2010 Stock Incentive Plan for the grant of Restricted Stock Unit (RSU's) to participants in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France. (Filed as Exhibit 10.6 to Itron Inc.'s Quarterly Report on From 10-Q, filed on August 8, 2014)</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Executive Management Incentive Plan. (Filed as Appendix B to Itron, Inc.’s Proxy Statement for the 2010 Annual Meeting of</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Shareholders, filed on March 17, 2010)</w:t>
            </w:r>
          </w:p>
        </w:tc>
      </w:tr>
      <w:tr>
        <w:trPr>
          <w:trHeight w:val="702"/>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Arial" w:cs="Arial" w:eastAsia="Arial" w:hAnsi="Arial"/>
                <w:sz w:val="18"/>
                <w:szCs w:val="18"/>
                <w:color w:val="auto"/>
              </w:rPr>
              <w:t>158</w:t>
            </w:r>
          </w:p>
        </w:tc>
      </w:tr>
    </w:tbl>
    <w:p>
      <w:pPr>
        <w:sectPr>
          <w:pgSz w:w="11900" w:h="16838" w:orient="portrait"/>
          <w:cols w:equalWidth="0" w:num="1">
            <w:col w:w="11420"/>
          </w:cols>
          <w:pgMar w:left="240" w:top="125"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 Number</w:t>
            </w:r>
          </w:p>
        </w:tc>
        <w:tc>
          <w:tcPr>
            <w:tcW w:w="10040" w:type="dxa"/>
            <w:vAlign w:val="bottom"/>
          </w:tcPr>
          <w:p>
            <w:pPr>
              <w:ind w:left="4320"/>
              <w:spacing w:after="0"/>
              <w:rPr>
                <w:sz w:val="20"/>
                <w:szCs w:val="20"/>
                <w:color w:val="auto"/>
              </w:rPr>
            </w:pPr>
            <w:r>
              <w:rPr>
                <w:rFonts w:ascii="Arial" w:cs="Arial" w:eastAsia="Arial" w:hAnsi="Arial"/>
                <w:sz w:val="14"/>
                <w:szCs w:val="14"/>
                <w:b w:val="1"/>
                <w:bCs w:val="1"/>
                <w:color w:val="auto"/>
              </w:rPr>
              <w:t>Description of Exhibits</w:t>
            </w:r>
          </w:p>
        </w:tc>
      </w:tr>
      <w:tr>
        <w:trPr>
          <w:trHeight w:val="458"/>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Terms of the Amended and Restated Equity Grant Program for Nonemployee Directors under the Itron, Inc. Amended and Restated 2000</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Stock Incentive Plan. (Filed as Exhibit 10.4 to Itron, Inc.’s Annual Report on Form 10-K, filed on February 26, 2008)</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8"/>
              </w:rPr>
              <w:t>Form of Non-Qualified Stock Option Grant Notice and Agreement for Nonemployee Directors under the Itron, Inc. Amended and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Restated 2000 Stock Incentive Plan. (Filed as Exhibit 10.9 to Itron, Inc.’s Annual Report on Form 10-K, filed on February 26, 2009)</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2"/>
              </w:rPr>
              <w:t>10.11*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Form of Stock Option Grant Notice and Agreement for use in connection with both incentive and non-qualified stock options granted</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under Itron, Inc.'s Amended and Restated 2000 Stock Incentive Plan. (Filed as Exhibit 10.6 to Itron, Inc.’s Current Report on Form 8-K,</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filed on February 18, 2010)</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10.12*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Form of RSU Award Notice and Agreement for U.S. Participants for use in connection with the Company’s Long-Term Performance Plan</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(LTPP) and issued under Itron, Inc.'s Amended and Restated 2000 Stock Incentive Plan. (Filed as Exhibit 10.1 to Itron, Inc.’s Current</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8-K, filed on February 18, 2010)</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10.13*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Form of RSU Award Notice and Agreement for International Participants (excluding France) for use in connection with the Company’s</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LTPP and issued under Itron, Inc.'s Amended and Restated 2000 Stock Incentive Plan. (Filed as Exhibit 10.2 to Itron, Inc.’s Current</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8-K, filed on February 18, 2010)</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10.14*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Form of RSU Award Notice and Agreement for Participants in France for use in connection with Itron, Inc.'s LTPP and issued under Itron,</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Inc.'s Amended and Restated 2000 Stock Incentive Plan. (Filed as Exhibit 10.3 to Itron, Inc.’s Current Report on Form 8-K, filed 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February 18, 2010)</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10.15*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Form of RSU Award Notice and Agreement for all Participants (excluding France) for use in connection with Itron, Inc.'s Amended and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Restated 2000 Stock Incentive Plan. (Filed as Exhibit 10.4 to Itron, Inc.’s Current Report on Form 8-K, filed on February 18, 2010)</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10.16*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Form of RSU Award Notice and Agreement for Participants in France for use in connection with Itron, Inc.'s Amended and Restated 2000</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Stock Incentive Plan. (Filed as Exhibit 10.5 to Itron, Inc.’s Current Report on Form 8-K, filed on February 18, 2010)</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10.17*</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8"/>
              </w:rPr>
              <w:t>Form of Long Term Performance RSU Award Notice and Agreement for U.S. Participants for use in connection with Itron, Inc.'s</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Amended and Restated 2010 Stock Incentive Plan. (Filed as Exhibit 10.4 to Itron, Inc.’s Quarterly Report on Form 10-Q, filed on August</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6, 2014)</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10.18*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9"/>
              </w:rPr>
              <w:t>Form of Long Term Performance RSU Award Notice and Agreement for International Participants (excluding France) for use in</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connection with Itron, Inc.'s Amended and Restated 2010 Stock Incentive Plan. (Filed as Exhibit 10.19 to Itron, Inc.’s Annual Report 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10-K, filed on February 25, 2011)</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10.19*</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Form of Long Term Performance RSU Award Notice and Agreement for Participants in France for use in connection with Itron, Inc.'s</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Amended and Restated 2010 Stock Incentive Plan. (Filed as Exhibit 10.5 to Itron, Inc.’s Quarterly Report on Form 10-Q, filed on August</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6, 2014)</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10.20*</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Form of RSU Award Notice and Agreement for all Participants (excluding France) for use in connection with Itron, Inc.'s Amended and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Restated 2010 Stock Incentive Plan. (Filed as Exhibit 10.2 to Itron, Inc.’s Quarterly Report on Form 10-Q, filed on August 6, 2014)</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10.21*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Form of RSU Award Notice and Agreement for Participants in France for use in connection with Itron, Inc.'s Amended and Restated 2010</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Stock Incentive Plan. (Filed as Exhibit 10.3 to Itron, Inc.’s Quarterly Report on Form 10-Q, filed on August 6, 2014)</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10.22*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Form of RSU Award Notice and Agreement for Non-employee Directors for use in connection with Itron, Inc.'s Amended and Restated</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2010 Stock Incentive Plan. (Filed as Exhibit 10.3 to Itron, Inc.’s Quarterly Report on Form 10-Q, filed on May 3, 2013)</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1420"/>
          </w:cols>
          <w:pgMar w:left="240" w:top="125" w:right="239" w:bottom="1440" w:gutter="0" w:footer="0" w:header="0"/>
          <w:type w:val="continuous"/>
        </w:sectPr>
      </w:pPr>
    </w:p>
    <w:bookmarkStart w:id="162" w:name="page163"/>
    <w:bookmarkEnd w:id="1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Exhibit Number</w:t>
            </w:r>
          </w:p>
        </w:tc>
        <w:tc>
          <w:tcPr>
            <w:tcW w:w="10040" w:type="dxa"/>
            <w:vAlign w:val="bottom"/>
          </w:tcPr>
          <w:p>
            <w:pPr>
              <w:ind w:left="4320"/>
              <w:spacing w:after="0"/>
              <w:rPr>
                <w:sz w:val="20"/>
                <w:szCs w:val="20"/>
                <w:color w:val="auto"/>
              </w:rPr>
            </w:pPr>
            <w:r>
              <w:rPr>
                <w:rFonts w:ascii="Arial" w:cs="Arial" w:eastAsia="Arial" w:hAnsi="Arial"/>
                <w:sz w:val="14"/>
                <w:szCs w:val="14"/>
                <w:b w:val="1"/>
                <w:bCs w:val="1"/>
                <w:color w:val="auto"/>
              </w:rPr>
              <w:t>Description of Exhibits</w:t>
            </w:r>
          </w:p>
        </w:tc>
      </w:tr>
      <w:tr>
        <w:trPr>
          <w:trHeight w:val="458"/>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10.23*</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Form of Stock Option Grant Notice and Agreement for use in connection with both incentive and non-qualified stock options granted</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under Itron, Inc.'s Amended and Restated 2010 Stock Incentive Plan. (Filed as Exhibit 10.1 to Itron, Inc's Quarterly Report on Form 10-Q,</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filed on August 6, 2014 - File No. 22418)</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10.24*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Executive Deferred Compensation Plan. (Filed as Exhibit 10.1 to Itron, Inc.’s Quarterly Report on Form 10-Q, filed on November 1,</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2011)</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Amended and Restated 2002 Employee Stock Purchase Plan. (Filed as Exhibit 10.20 to Itron’s Annual Report on Form 10-K, filed 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February 26, 2009)</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Stock Option Plan for Nonemployee Directors. (Filed as Exhibit 10.11 to Itron, Inc.’s Registration Statement on Form S-1 dated July 22,</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1992)</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10.27*</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Offer Letter, dated as of November 16, 2012, between Itron, Inc. and Philip C. Mezey. (Filed as Exhibit 10.1 to Itron, Inc.’s Current</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8-K, filed on November 19, 2012)</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10.28*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Offer Letter, dated as of November 16, 2012, between Itron, Inc. and John W. Holleran. (Filed as Exhibit 10.2 to Itron, Inc.’s Current</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8-K, filed on November 19, 2012)</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Cooperation Agreement by and among Itron, Inc., Coppersmith Capital Management LLC, Scopia Management, Inc. and certain of their</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8"/>
              </w:rPr>
              <w:t>specified affiliates, Jerome J. Lande and Peter Mainz. (Filed as Exhibit 10.1 to Itron, Inc.’s Current Report on Form 8-K, filed 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December 11, 2015)</w:t>
            </w: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Computation of Ratio of Earnings to Fixed Charges. (filed with this report)</w:t>
            </w: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Subsidiaries of Itron, Inc. (filed with this report)</w:t>
            </w: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Consent of Ernst &amp; Young LLP Independent Registered Public Accounting Firm. (filed with this report)</w:t>
            </w: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 (filed with this report)</w:t>
            </w: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 (filed with this report)</w:t>
            </w: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 (furnished with this report)</w:t>
            </w:r>
          </w:p>
        </w:tc>
      </w:tr>
      <w:tr>
        <w:trPr>
          <w:trHeight w:val="500"/>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101.INS</w:t>
            </w:r>
          </w:p>
        </w:tc>
        <w:tc>
          <w:tcPr>
            <w:tcW w:w="10040" w:type="dxa"/>
            <w:vAlign w:val="bottom"/>
          </w:tcPr>
          <w:p>
            <w:pPr>
              <w:ind w:left="40"/>
              <w:spacing w:after="0"/>
              <w:rPr>
                <w:sz w:val="20"/>
                <w:szCs w:val="20"/>
                <w:color w:val="auto"/>
              </w:rPr>
            </w:pPr>
            <w:r>
              <w:rPr>
                <w:rFonts w:ascii="Arial" w:cs="Arial" w:eastAsia="Arial" w:hAnsi="Arial"/>
                <w:sz w:val="18"/>
                <w:szCs w:val="18"/>
                <w:color w:val="auto"/>
              </w:rPr>
              <w:t>XBRL Instance Document. (submitted electronically with this report in accordance with the provisions of Regulation S-T)</w:t>
            </w:r>
          </w:p>
        </w:tc>
      </w:tr>
      <w:tr>
        <w:trPr>
          <w:trHeight w:val="500"/>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101.SCH</w:t>
            </w: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XBRL Taxonomy Extension Schema. (submitted electronically with this report in accordance with the provisions of Regulation S-T)</w:t>
            </w:r>
          </w:p>
        </w:tc>
      </w:tr>
      <w:tr>
        <w:trPr>
          <w:trHeight w:val="485"/>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101.CAL</w:t>
            </w:r>
          </w:p>
        </w:tc>
        <w:tc>
          <w:tcPr>
            <w:tcW w:w="10040" w:type="dxa"/>
            <w:vAlign w:val="bottom"/>
          </w:tcPr>
          <w:p>
            <w:pPr>
              <w:ind w:left="40"/>
              <w:spacing w:after="0"/>
              <w:rPr>
                <w:sz w:val="20"/>
                <w:szCs w:val="20"/>
                <w:color w:val="auto"/>
              </w:rPr>
            </w:pPr>
            <w:r>
              <w:rPr>
                <w:rFonts w:ascii="Arial" w:cs="Arial" w:eastAsia="Arial" w:hAnsi="Arial"/>
                <w:sz w:val="18"/>
                <w:szCs w:val="18"/>
                <w:color w:val="auto"/>
                <w:w w:val="99"/>
              </w:rPr>
              <w:t>XBRL Taxonomy Extension Calculation Linkbase. (submitted electronically with this report in accordance with the provisions of</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Regulation S-T)</w:t>
            </w:r>
          </w:p>
        </w:tc>
      </w:tr>
      <w:tr>
        <w:trPr>
          <w:trHeight w:val="485"/>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101.DEF</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(submitted electronically with this report in accordance with the provisions of</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Regulation S-T)</w:t>
            </w:r>
          </w:p>
        </w:tc>
      </w:tr>
      <w:tr>
        <w:trPr>
          <w:trHeight w:val="485"/>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101.LAB</w:t>
            </w: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XBRL Taxonomy Extension Label Linkbase. (submitted electronically with this report in accordance with the provisions of Regulation 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T)</w:t>
            </w:r>
          </w:p>
        </w:tc>
      </w:tr>
      <w:tr>
        <w:trPr>
          <w:trHeight w:val="485"/>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XBRL Taxonomy Extension Presentation Linkbase. (submitted electronically with this report in accordance with the provisions of</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Regulation S-T)</w:t>
            </w:r>
          </w:p>
        </w:tc>
      </w:tr>
    </w:tbl>
    <w:p>
      <w:pPr>
        <w:spacing w:after="0" w:line="269" w:lineRule="exact"/>
        <w:rPr>
          <w:sz w:val="20"/>
          <w:szCs w:val="20"/>
          <w:color w:val="auto"/>
        </w:rPr>
      </w:pPr>
    </w:p>
    <w:p>
      <w:pPr>
        <w:ind w:left="1420" w:hanging="82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1420"/>
          </w:cols>
          <w:pgMar w:left="240" w:top="125" w:right="239" w:bottom="1440" w:gutter="0" w:footer="0" w:header="0"/>
          <w:type w:val="continuous"/>
        </w:sectPr>
      </w:pPr>
    </w:p>
    <w:bookmarkStart w:id="163" w:name="page164"/>
    <w:bookmarkEnd w:id="1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Liberty Lake, State of Washington, on the 29th day of June, 2016.</w:t>
      </w:r>
    </w:p>
    <w:p>
      <w:pPr>
        <w:spacing w:after="0" w:line="9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ITRON, INC.</w:t>
      </w:r>
    </w:p>
    <w:p>
      <w:pPr>
        <w:spacing w:after="0" w:line="385" w:lineRule="exact"/>
        <w:rPr>
          <w:sz w:val="20"/>
          <w:szCs w:val="20"/>
          <w:color w:val="auto"/>
        </w:rPr>
      </w:pPr>
    </w:p>
    <w:p>
      <w:pPr>
        <w:ind w:left="394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27305</wp:posOffset>
            </wp:positionV>
            <wp:extent cx="45624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46"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W. Mark Schmitz</w:t>
      </w:r>
    </w:p>
    <w:p>
      <w:pPr>
        <w:spacing w:after="0" w:line="63"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29th day of June, 2016.</w:t>
      </w:r>
    </w:p>
    <w:p>
      <w:pPr>
        <w:sectPr>
          <w:pgSz w:w="11900" w:h="16838" w:orient="portrait"/>
          <w:cols w:equalWidth="0" w:num="1">
            <w:col w:w="11420"/>
          </w:cols>
          <w:pgMar w:left="240" w:top="125" w:right="239" w:bottom="701" w:gutter="0" w:footer="0" w:header="0"/>
        </w:sect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80" w:type="dxa"/>
            <w:vAlign w:val="bottom"/>
          </w:tcPr>
          <w:p>
            <w:pPr>
              <w:spacing w:after="0"/>
              <w:rPr>
                <w:sz w:val="18"/>
                <w:szCs w:val="18"/>
                <w:color w:val="auto"/>
              </w:rPr>
            </w:pPr>
          </w:p>
        </w:tc>
        <w:tc>
          <w:tcPr>
            <w:tcW w:w="2780" w:type="dxa"/>
            <w:vAlign w:val="bottom"/>
          </w:tcPr>
          <w:p>
            <w:pPr>
              <w:jc w:val="center"/>
              <w:ind w:right="1607"/>
              <w:spacing w:after="0"/>
              <w:rPr>
                <w:sz w:val="20"/>
                <w:szCs w:val="20"/>
                <w:color w:val="auto"/>
              </w:rPr>
            </w:pPr>
            <w:r>
              <w:rPr>
                <w:rFonts w:ascii="Arial" w:cs="Arial" w:eastAsia="Arial" w:hAnsi="Arial"/>
                <w:sz w:val="16"/>
                <w:szCs w:val="16"/>
                <w:b w:val="1"/>
                <w:bCs w:val="1"/>
                <w:color w:val="auto"/>
                <w:w w:val="89"/>
              </w:rPr>
              <w:t>Signatures</w:t>
            </w:r>
          </w:p>
        </w:tc>
      </w:tr>
      <w:tr>
        <w:trPr>
          <w:trHeight w:val="33"/>
        </w:trPr>
        <w:tc>
          <w:tcPr>
            <w:tcW w:w="16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528"/>
        </w:trPr>
        <w:tc>
          <w:tcPr>
            <w:tcW w:w="1680" w:type="dxa"/>
            <w:vAlign w:val="bottom"/>
            <w:tcBorders>
              <w:bottom w:val="single" w:sz="8" w:color="auto"/>
            </w:tcBorders>
          </w:tcPr>
          <w:p>
            <w:pPr>
              <w:ind w:left="1520"/>
              <w:spacing w:after="0"/>
              <w:rPr>
                <w:sz w:val="20"/>
                <w:szCs w:val="20"/>
                <w:color w:val="auto"/>
              </w:rPr>
            </w:pPr>
            <w:r>
              <w:rPr>
                <w:rFonts w:ascii="Arial" w:cs="Arial" w:eastAsia="Arial" w:hAnsi="Arial"/>
                <w:sz w:val="14"/>
                <w:szCs w:val="14"/>
                <w:color w:val="auto"/>
                <w:w w:val="94"/>
              </w:rPr>
              <w:t>/s/</w:t>
            </w:r>
          </w:p>
        </w:tc>
        <w:tc>
          <w:tcPr>
            <w:tcW w:w="2780" w:type="dxa"/>
            <w:vAlign w:val="bottom"/>
            <w:tcBorders>
              <w:bottom w:val="single" w:sz="8" w:color="auto"/>
            </w:tcBorders>
          </w:tcPr>
          <w:p>
            <w:pPr>
              <w:jc w:val="center"/>
              <w:ind w:right="1307"/>
              <w:spacing w:after="0"/>
              <w:rPr>
                <w:sz w:val="20"/>
                <w:szCs w:val="20"/>
                <w:color w:val="auto"/>
              </w:rPr>
            </w:pPr>
            <w:r>
              <w:rPr>
                <w:rFonts w:ascii="Arial" w:cs="Arial" w:eastAsia="Arial" w:hAnsi="Arial"/>
                <w:sz w:val="14"/>
                <w:szCs w:val="14"/>
                <w:color w:val="auto"/>
              </w:rPr>
              <w:t>PHILIP C. MEZEY</w:t>
            </w:r>
          </w:p>
        </w:tc>
      </w:tr>
      <w:tr>
        <w:trPr>
          <w:trHeight w:val="244"/>
        </w:trPr>
        <w:tc>
          <w:tcPr>
            <w:tcW w:w="1680" w:type="dxa"/>
            <w:vAlign w:val="bottom"/>
          </w:tcPr>
          <w:p>
            <w:pPr>
              <w:spacing w:after="0"/>
              <w:rPr>
                <w:sz w:val="21"/>
                <w:szCs w:val="21"/>
                <w:color w:val="auto"/>
              </w:rPr>
            </w:pPr>
          </w:p>
        </w:tc>
        <w:tc>
          <w:tcPr>
            <w:tcW w:w="2780" w:type="dxa"/>
            <w:vAlign w:val="bottom"/>
          </w:tcPr>
          <w:p>
            <w:pPr>
              <w:jc w:val="center"/>
              <w:ind w:right="1607"/>
              <w:spacing w:after="0"/>
              <w:rPr>
                <w:sz w:val="20"/>
                <w:szCs w:val="20"/>
                <w:color w:val="auto"/>
              </w:rPr>
            </w:pPr>
            <w:r>
              <w:rPr>
                <w:rFonts w:ascii="Arial" w:cs="Arial" w:eastAsia="Arial" w:hAnsi="Arial"/>
                <w:sz w:val="14"/>
                <w:szCs w:val="14"/>
                <w:b w:val="1"/>
                <w:bCs w:val="1"/>
                <w:color w:val="auto"/>
                <w:w w:val="96"/>
              </w:rPr>
              <w:t>Philip C. Mezey</w:t>
            </w:r>
          </w:p>
        </w:tc>
      </w:tr>
      <w:tr>
        <w:trPr>
          <w:trHeight w:val="465"/>
        </w:trPr>
        <w:tc>
          <w:tcPr>
            <w:tcW w:w="168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rPr>
              <w:t>/s/</w:t>
            </w:r>
          </w:p>
        </w:tc>
        <w:tc>
          <w:tcPr>
            <w:tcW w:w="2780" w:type="dxa"/>
            <w:vAlign w:val="bottom"/>
            <w:tcBorders>
              <w:bottom w:val="single" w:sz="8" w:color="auto"/>
            </w:tcBorders>
          </w:tcPr>
          <w:p>
            <w:pPr>
              <w:jc w:val="center"/>
              <w:ind w:right="1327"/>
              <w:spacing w:after="0"/>
              <w:rPr>
                <w:sz w:val="20"/>
                <w:szCs w:val="20"/>
                <w:color w:val="auto"/>
              </w:rPr>
            </w:pPr>
            <w:r>
              <w:rPr>
                <w:rFonts w:ascii="Arial" w:cs="Arial" w:eastAsia="Arial" w:hAnsi="Arial"/>
                <w:sz w:val="14"/>
                <w:szCs w:val="14"/>
                <w:color w:val="auto"/>
              </w:rPr>
              <w:t>W. MARK SCHMITZ</w:t>
            </w:r>
          </w:p>
        </w:tc>
      </w:tr>
      <w:tr>
        <w:trPr>
          <w:trHeight w:val="231"/>
        </w:trPr>
        <w:tc>
          <w:tcPr>
            <w:tcW w:w="1680" w:type="dxa"/>
            <w:vAlign w:val="bottom"/>
          </w:tcPr>
          <w:p>
            <w:pPr>
              <w:spacing w:after="0"/>
              <w:rPr>
                <w:sz w:val="20"/>
                <w:szCs w:val="20"/>
                <w:color w:val="auto"/>
              </w:rPr>
            </w:pPr>
          </w:p>
        </w:tc>
        <w:tc>
          <w:tcPr>
            <w:tcW w:w="2780" w:type="dxa"/>
            <w:vAlign w:val="bottom"/>
          </w:tcPr>
          <w:p>
            <w:pPr>
              <w:jc w:val="center"/>
              <w:ind w:right="1587"/>
              <w:spacing w:after="0"/>
              <w:rPr>
                <w:sz w:val="20"/>
                <w:szCs w:val="20"/>
                <w:color w:val="auto"/>
              </w:rPr>
            </w:pPr>
            <w:r>
              <w:rPr>
                <w:rFonts w:ascii="Arial" w:cs="Arial" w:eastAsia="Arial" w:hAnsi="Arial"/>
                <w:sz w:val="14"/>
                <w:szCs w:val="14"/>
                <w:b w:val="1"/>
                <w:bCs w:val="1"/>
                <w:color w:val="auto"/>
                <w:w w:val="97"/>
              </w:rPr>
              <w:t>W. Mark Schmitz</w:t>
            </w:r>
          </w:p>
        </w:tc>
      </w:tr>
      <w:tr>
        <w:trPr>
          <w:trHeight w:val="479"/>
        </w:trPr>
        <w:tc>
          <w:tcPr>
            <w:tcW w:w="1680" w:type="dxa"/>
            <w:vAlign w:val="bottom"/>
            <w:tcBorders>
              <w:bottom w:val="single" w:sz="8" w:color="auto"/>
            </w:tcBorders>
          </w:tcPr>
          <w:p>
            <w:pPr>
              <w:ind w:left="1540"/>
              <w:spacing w:after="0"/>
              <w:rPr>
                <w:sz w:val="20"/>
                <w:szCs w:val="20"/>
                <w:color w:val="auto"/>
              </w:rPr>
            </w:pPr>
            <w:r>
              <w:rPr>
                <w:rFonts w:ascii="Arial" w:cs="Arial" w:eastAsia="Arial" w:hAnsi="Arial"/>
                <w:sz w:val="14"/>
                <w:szCs w:val="14"/>
                <w:color w:val="auto"/>
                <w:w w:val="80"/>
              </w:rPr>
              <w:t>/s/</w:t>
            </w:r>
          </w:p>
        </w:tc>
        <w:tc>
          <w:tcPr>
            <w:tcW w:w="2780" w:type="dxa"/>
            <w:vAlign w:val="bottom"/>
            <w:tcBorders>
              <w:bottom w:val="single" w:sz="8" w:color="auto"/>
            </w:tcBorders>
          </w:tcPr>
          <w:p>
            <w:pPr>
              <w:jc w:val="center"/>
              <w:ind w:right="1307"/>
              <w:spacing w:after="0"/>
              <w:rPr>
                <w:sz w:val="20"/>
                <w:szCs w:val="20"/>
                <w:color w:val="auto"/>
              </w:rPr>
            </w:pPr>
            <w:r>
              <w:rPr>
                <w:rFonts w:ascii="Arial" w:cs="Arial" w:eastAsia="Arial" w:hAnsi="Arial"/>
                <w:sz w:val="14"/>
                <w:szCs w:val="14"/>
                <w:color w:val="auto"/>
              </w:rPr>
              <w:t>KIRBY A. DYESS</w:t>
            </w:r>
          </w:p>
        </w:tc>
      </w:tr>
      <w:tr>
        <w:trPr>
          <w:trHeight w:val="231"/>
        </w:trPr>
        <w:tc>
          <w:tcPr>
            <w:tcW w:w="1680" w:type="dxa"/>
            <w:vAlign w:val="bottom"/>
          </w:tcPr>
          <w:p>
            <w:pPr>
              <w:spacing w:after="0"/>
              <w:rPr>
                <w:sz w:val="20"/>
                <w:szCs w:val="20"/>
                <w:color w:val="auto"/>
              </w:rPr>
            </w:pPr>
          </w:p>
        </w:tc>
        <w:tc>
          <w:tcPr>
            <w:tcW w:w="2780" w:type="dxa"/>
            <w:vAlign w:val="bottom"/>
          </w:tcPr>
          <w:p>
            <w:pPr>
              <w:jc w:val="center"/>
              <w:ind w:right="1587"/>
              <w:spacing w:after="0"/>
              <w:rPr>
                <w:sz w:val="20"/>
                <w:szCs w:val="20"/>
                <w:color w:val="auto"/>
              </w:rPr>
            </w:pPr>
            <w:r>
              <w:rPr>
                <w:rFonts w:ascii="Arial" w:cs="Arial" w:eastAsia="Arial" w:hAnsi="Arial"/>
                <w:sz w:val="14"/>
                <w:szCs w:val="14"/>
                <w:b w:val="1"/>
                <w:bCs w:val="1"/>
                <w:color w:val="auto"/>
                <w:w w:val="93"/>
              </w:rPr>
              <w:t>Kirby A. Dyess</w:t>
            </w:r>
          </w:p>
        </w:tc>
      </w:tr>
      <w:tr>
        <w:trPr>
          <w:trHeight w:val="479"/>
        </w:trPr>
        <w:tc>
          <w:tcPr>
            <w:tcW w:w="1680" w:type="dxa"/>
            <w:vAlign w:val="bottom"/>
            <w:tcBorders>
              <w:bottom w:val="single" w:sz="8" w:color="auto"/>
            </w:tcBorders>
          </w:tcPr>
          <w:p>
            <w:pPr>
              <w:ind w:left="1520"/>
              <w:spacing w:after="0"/>
              <w:rPr>
                <w:sz w:val="20"/>
                <w:szCs w:val="20"/>
                <w:color w:val="auto"/>
              </w:rPr>
            </w:pPr>
            <w:r>
              <w:rPr>
                <w:rFonts w:ascii="Arial" w:cs="Arial" w:eastAsia="Arial" w:hAnsi="Arial"/>
                <w:sz w:val="14"/>
                <w:szCs w:val="14"/>
                <w:color w:val="auto"/>
                <w:w w:val="94"/>
              </w:rPr>
              <w:t>/s/</w:t>
            </w:r>
          </w:p>
        </w:tc>
        <w:tc>
          <w:tcPr>
            <w:tcW w:w="2780" w:type="dxa"/>
            <w:vAlign w:val="bottom"/>
            <w:tcBorders>
              <w:bottom w:val="single" w:sz="8" w:color="auto"/>
            </w:tcBorders>
          </w:tcPr>
          <w:p>
            <w:pPr>
              <w:jc w:val="center"/>
              <w:ind w:right="1327"/>
              <w:spacing w:after="0"/>
              <w:rPr>
                <w:sz w:val="20"/>
                <w:szCs w:val="20"/>
                <w:color w:val="auto"/>
              </w:rPr>
            </w:pPr>
            <w:r>
              <w:rPr>
                <w:rFonts w:ascii="Arial" w:cs="Arial" w:eastAsia="Arial" w:hAnsi="Arial"/>
                <w:sz w:val="14"/>
                <w:szCs w:val="14"/>
                <w:color w:val="auto"/>
                <w:w w:val="96"/>
              </w:rPr>
              <w:t>JON E. ELIASSEN</w:t>
            </w:r>
          </w:p>
        </w:tc>
      </w:tr>
      <w:tr>
        <w:trPr>
          <w:trHeight w:val="231"/>
        </w:trPr>
        <w:tc>
          <w:tcPr>
            <w:tcW w:w="1680" w:type="dxa"/>
            <w:vAlign w:val="bottom"/>
          </w:tcPr>
          <w:p>
            <w:pPr>
              <w:spacing w:after="0"/>
              <w:rPr>
                <w:sz w:val="20"/>
                <w:szCs w:val="20"/>
                <w:color w:val="auto"/>
              </w:rPr>
            </w:pPr>
          </w:p>
        </w:tc>
        <w:tc>
          <w:tcPr>
            <w:tcW w:w="2780" w:type="dxa"/>
            <w:vAlign w:val="bottom"/>
          </w:tcPr>
          <w:p>
            <w:pPr>
              <w:jc w:val="center"/>
              <w:ind w:right="1587"/>
              <w:spacing w:after="0"/>
              <w:rPr>
                <w:sz w:val="20"/>
                <w:szCs w:val="20"/>
                <w:color w:val="auto"/>
              </w:rPr>
            </w:pPr>
            <w:r>
              <w:rPr>
                <w:rFonts w:ascii="Arial" w:cs="Arial" w:eastAsia="Arial" w:hAnsi="Arial"/>
                <w:sz w:val="14"/>
                <w:szCs w:val="14"/>
                <w:b w:val="1"/>
                <w:bCs w:val="1"/>
                <w:color w:val="auto"/>
                <w:w w:val="89"/>
              </w:rPr>
              <w:t>Jon E. Eliassen</w:t>
            </w:r>
          </w:p>
        </w:tc>
      </w:tr>
    </w:tbl>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/s/</w:t>
            </w:r>
          </w:p>
        </w:tc>
        <w:tc>
          <w:tcPr>
            <w:tcW w:w="3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CHARLES H. GAYLORD, JR.</w:t>
            </w:r>
          </w:p>
        </w:tc>
      </w:tr>
      <w:tr>
        <w:trPr>
          <w:trHeight w:val="231"/>
        </w:trPr>
        <w:tc>
          <w:tcPr>
            <w:tcW w:w="1420" w:type="dxa"/>
            <w:vAlign w:val="bottom"/>
          </w:tcPr>
          <w:p>
            <w:pPr>
              <w:spacing w:after="0"/>
              <w:rPr>
                <w:sz w:val="20"/>
                <w:szCs w:val="20"/>
                <w:color w:val="auto"/>
              </w:rPr>
            </w:pPr>
          </w:p>
        </w:tc>
        <w:tc>
          <w:tcPr>
            <w:tcW w:w="3040" w:type="dxa"/>
            <w:vAlign w:val="bottom"/>
            <w:gridSpan w:val="2"/>
          </w:tcPr>
          <w:p>
            <w:pPr>
              <w:jc w:val="center"/>
              <w:ind w:right="1328"/>
              <w:spacing w:after="0"/>
              <w:rPr>
                <w:sz w:val="20"/>
                <w:szCs w:val="20"/>
                <w:color w:val="auto"/>
              </w:rPr>
            </w:pPr>
            <w:r>
              <w:rPr>
                <w:rFonts w:ascii="Arial" w:cs="Arial" w:eastAsia="Arial" w:hAnsi="Arial"/>
                <w:sz w:val="14"/>
                <w:szCs w:val="14"/>
                <w:b w:val="1"/>
                <w:bCs w:val="1"/>
                <w:color w:val="auto"/>
                <w:w w:val="95"/>
              </w:rPr>
              <w:t>Charles H. Gaylord, Jr.</w:t>
            </w:r>
          </w:p>
        </w:tc>
      </w:tr>
      <w:tr>
        <w:trPr>
          <w:trHeight w:val="479"/>
        </w:trPr>
        <w:tc>
          <w:tcPr>
            <w:tcW w:w="1420" w:type="dxa"/>
            <w:vAlign w:val="bottom"/>
            <w:tcBorders>
              <w:bottom w:val="single" w:sz="8" w:color="auto"/>
            </w:tcBorders>
          </w:tcPr>
          <w:p>
            <w:pPr>
              <w:ind w:left="1300"/>
              <w:spacing w:after="0"/>
              <w:rPr>
                <w:sz w:val="20"/>
                <w:szCs w:val="20"/>
                <w:color w:val="auto"/>
              </w:rPr>
            </w:pPr>
            <w:r>
              <w:rPr>
                <w:rFonts w:ascii="Arial" w:cs="Arial" w:eastAsia="Arial" w:hAnsi="Arial"/>
                <w:sz w:val="13"/>
                <w:szCs w:val="13"/>
                <w:color w:val="auto"/>
                <w:w w:val="72"/>
              </w:rPr>
              <w:t>/s/</w:t>
            </w:r>
          </w:p>
        </w:tc>
        <w:tc>
          <w:tcPr>
            <w:tcW w:w="3040" w:type="dxa"/>
            <w:vAlign w:val="bottom"/>
            <w:tcBorders>
              <w:bottom w:val="single" w:sz="8" w:color="auto"/>
            </w:tcBorders>
            <w:gridSpan w:val="2"/>
          </w:tcPr>
          <w:p>
            <w:pPr>
              <w:jc w:val="center"/>
              <w:ind w:right="1068"/>
              <w:spacing w:after="0"/>
              <w:rPr>
                <w:sz w:val="20"/>
                <w:szCs w:val="20"/>
                <w:color w:val="auto"/>
              </w:rPr>
            </w:pPr>
            <w:r>
              <w:rPr>
                <w:rFonts w:ascii="Arial" w:cs="Arial" w:eastAsia="Arial" w:hAnsi="Arial"/>
                <w:sz w:val="14"/>
                <w:szCs w:val="14"/>
                <w:color w:val="auto"/>
              </w:rPr>
              <w:t>THOMAS S. GLANVILLE</w:t>
            </w:r>
          </w:p>
        </w:tc>
      </w:tr>
      <w:tr>
        <w:trPr>
          <w:trHeight w:val="231"/>
        </w:trPr>
        <w:tc>
          <w:tcPr>
            <w:tcW w:w="1420" w:type="dxa"/>
            <w:vAlign w:val="bottom"/>
          </w:tcPr>
          <w:p>
            <w:pPr>
              <w:spacing w:after="0"/>
              <w:rPr>
                <w:sz w:val="20"/>
                <w:szCs w:val="20"/>
                <w:color w:val="auto"/>
              </w:rPr>
            </w:pPr>
          </w:p>
        </w:tc>
        <w:tc>
          <w:tcPr>
            <w:tcW w:w="3040" w:type="dxa"/>
            <w:vAlign w:val="bottom"/>
            <w:gridSpan w:val="2"/>
          </w:tcPr>
          <w:p>
            <w:pPr>
              <w:jc w:val="center"/>
              <w:ind w:right="1328"/>
              <w:spacing w:after="0"/>
              <w:rPr>
                <w:sz w:val="20"/>
                <w:szCs w:val="20"/>
                <w:color w:val="auto"/>
              </w:rPr>
            </w:pPr>
            <w:r>
              <w:rPr>
                <w:rFonts w:ascii="Arial" w:cs="Arial" w:eastAsia="Arial" w:hAnsi="Arial"/>
                <w:sz w:val="14"/>
                <w:szCs w:val="14"/>
                <w:b w:val="1"/>
                <w:bCs w:val="1"/>
                <w:color w:val="auto"/>
                <w:w w:val="93"/>
              </w:rPr>
              <w:t>Thomas S. Glanville</w:t>
            </w:r>
          </w:p>
        </w:tc>
      </w:tr>
      <w:tr>
        <w:trPr>
          <w:trHeight w:val="479"/>
        </w:trPr>
        <w:tc>
          <w:tcPr>
            <w:tcW w:w="14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
          </w:tcPr>
          <w:p>
            <w:pPr>
              <w:jc w:val="center"/>
              <w:ind w:right="1348"/>
              <w:spacing w:after="0"/>
              <w:rPr>
                <w:sz w:val="20"/>
                <w:szCs w:val="20"/>
                <w:color w:val="auto"/>
              </w:rPr>
            </w:pPr>
            <w:r>
              <w:rPr>
                <w:rFonts w:ascii="Arial" w:cs="Arial" w:eastAsia="Arial" w:hAnsi="Arial"/>
                <w:sz w:val="14"/>
                <w:szCs w:val="14"/>
                <w:color w:val="auto"/>
                <w:w w:val="99"/>
              </w:rPr>
              <w:t>/s/ FRANK M. JAEHNERT</w:t>
            </w:r>
          </w:p>
        </w:tc>
      </w:tr>
      <w:tr>
        <w:trPr>
          <w:trHeight w:val="231"/>
        </w:trPr>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jc w:val="center"/>
              <w:ind w:right="1548"/>
              <w:spacing w:after="0"/>
              <w:rPr>
                <w:sz w:val="20"/>
                <w:szCs w:val="20"/>
                <w:color w:val="auto"/>
              </w:rPr>
            </w:pPr>
            <w:r>
              <w:rPr>
                <w:rFonts w:ascii="Arial" w:cs="Arial" w:eastAsia="Arial" w:hAnsi="Arial"/>
                <w:sz w:val="14"/>
                <w:szCs w:val="14"/>
                <w:b w:val="1"/>
                <w:bCs w:val="1"/>
                <w:color w:val="auto"/>
                <w:w w:val="96"/>
              </w:rPr>
              <w:t>Frank M. Jaehnert</w:t>
            </w:r>
          </w:p>
        </w:tc>
      </w:tr>
      <w:tr>
        <w:trPr>
          <w:trHeight w:val="459"/>
        </w:trPr>
        <w:tc>
          <w:tcPr>
            <w:tcW w:w="1420" w:type="dxa"/>
            <w:vAlign w:val="bottom"/>
          </w:tcPr>
          <w:p>
            <w:pPr>
              <w:spacing w:after="0"/>
              <w:rPr>
                <w:sz w:val="24"/>
                <w:szCs w:val="24"/>
                <w:color w:val="auto"/>
              </w:rPr>
            </w:pPr>
          </w:p>
        </w:tc>
        <w:tc>
          <w:tcPr>
            <w:tcW w:w="220" w:type="dxa"/>
            <w:vAlign w:val="bottom"/>
          </w:tcPr>
          <w:p>
            <w:pPr>
              <w:ind w:left="80"/>
              <w:spacing w:after="0"/>
              <w:rPr>
                <w:sz w:val="20"/>
                <w:szCs w:val="20"/>
                <w:color w:val="auto"/>
              </w:rPr>
            </w:pPr>
            <w:r>
              <w:rPr>
                <w:rFonts w:ascii="Arial" w:cs="Arial" w:eastAsia="Arial" w:hAnsi="Arial"/>
                <w:sz w:val="14"/>
                <w:szCs w:val="14"/>
                <w:color w:val="auto"/>
                <w:w w:val="80"/>
              </w:rPr>
              <w:t>/s/</w:t>
            </w:r>
          </w:p>
        </w:tc>
        <w:tc>
          <w:tcPr>
            <w:tcW w:w="2820" w:type="dxa"/>
            <w:vAlign w:val="bottom"/>
          </w:tcPr>
          <w:p>
            <w:pPr>
              <w:jc w:val="center"/>
              <w:ind w:right="1268"/>
              <w:spacing w:after="0"/>
              <w:rPr>
                <w:sz w:val="20"/>
                <w:szCs w:val="20"/>
                <w:color w:val="auto"/>
              </w:rPr>
            </w:pPr>
            <w:r>
              <w:rPr>
                <w:rFonts w:ascii="Arial" w:cs="Arial" w:eastAsia="Arial" w:hAnsi="Arial"/>
                <w:sz w:val="14"/>
                <w:szCs w:val="14"/>
                <w:color w:val="auto"/>
                <w:w w:val="96"/>
              </w:rPr>
              <w:t>JEROME J. LANDE</w:t>
            </w:r>
          </w:p>
        </w:tc>
      </w:tr>
      <w:tr>
        <w:trPr>
          <w:trHeight w:val="26"/>
        </w:trPr>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25"/>
        </w:trPr>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tcPr>
          <w:p>
            <w:pPr>
              <w:jc w:val="center"/>
              <w:ind w:right="1568"/>
              <w:spacing w:after="0"/>
              <w:rPr>
                <w:sz w:val="20"/>
                <w:szCs w:val="20"/>
                <w:color w:val="auto"/>
              </w:rPr>
            </w:pPr>
            <w:r>
              <w:rPr>
                <w:rFonts w:ascii="Arial" w:cs="Arial" w:eastAsia="Arial" w:hAnsi="Arial"/>
                <w:sz w:val="14"/>
                <w:szCs w:val="14"/>
                <w:b w:val="1"/>
                <w:bCs w:val="1"/>
                <w:color w:val="auto"/>
                <w:w w:val="92"/>
              </w:rPr>
              <w:t>Jerome J. Lande</w:t>
            </w:r>
          </w:p>
        </w:tc>
      </w:tr>
      <w:tr>
        <w:trPr>
          <w:trHeight w:val="459"/>
        </w:trPr>
        <w:tc>
          <w:tcPr>
            <w:tcW w:w="1640" w:type="dxa"/>
            <w:vAlign w:val="bottom"/>
            <w:gridSpan w:val="2"/>
          </w:tcPr>
          <w:p>
            <w:pPr>
              <w:ind w:left="1360"/>
              <w:spacing w:after="0"/>
              <w:rPr>
                <w:sz w:val="20"/>
                <w:szCs w:val="20"/>
                <w:color w:val="auto"/>
              </w:rPr>
            </w:pPr>
            <w:r>
              <w:rPr>
                <w:rFonts w:ascii="Arial" w:cs="Arial" w:eastAsia="Arial" w:hAnsi="Arial"/>
                <w:sz w:val="14"/>
                <w:szCs w:val="14"/>
                <w:color w:val="auto"/>
              </w:rPr>
              <w:t>/s/</w:t>
            </w:r>
          </w:p>
        </w:tc>
        <w:tc>
          <w:tcPr>
            <w:tcW w:w="2820" w:type="dxa"/>
            <w:vAlign w:val="bottom"/>
          </w:tcPr>
          <w:p>
            <w:pPr>
              <w:jc w:val="center"/>
              <w:ind w:right="1268"/>
              <w:spacing w:after="0"/>
              <w:rPr>
                <w:sz w:val="20"/>
                <w:szCs w:val="20"/>
                <w:color w:val="auto"/>
              </w:rPr>
            </w:pPr>
            <w:r>
              <w:rPr>
                <w:rFonts w:ascii="Arial" w:cs="Arial" w:eastAsia="Arial" w:hAnsi="Arial"/>
                <w:sz w:val="14"/>
                <w:szCs w:val="14"/>
                <w:color w:val="auto"/>
              </w:rPr>
              <w:t>TIMOTHY M. LEYDEN</w:t>
            </w:r>
          </w:p>
        </w:tc>
      </w:tr>
      <w:tr>
        <w:trPr>
          <w:trHeight w:val="26"/>
        </w:trPr>
        <w:tc>
          <w:tcPr>
            <w:tcW w:w="14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2"/>
          </w:tcPr>
          <w:p>
            <w:pPr>
              <w:spacing w:after="0"/>
              <w:rPr>
                <w:sz w:val="2"/>
                <w:szCs w:val="2"/>
                <w:color w:val="auto"/>
              </w:rPr>
            </w:pPr>
          </w:p>
        </w:tc>
      </w:tr>
      <w:tr>
        <w:trPr>
          <w:trHeight w:val="225"/>
        </w:trPr>
        <w:tc>
          <w:tcPr>
            <w:tcW w:w="1420" w:type="dxa"/>
            <w:vAlign w:val="bottom"/>
          </w:tcPr>
          <w:p>
            <w:pPr>
              <w:spacing w:after="0"/>
              <w:rPr>
                <w:sz w:val="19"/>
                <w:szCs w:val="19"/>
                <w:color w:val="auto"/>
              </w:rPr>
            </w:pPr>
          </w:p>
        </w:tc>
        <w:tc>
          <w:tcPr>
            <w:tcW w:w="3040" w:type="dxa"/>
            <w:vAlign w:val="bottom"/>
            <w:gridSpan w:val="2"/>
          </w:tcPr>
          <w:p>
            <w:pPr>
              <w:jc w:val="center"/>
              <w:ind w:right="1348"/>
              <w:spacing w:after="0"/>
              <w:rPr>
                <w:sz w:val="20"/>
                <w:szCs w:val="20"/>
                <w:color w:val="auto"/>
              </w:rPr>
            </w:pPr>
            <w:r>
              <w:rPr>
                <w:rFonts w:ascii="Arial" w:cs="Arial" w:eastAsia="Arial" w:hAnsi="Arial"/>
                <w:sz w:val="14"/>
                <w:szCs w:val="14"/>
                <w:b w:val="1"/>
                <w:bCs w:val="1"/>
                <w:color w:val="auto"/>
                <w:w w:val="96"/>
              </w:rPr>
              <w:t>Timothy M. Leyden</w:t>
            </w:r>
          </w:p>
        </w:tc>
      </w:tr>
      <w:tr>
        <w:trPr>
          <w:trHeight w:val="459"/>
        </w:trPr>
        <w:tc>
          <w:tcPr>
            <w:tcW w:w="1420" w:type="dxa"/>
            <w:vAlign w:val="bottom"/>
          </w:tcPr>
          <w:p>
            <w:pPr>
              <w:spacing w:after="0"/>
              <w:rPr>
                <w:sz w:val="24"/>
                <w:szCs w:val="24"/>
                <w:color w:val="auto"/>
              </w:rPr>
            </w:pPr>
          </w:p>
        </w:tc>
        <w:tc>
          <w:tcPr>
            <w:tcW w:w="3040" w:type="dxa"/>
            <w:vAlign w:val="bottom"/>
            <w:gridSpan w:val="2"/>
          </w:tcPr>
          <w:p>
            <w:pPr>
              <w:jc w:val="center"/>
              <w:ind w:right="1328"/>
              <w:spacing w:after="0"/>
              <w:rPr>
                <w:sz w:val="20"/>
                <w:szCs w:val="20"/>
                <w:color w:val="auto"/>
              </w:rPr>
            </w:pPr>
            <w:r>
              <w:rPr>
                <w:rFonts w:ascii="Arial" w:cs="Arial" w:eastAsia="Arial" w:hAnsi="Arial"/>
                <w:sz w:val="14"/>
                <w:szCs w:val="14"/>
                <w:color w:val="auto"/>
              </w:rPr>
              <w:t>/s/  PETER MAINZ</w:t>
            </w:r>
          </w:p>
        </w:tc>
      </w:tr>
      <w:tr>
        <w:trPr>
          <w:trHeight w:val="26"/>
        </w:trPr>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25"/>
        </w:trPr>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tcPr>
          <w:p>
            <w:pPr>
              <w:jc w:val="center"/>
              <w:ind w:right="1548"/>
              <w:spacing w:after="0"/>
              <w:rPr>
                <w:sz w:val="20"/>
                <w:szCs w:val="20"/>
                <w:color w:val="auto"/>
              </w:rPr>
            </w:pPr>
            <w:r>
              <w:rPr>
                <w:rFonts w:ascii="Arial" w:cs="Arial" w:eastAsia="Arial" w:hAnsi="Arial"/>
                <w:sz w:val="14"/>
                <w:szCs w:val="14"/>
                <w:b w:val="1"/>
                <w:bCs w:val="1"/>
                <w:color w:val="auto"/>
                <w:w w:val="97"/>
              </w:rPr>
              <w:t>Peter Mainz</w:t>
            </w:r>
          </w:p>
        </w:tc>
      </w:tr>
      <w:tr>
        <w:trPr>
          <w:trHeight w:val="479"/>
        </w:trPr>
        <w:tc>
          <w:tcPr>
            <w:tcW w:w="164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color w:val="auto"/>
              </w:rPr>
              <w:t>/s/</w:t>
            </w:r>
          </w:p>
        </w:tc>
        <w:tc>
          <w:tcPr>
            <w:tcW w:w="2820" w:type="dxa"/>
            <w:vAlign w:val="bottom"/>
            <w:tcBorders>
              <w:bottom w:val="single" w:sz="8" w:color="auto"/>
            </w:tcBorders>
          </w:tcPr>
          <w:p>
            <w:pPr>
              <w:jc w:val="center"/>
              <w:ind w:right="1268"/>
              <w:spacing w:after="0"/>
              <w:rPr>
                <w:sz w:val="20"/>
                <w:szCs w:val="20"/>
                <w:color w:val="auto"/>
              </w:rPr>
            </w:pPr>
            <w:r>
              <w:rPr>
                <w:rFonts w:ascii="Arial" w:cs="Arial" w:eastAsia="Arial" w:hAnsi="Arial"/>
                <w:sz w:val="14"/>
                <w:szCs w:val="14"/>
                <w:color w:val="auto"/>
                <w:w w:val="99"/>
              </w:rPr>
              <w:t>SHARON L. NELSON</w:t>
            </w:r>
          </w:p>
        </w:tc>
      </w:tr>
      <w:tr>
        <w:trPr>
          <w:trHeight w:val="231"/>
        </w:trPr>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jc w:val="center"/>
              <w:ind w:right="1568"/>
              <w:spacing w:after="0"/>
              <w:rPr>
                <w:sz w:val="20"/>
                <w:szCs w:val="20"/>
                <w:color w:val="auto"/>
              </w:rPr>
            </w:pPr>
            <w:r>
              <w:rPr>
                <w:rFonts w:ascii="Arial" w:cs="Arial" w:eastAsia="Arial" w:hAnsi="Arial"/>
                <w:sz w:val="14"/>
                <w:szCs w:val="14"/>
                <w:b w:val="1"/>
                <w:bCs w:val="1"/>
                <w:color w:val="auto"/>
                <w:w w:val="92"/>
              </w:rPr>
              <w:t>Sharon L. Nelson</w:t>
            </w:r>
          </w:p>
        </w:tc>
      </w:tr>
      <w:tr>
        <w:trPr>
          <w:trHeight w:val="479"/>
        </w:trPr>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4"/>
              </w:rPr>
              <w:t>/s/</w:t>
            </w:r>
          </w:p>
        </w:tc>
        <w:tc>
          <w:tcPr>
            <w:tcW w:w="2820" w:type="dxa"/>
            <w:vAlign w:val="bottom"/>
            <w:tcBorders>
              <w:bottom w:val="single" w:sz="8" w:color="auto"/>
            </w:tcBorders>
          </w:tcPr>
          <w:p>
            <w:pPr>
              <w:jc w:val="center"/>
              <w:ind w:right="1268"/>
              <w:spacing w:after="0"/>
              <w:rPr>
                <w:sz w:val="20"/>
                <w:szCs w:val="20"/>
                <w:color w:val="auto"/>
              </w:rPr>
            </w:pPr>
            <w:r>
              <w:rPr>
                <w:rFonts w:ascii="Arial" w:cs="Arial" w:eastAsia="Arial" w:hAnsi="Arial"/>
                <w:sz w:val="14"/>
                <w:szCs w:val="14"/>
                <w:color w:val="auto"/>
              </w:rPr>
              <w:t>DANIEL S. PELINO</w:t>
            </w:r>
          </w:p>
        </w:tc>
      </w:tr>
      <w:tr>
        <w:trPr>
          <w:trHeight w:val="231"/>
        </w:trPr>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jc w:val="center"/>
              <w:ind w:right="1548"/>
              <w:spacing w:after="0"/>
              <w:rPr>
                <w:sz w:val="20"/>
                <w:szCs w:val="20"/>
                <w:color w:val="auto"/>
              </w:rPr>
            </w:pPr>
            <w:r>
              <w:rPr>
                <w:rFonts w:ascii="Arial" w:cs="Arial" w:eastAsia="Arial" w:hAnsi="Arial"/>
                <w:sz w:val="14"/>
                <w:szCs w:val="14"/>
                <w:b w:val="1"/>
                <w:bCs w:val="1"/>
                <w:color w:val="auto"/>
                <w:w w:val="91"/>
              </w:rPr>
              <w:t>Daniel S. Pelino</w:t>
            </w:r>
          </w:p>
        </w:tc>
      </w:tr>
      <w:tr>
        <w:trPr>
          <w:trHeight w:val="479"/>
        </w:trPr>
        <w:tc>
          <w:tcPr>
            <w:tcW w:w="14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
          </w:tcPr>
          <w:p>
            <w:pPr>
              <w:jc w:val="center"/>
              <w:ind w:right="1348"/>
              <w:spacing w:after="0"/>
              <w:rPr>
                <w:sz w:val="20"/>
                <w:szCs w:val="20"/>
                <w:color w:val="auto"/>
              </w:rPr>
            </w:pPr>
            <w:r>
              <w:rPr>
                <w:rFonts w:ascii="Arial" w:cs="Arial" w:eastAsia="Arial" w:hAnsi="Arial"/>
                <w:sz w:val="14"/>
                <w:szCs w:val="14"/>
                <w:color w:val="auto"/>
              </w:rPr>
              <w:t>/s/  GARY E. PRUITT</w:t>
            </w:r>
          </w:p>
        </w:tc>
      </w:tr>
      <w:tr>
        <w:trPr>
          <w:trHeight w:val="231"/>
        </w:trPr>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jc w:val="center"/>
              <w:ind w:right="1548"/>
              <w:spacing w:after="0"/>
              <w:rPr>
                <w:sz w:val="20"/>
                <w:szCs w:val="20"/>
                <w:color w:val="auto"/>
              </w:rPr>
            </w:pPr>
            <w:r>
              <w:rPr>
                <w:rFonts w:ascii="Arial" w:cs="Arial" w:eastAsia="Arial" w:hAnsi="Arial"/>
                <w:sz w:val="14"/>
                <w:szCs w:val="14"/>
                <w:b w:val="1"/>
                <w:bCs w:val="1"/>
                <w:color w:val="auto"/>
                <w:w w:val="98"/>
              </w:rPr>
              <w:t>Gary E. Pruitt</w:t>
            </w:r>
          </w:p>
        </w:tc>
      </w:tr>
      <w:tr>
        <w:trPr>
          <w:trHeight w:val="479"/>
        </w:trPr>
        <w:tc>
          <w:tcPr>
            <w:tcW w:w="1640" w:type="dxa"/>
            <w:vAlign w:val="bottom"/>
            <w:tcBorders>
              <w:bottom w:val="single" w:sz="8" w:color="auto"/>
            </w:tcBorders>
            <w:gridSpan w:val="2"/>
          </w:tcPr>
          <w:p>
            <w:pPr>
              <w:ind w:left="1360"/>
              <w:spacing w:after="0"/>
              <w:rPr>
                <w:sz w:val="20"/>
                <w:szCs w:val="20"/>
                <w:color w:val="auto"/>
              </w:rPr>
            </w:pPr>
            <w:r>
              <w:rPr>
                <w:rFonts w:ascii="Arial" w:cs="Arial" w:eastAsia="Arial" w:hAnsi="Arial"/>
                <w:sz w:val="14"/>
                <w:szCs w:val="14"/>
                <w:color w:val="auto"/>
              </w:rPr>
              <w:t>/s/</w:t>
            </w:r>
          </w:p>
        </w:tc>
        <w:tc>
          <w:tcPr>
            <w:tcW w:w="2820" w:type="dxa"/>
            <w:vAlign w:val="bottom"/>
            <w:tcBorders>
              <w:bottom w:val="single" w:sz="8" w:color="auto"/>
            </w:tcBorders>
          </w:tcPr>
          <w:p>
            <w:pPr>
              <w:jc w:val="center"/>
              <w:ind w:right="1288"/>
              <w:spacing w:after="0"/>
              <w:rPr>
                <w:sz w:val="20"/>
                <w:szCs w:val="20"/>
                <w:color w:val="auto"/>
              </w:rPr>
            </w:pPr>
            <w:r>
              <w:rPr>
                <w:rFonts w:ascii="Arial" w:cs="Arial" w:eastAsia="Arial" w:hAnsi="Arial"/>
                <w:sz w:val="14"/>
                <w:szCs w:val="14"/>
                <w:color w:val="auto"/>
              </w:rPr>
              <w:t>DIANA D. TREMBLAY</w:t>
            </w:r>
          </w:p>
        </w:tc>
      </w:tr>
      <w:tr>
        <w:trPr>
          <w:trHeight w:val="231"/>
        </w:trPr>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jc w:val="center"/>
              <w:ind w:right="1568"/>
              <w:spacing w:after="0"/>
              <w:rPr>
                <w:sz w:val="20"/>
                <w:szCs w:val="20"/>
                <w:color w:val="auto"/>
              </w:rPr>
            </w:pPr>
            <w:r>
              <w:rPr>
                <w:rFonts w:ascii="Arial" w:cs="Arial" w:eastAsia="Arial" w:hAnsi="Arial"/>
                <w:sz w:val="14"/>
                <w:szCs w:val="14"/>
                <w:b w:val="1"/>
                <w:bCs w:val="1"/>
                <w:color w:val="auto"/>
                <w:w w:val="96"/>
              </w:rPr>
              <w:t>Diana D. Tremblay</w:t>
            </w:r>
          </w:p>
        </w:tc>
      </w:tr>
      <w:tr>
        <w:trPr>
          <w:trHeight w:val="479"/>
        </w:trPr>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w:t>
            </w:r>
          </w:p>
        </w:tc>
        <w:tc>
          <w:tcPr>
            <w:tcW w:w="2820" w:type="dxa"/>
            <w:vAlign w:val="bottom"/>
            <w:tcBorders>
              <w:bottom w:val="single" w:sz="8" w:color="auto"/>
            </w:tcBorders>
          </w:tcPr>
          <w:p>
            <w:pPr>
              <w:jc w:val="center"/>
              <w:ind w:right="1268"/>
              <w:spacing w:after="0"/>
              <w:rPr>
                <w:sz w:val="20"/>
                <w:szCs w:val="20"/>
                <w:color w:val="auto"/>
              </w:rPr>
            </w:pPr>
            <w:r>
              <w:rPr>
                <w:rFonts w:ascii="Arial" w:cs="Arial" w:eastAsia="Arial" w:hAnsi="Arial"/>
                <w:sz w:val="14"/>
                <w:szCs w:val="14"/>
                <w:color w:val="auto"/>
              </w:rPr>
              <w:t>LYNDA L. ZIEGLER</w:t>
            </w:r>
          </w:p>
        </w:tc>
      </w:tr>
      <w:tr>
        <w:trPr>
          <w:trHeight w:val="231"/>
        </w:trPr>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jc w:val="center"/>
              <w:ind w:right="1548"/>
              <w:spacing w:after="0"/>
              <w:rPr>
                <w:sz w:val="20"/>
                <w:szCs w:val="20"/>
                <w:color w:val="auto"/>
              </w:rPr>
            </w:pPr>
            <w:r>
              <w:rPr>
                <w:rFonts w:ascii="Arial" w:cs="Arial" w:eastAsia="Arial" w:hAnsi="Arial"/>
                <w:sz w:val="14"/>
                <w:szCs w:val="14"/>
                <w:b w:val="1"/>
                <w:bCs w:val="1"/>
                <w:color w:val="auto"/>
                <w:w w:val="96"/>
              </w:rPr>
              <w:t>Lynda L. Ziegler</w:t>
            </w:r>
          </w:p>
        </w:tc>
      </w:tr>
    </w:tbl>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37465</wp:posOffset>
            </wp:positionV>
            <wp:extent cx="42710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President and Chief Executive Officer (Principal Executive Officer), 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color w:val="auto"/>
        </w:rPr>
        <w:t>Executive Vice President and Chief Financial Officer (Principal Financial and Accounting Officer)</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Chairman of the Board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Vice Chairman of the Board</w:t>
      </w:r>
    </w:p>
    <w:p>
      <w:pPr>
        <w:spacing w:after="0" w:line="207" w:lineRule="exact"/>
        <w:rPr>
          <w:sz w:val="20"/>
          <w:szCs w:val="20"/>
          <w:color w:val="auto"/>
        </w:rPr>
      </w:pPr>
    </w:p>
    <w:p>
      <w:pPr>
        <w:sectPr>
          <w:pgSz w:w="11900" w:h="16838" w:orient="portrait"/>
          <w:cols w:equalWidth="0" w:num="2">
            <w:col w:w="4460" w:space="260"/>
            <w:col w:w="6700"/>
          </w:cols>
          <w:pgMar w:left="240" w:top="125" w:right="239" w:bottom="701" w:gutter="0" w:footer="0" w:header="0"/>
          <w:type w:val="continuous"/>
        </w:sectPr>
      </w:pPr>
    </w:p>
    <w:p>
      <w:pPr>
        <w:spacing w:after="0" w:line="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1420"/>
          </w:cols>
          <w:pgMar w:left="240" w:top="125" w:right="239" w:bottom="701" w:gutter="0" w:footer="0" w:header="0"/>
          <w:type w:val="continuous"/>
        </w:sectPr>
      </w:pPr>
    </w:p>
    <w:bookmarkStart w:id="164" w:name="page165"/>
    <w:bookmarkEnd w:id="1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SCHEDULE II:</w:t>
        <w:tab/>
        <w:t>VALUATION AND QUALIFYING ACCOUNTS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Balance at</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Balance at Beginning of</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Additions Charged to</w:t>
            </w:r>
          </w:p>
        </w:tc>
        <w:tc>
          <w:tcPr>
            <w:tcW w:w="320" w:type="dxa"/>
            <w:vAlign w:val="bottom"/>
          </w:tcPr>
          <w:p>
            <w:pPr>
              <w:spacing w:after="0"/>
              <w:rPr>
                <w:sz w:val="17"/>
                <w:szCs w:val="17"/>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End of Period,</w:t>
            </w:r>
          </w:p>
        </w:tc>
      </w:tr>
      <w:tr>
        <w:trPr>
          <w:trHeight w:val="210"/>
        </w:trPr>
        <w:tc>
          <w:tcPr>
            <w:tcW w:w="424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38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b w:val="1"/>
                <w:bCs w:val="1"/>
                <w:color w:val="auto"/>
              </w:rPr>
              <w:t>Period</w:t>
            </w:r>
          </w:p>
        </w:tc>
        <w:tc>
          <w:tcPr>
            <w:tcW w:w="22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Other Adjustments</w:t>
            </w:r>
          </w:p>
        </w:tc>
        <w:tc>
          <w:tcPr>
            <w:tcW w:w="220" w:type="dxa"/>
            <w:vAlign w:val="bottom"/>
          </w:tcPr>
          <w:p>
            <w:pPr>
              <w:spacing w:after="0"/>
              <w:rPr>
                <w:sz w:val="18"/>
                <w:szCs w:val="18"/>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b w:val="1"/>
                <w:bCs w:val="1"/>
                <w:color w:val="auto"/>
                <w:w w:val="86"/>
              </w:rPr>
              <w:t>Costs and Expenses</w:t>
            </w:r>
          </w:p>
        </w:tc>
        <w:tc>
          <w:tcPr>
            <w:tcW w:w="320" w:type="dxa"/>
            <w:vAlign w:val="bottom"/>
          </w:tcPr>
          <w:p>
            <w:pPr>
              <w:spacing w:after="0"/>
              <w:rPr>
                <w:sz w:val="18"/>
                <w:szCs w:val="18"/>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Noncurrent</w:t>
            </w: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gridSpan w:val="3"/>
          </w:tcPr>
          <w:p>
            <w:pPr>
              <w:jc w:val="right"/>
              <w:ind w:right="1219"/>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92"/>
        </w:trPr>
        <w:tc>
          <w:tcPr>
            <w:tcW w:w="4240" w:type="dxa"/>
            <w:vAlign w:val="bottom"/>
            <w:gridSpan w:val="2"/>
          </w:tcPr>
          <w:p>
            <w:pPr>
              <w:ind w:left="80"/>
              <w:spacing w:after="0"/>
              <w:rPr>
                <w:sz w:val="20"/>
                <w:szCs w:val="20"/>
                <w:color w:val="auto"/>
              </w:rPr>
            </w:pPr>
            <w:r>
              <w:rPr>
                <w:rFonts w:ascii="Arial" w:cs="Arial" w:eastAsia="Arial" w:hAnsi="Arial"/>
                <w:sz w:val="16"/>
                <w:szCs w:val="16"/>
                <w:i w:val="1"/>
                <w:iCs w:val="1"/>
                <w:color w:val="auto"/>
              </w:rPr>
              <w:t>Year ended December 31, 2015:</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50"/>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tax assets valuation allowance</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257,728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40,402</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235,339</w:t>
            </w:r>
          </w:p>
        </w:tc>
      </w:tr>
      <w:tr>
        <w:trPr>
          <w:trHeight w:val="359"/>
        </w:trPr>
        <w:tc>
          <w:tcPr>
            <w:tcW w:w="4240" w:type="dxa"/>
            <w:vAlign w:val="bottom"/>
            <w:gridSpan w:val="2"/>
          </w:tcPr>
          <w:p>
            <w:pPr>
              <w:ind w:left="80"/>
              <w:spacing w:after="0"/>
              <w:rPr>
                <w:sz w:val="20"/>
                <w:szCs w:val="20"/>
                <w:color w:val="auto"/>
              </w:rPr>
            </w:pPr>
            <w:r>
              <w:rPr>
                <w:rFonts w:ascii="Arial" w:cs="Arial" w:eastAsia="Arial" w:hAnsi="Arial"/>
                <w:sz w:val="16"/>
                <w:szCs w:val="16"/>
                <w:i w:val="1"/>
                <w:iCs w:val="1"/>
                <w:color w:val="auto"/>
              </w:rPr>
              <w:t>Year ended December 31, 2014:</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50"/>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tax assets valuation allowance</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162,588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100,053</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257,728</w:t>
            </w:r>
          </w:p>
        </w:tc>
      </w:tr>
      <w:tr>
        <w:trPr>
          <w:trHeight w:val="359"/>
        </w:trPr>
        <w:tc>
          <w:tcPr>
            <w:tcW w:w="4240" w:type="dxa"/>
            <w:vAlign w:val="bottom"/>
            <w:gridSpan w:val="2"/>
          </w:tcPr>
          <w:p>
            <w:pPr>
              <w:ind w:left="80"/>
              <w:spacing w:after="0"/>
              <w:rPr>
                <w:sz w:val="20"/>
                <w:szCs w:val="20"/>
                <w:color w:val="auto"/>
              </w:rPr>
            </w:pPr>
            <w:r>
              <w:rPr>
                <w:rFonts w:ascii="Arial" w:cs="Arial" w:eastAsia="Arial" w:hAnsi="Arial"/>
                <w:sz w:val="16"/>
                <w:szCs w:val="16"/>
                <w:i w:val="1"/>
                <w:iCs w:val="1"/>
                <w:color w:val="auto"/>
              </w:rPr>
              <w:t>Year ended December 31, 2013:</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37"/>
        </w:trPr>
        <w:tc>
          <w:tcPr>
            <w:tcW w:w="42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Deferred tax assets valuation allowance</w:t>
            </w: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138,910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3,873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19,805</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162,588</w:t>
            </w:r>
          </w:p>
        </w:tc>
      </w:tr>
      <w:tr>
        <w:trPr>
          <w:trHeight w:val="33"/>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125"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Adopted June 27, 2016</w:t>
      </w:r>
    </w:p>
    <w:p>
      <w:pPr>
        <w:sectPr>
          <w:pgSz w:w="11900" w:h="16838" w:orient="portrait"/>
          <w:cols w:equalWidth="0" w:num="1">
            <w:col w:w="10220"/>
          </w:cols>
          <w:pgMar w:left="1440" w:top="553" w:right="2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81"/>
        </w:trPr>
        <w:tc>
          <w:tcPr>
            <w:tcW w:w="1060" w:type="dxa"/>
            <w:vAlign w:val="bottom"/>
          </w:tcPr>
          <w:p>
            <w:pPr>
              <w:spacing w:after="0"/>
              <w:rPr>
                <w:sz w:val="24"/>
                <w:szCs w:val="24"/>
                <w:color w:val="auto"/>
              </w:rPr>
            </w:pPr>
          </w:p>
        </w:tc>
        <w:tc>
          <w:tcPr>
            <w:tcW w:w="9240" w:type="dxa"/>
            <w:vAlign w:val="bottom"/>
          </w:tcPr>
          <w:p>
            <w:pPr>
              <w:ind w:left="3800"/>
              <w:spacing w:after="0"/>
              <w:rPr>
                <w:sz w:val="20"/>
                <w:szCs w:val="20"/>
                <w:color w:val="auto"/>
              </w:rPr>
            </w:pPr>
            <w:r>
              <w:rPr>
                <w:rFonts w:ascii="Arial" w:cs="Arial" w:eastAsia="Arial" w:hAnsi="Arial"/>
                <w:sz w:val="22"/>
                <w:szCs w:val="22"/>
                <w:b w:val="1"/>
                <w:bCs w:val="1"/>
                <w:color w:val="auto"/>
              </w:rPr>
              <w:t>CONTENTS</w:t>
            </w:r>
          </w:p>
        </w:tc>
        <w:tc>
          <w:tcPr>
            <w:tcW w:w="640" w:type="dxa"/>
            <w:vAlign w:val="bottom"/>
          </w:tcPr>
          <w:p>
            <w:pPr>
              <w:spacing w:after="0"/>
              <w:rPr>
                <w:sz w:val="24"/>
                <w:szCs w:val="24"/>
                <w:color w:val="auto"/>
              </w:rPr>
            </w:pPr>
          </w:p>
        </w:tc>
      </w:tr>
      <w:tr>
        <w:trPr>
          <w:trHeight w:val="584"/>
        </w:trPr>
        <w:tc>
          <w:tcPr>
            <w:tcW w:w="106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Page</w:t>
            </w:r>
          </w:p>
        </w:tc>
      </w:tr>
      <w:tr>
        <w:trPr>
          <w:trHeight w:val="27"/>
        </w:trPr>
        <w:tc>
          <w:tcPr>
            <w:tcW w:w="10300" w:type="dxa"/>
            <w:vAlign w:val="bottom"/>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10300" w:type="dxa"/>
            <w:vAlign w:val="bottom"/>
            <w:gridSpan w:val="2"/>
          </w:tcPr>
          <w:p>
            <w:pPr>
              <w:spacing w:after="0"/>
              <w:rPr>
                <w:sz w:val="20"/>
                <w:szCs w:val="20"/>
                <w:color w:val="auto"/>
              </w:rPr>
            </w:pPr>
            <w:r>
              <w:rPr>
                <w:rFonts w:ascii="Arial" w:cs="Arial" w:eastAsia="Arial" w:hAnsi="Arial"/>
                <w:sz w:val="18"/>
                <w:szCs w:val="18"/>
                <w:color w:val="auto"/>
              </w:rPr>
              <w:t>SECTION 1. OFFICES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10300" w:type="dxa"/>
            <w:vAlign w:val="bottom"/>
            <w:gridSpan w:val="2"/>
          </w:tcPr>
          <w:p>
            <w:pPr>
              <w:spacing w:after="0"/>
              <w:rPr>
                <w:sz w:val="20"/>
                <w:szCs w:val="20"/>
                <w:color w:val="auto"/>
              </w:rPr>
            </w:pPr>
            <w:r>
              <w:rPr>
                <w:rFonts w:ascii="Arial" w:cs="Arial" w:eastAsia="Arial" w:hAnsi="Arial"/>
                <w:sz w:val="18"/>
                <w:szCs w:val="18"/>
                <w:color w:val="auto"/>
              </w:rPr>
              <w:t>SECTION 2. SHAREHOLDERS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2.1</w:t>
            </w:r>
          </w:p>
        </w:tc>
        <w:tc>
          <w:tcPr>
            <w:tcW w:w="9240" w:type="dxa"/>
            <w:vAlign w:val="bottom"/>
          </w:tcPr>
          <w:p>
            <w:pPr>
              <w:ind w:left="140"/>
              <w:spacing w:after="0"/>
              <w:rPr>
                <w:sz w:val="20"/>
                <w:szCs w:val="20"/>
                <w:color w:val="auto"/>
              </w:rPr>
            </w:pPr>
            <w:r>
              <w:rPr>
                <w:rFonts w:ascii="Arial" w:cs="Arial" w:eastAsia="Arial" w:hAnsi="Arial"/>
                <w:sz w:val="18"/>
                <w:szCs w:val="18"/>
                <w:color w:val="auto"/>
              </w:rPr>
              <w:t>Annual Meeting</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2.2</w:t>
            </w:r>
          </w:p>
        </w:tc>
        <w:tc>
          <w:tcPr>
            <w:tcW w:w="9240" w:type="dxa"/>
            <w:vAlign w:val="bottom"/>
          </w:tcPr>
          <w:p>
            <w:pPr>
              <w:ind w:left="140"/>
              <w:spacing w:after="0"/>
              <w:rPr>
                <w:sz w:val="20"/>
                <w:szCs w:val="20"/>
                <w:color w:val="auto"/>
              </w:rPr>
            </w:pPr>
            <w:r>
              <w:rPr>
                <w:rFonts w:ascii="Arial" w:cs="Arial" w:eastAsia="Arial" w:hAnsi="Arial"/>
                <w:sz w:val="18"/>
                <w:szCs w:val="18"/>
                <w:color w:val="auto"/>
              </w:rPr>
              <w:t>Special Meetings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2.3</w:t>
            </w:r>
          </w:p>
        </w:tc>
        <w:tc>
          <w:tcPr>
            <w:tcW w:w="9240" w:type="dxa"/>
            <w:vAlign w:val="bottom"/>
          </w:tcPr>
          <w:p>
            <w:pPr>
              <w:ind w:left="140"/>
              <w:spacing w:after="0"/>
              <w:rPr>
                <w:sz w:val="20"/>
                <w:szCs w:val="20"/>
                <w:color w:val="auto"/>
              </w:rPr>
            </w:pPr>
            <w:r>
              <w:rPr>
                <w:rFonts w:ascii="Arial" w:cs="Arial" w:eastAsia="Arial" w:hAnsi="Arial"/>
                <w:sz w:val="18"/>
                <w:szCs w:val="18"/>
                <w:color w:val="auto"/>
              </w:rPr>
              <w:t>Meetings by Communication Equipment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2.4</w:t>
            </w:r>
          </w:p>
        </w:tc>
        <w:tc>
          <w:tcPr>
            <w:tcW w:w="9240" w:type="dxa"/>
            <w:vAlign w:val="bottom"/>
          </w:tcPr>
          <w:p>
            <w:pPr>
              <w:ind w:left="140"/>
              <w:spacing w:after="0"/>
              <w:rPr>
                <w:sz w:val="20"/>
                <w:szCs w:val="20"/>
                <w:color w:val="auto"/>
              </w:rPr>
            </w:pPr>
            <w:r>
              <w:rPr>
                <w:rFonts w:ascii="Arial" w:cs="Arial" w:eastAsia="Arial" w:hAnsi="Arial"/>
                <w:sz w:val="18"/>
                <w:szCs w:val="18"/>
                <w:color w:val="auto"/>
              </w:rPr>
              <w:t>Date, Time and Place of Meeting</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2.5</w:t>
            </w:r>
          </w:p>
        </w:tc>
        <w:tc>
          <w:tcPr>
            <w:tcW w:w="9240" w:type="dxa"/>
            <w:vAlign w:val="bottom"/>
          </w:tcPr>
          <w:p>
            <w:pPr>
              <w:ind w:left="140"/>
              <w:spacing w:after="0"/>
              <w:rPr>
                <w:sz w:val="20"/>
                <w:szCs w:val="20"/>
                <w:color w:val="auto"/>
              </w:rPr>
            </w:pPr>
            <w:r>
              <w:rPr>
                <w:rFonts w:ascii="Arial" w:cs="Arial" w:eastAsia="Arial" w:hAnsi="Arial"/>
                <w:sz w:val="18"/>
                <w:szCs w:val="18"/>
                <w:color w:val="auto"/>
              </w:rPr>
              <w:t>Notice to Shareholders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2.6</w:t>
            </w:r>
          </w:p>
        </w:tc>
        <w:tc>
          <w:tcPr>
            <w:tcW w:w="9240" w:type="dxa"/>
            <w:vAlign w:val="bottom"/>
          </w:tcPr>
          <w:p>
            <w:pPr>
              <w:ind w:left="140"/>
              <w:spacing w:after="0"/>
              <w:rPr>
                <w:sz w:val="20"/>
                <w:szCs w:val="20"/>
                <w:color w:val="auto"/>
              </w:rPr>
            </w:pPr>
            <w:r>
              <w:rPr>
                <w:rFonts w:ascii="Arial" w:cs="Arial" w:eastAsia="Arial" w:hAnsi="Arial"/>
                <w:sz w:val="18"/>
                <w:szCs w:val="18"/>
                <w:color w:val="auto"/>
              </w:rPr>
              <w:t>Business for Shareholders' Meetings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2.6.1</w:t>
            </w:r>
          </w:p>
        </w:tc>
        <w:tc>
          <w:tcPr>
            <w:tcW w:w="9240" w:type="dxa"/>
            <w:vAlign w:val="bottom"/>
          </w:tcPr>
          <w:p>
            <w:pPr>
              <w:ind w:left="500"/>
              <w:spacing w:after="0"/>
              <w:rPr>
                <w:sz w:val="20"/>
                <w:szCs w:val="20"/>
                <w:color w:val="auto"/>
              </w:rPr>
            </w:pPr>
            <w:r>
              <w:rPr>
                <w:rFonts w:ascii="Arial" w:cs="Arial" w:eastAsia="Arial" w:hAnsi="Arial"/>
                <w:sz w:val="18"/>
                <w:szCs w:val="18"/>
                <w:color w:val="auto"/>
              </w:rPr>
              <w:t>Business at Annual Meetings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2.6.2</w:t>
            </w:r>
          </w:p>
        </w:tc>
        <w:tc>
          <w:tcPr>
            <w:tcW w:w="9240" w:type="dxa"/>
            <w:vAlign w:val="bottom"/>
          </w:tcPr>
          <w:p>
            <w:pPr>
              <w:ind w:left="500"/>
              <w:spacing w:after="0"/>
              <w:rPr>
                <w:sz w:val="20"/>
                <w:szCs w:val="20"/>
                <w:color w:val="auto"/>
              </w:rPr>
            </w:pPr>
            <w:r>
              <w:rPr>
                <w:rFonts w:ascii="Arial" w:cs="Arial" w:eastAsia="Arial" w:hAnsi="Arial"/>
                <w:sz w:val="18"/>
                <w:szCs w:val="18"/>
                <w:color w:val="auto"/>
              </w:rPr>
              <w:t>Business at Special Meetings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2.6.3</w:t>
            </w:r>
          </w:p>
        </w:tc>
        <w:tc>
          <w:tcPr>
            <w:tcW w:w="9240" w:type="dxa"/>
            <w:vAlign w:val="bottom"/>
          </w:tcPr>
          <w:p>
            <w:pPr>
              <w:ind w:left="500"/>
              <w:spacing w:after="0"/>
              <w:rPr>
                <w:sz w:val="20"/>
                <w:szCs w:val="20"/>
                <w:color w:val="auto"/>
              </w:rPr>
            </w:pPr>
            <w:r>
              <w:rPr>
                <w:rFonts w:ascii="Arial" w:cs="Arial" w:eastAsia="Arial" w:hAnsi="Arial"/>
                <w:sz w:val="18"/>
                <w:szCs w:val="18"/>
                <w:color w:val="auto"/>
              </w:rPr>
              <w:t>Notice to Corporation</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56"/>
        </w:trPr>
        <w:tc>
          <w:tcPr>
            <w:tcW w:w="1060" w:type="dxa"/>
            <w:vAlign w:val="bottom"/>
          </w:tcPr>
          <w:p>
            <w:pPr>
              <w:spacing w:after="0"/>
              <w:rPr>
                <w:sz w:val="22"/>
                <w:szCs w:val="22"/>
                <w:color w:val="auto"/>
              </w:rPr>
            </w:pPr>
          </w:p>
        </w:tc>
        <w:tc>
          <w:tcPr>
            <w:tcW w:w="9240" w:type="dxa"/>
            <w:vAlign w:val="bottom"/>
          </w:tcPr>
          <w:p>
            <w:pPr>
              <w:ind w:left="140"/>
              <w:spacing w:after="0"/>
              <w:rPr>
                <w:sz w:val="20"/>
                <w:szCs w:val="20"/>
                <w:color w:val="auto"/>
              </w:rPr>
            </w:pPr>
            <w:r>
              <w:rPr>
                <w:rFonts w:ascii="Arial" w:cs="Arial" w:eastAsia="Arial" w:hAnsi="Arial"/>
                <w:sz w:val="18"/>
                <w:szCs w:val="18"/>
                <w:color w:val="auto"/>
                <w:w w:val="92"/>
              </w:rPr>
              <w:t>Fixing of Record Date for Determining Shareholders Entitled to Notice of or to Vote at a Meeting or to Receive Payment of a</w:t>
            </w:r>
          </w:p>
        </w:tc>
        <w:tc>
          <w:tcPr>
            <w:tcW w:w="640" w:type="dxa"/>
            <w:vAlign w:val="bottom"/>
          </w:tcPr>
          <w:p>
            <w:pPr>
              <w:spacing w:after="0"/>
              <w:rPr>
                <w:sz w:val="22"/>
                <w:szCs w:val="22"/>
                <w:color w:val="auto"/>
              </w:rPr>
            </w:pPr>
          </w:p>
        </w:tc>
      </w:tr>
      <w:tr>
        <w:trPr>
          <w:trHeight w:val="230"/>
        </w:trPr>
        <w:tc>
          <w:tcPr>
            <w:tcW w:w="1060" w:type="dxa"/>
            <w:vAlign w:val="bottom"/>
          </w:tcPr>
          <w:p>
            <w:pPr>
              <w:ind w:left="240"/>
              <w:spacing w:after="0"/>
              <w:rPr>
                <w:sz w:val="20"/>
                <w:szCs w:val="20"/>
                <w:color w:val="auto"/>
              </w:rPr>
            </w:pPr>
            <w:r>
              <w:rPr>
                <w:rFonts w:ascii="Arial" w:cs="Arial" w:eastAsia="Arial" w:hAnsi="Arial"/>
                <w:sz w:val="18"/>
                <w:szCs w:val="18"/>
                <w:color w:val="auto"/>
              </w:rPr>
              <w:t>2.7</w:t>
            </w:r>
          </w:p>
        </w:tc>
        <w:tc>
          <w:tcPr>
            <w:tcW w:w="9240" w:type="dxa"/>
            <w:vAlign w:val="bottom"/>
          </w:tcPr>
          <w:p>
            <w:pPr>
              <w:ind w:left="140"/>
              <w:spacing w:after="0"/>
              <w:rPr>
                <w:sz w:val="20"/>
                <w:szCs w:val="20"/>
                <w:color w:val="auto"/>
              </w:rPr>
            </w:pPr>
            <w:r>
              <w:rPr>
                <w:rFonts w:ascii="Arial" w:cs="Arial" w:eastAsia="Arial" w:hAnsi="Arial"/>
                <w:sz w:val="18"/>
                <w:szCs w:val="18"/>
                <w:color w:val="auto"/>
              </w:rPr>
              <w:t>Dividend</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2.7.1</w:t>
            </w:r>
          </w:p>
        </w:tc>
        <w:tc>
          <w:tcPr>
            <w:tcW w:w="9240" w:type="dxa"/>
            <w:vAlign w:val="bottom"/>
          </w:tcPr>
          <w:p>
            <w:pPr>
              <w:ind w:left="140"/>
              <w:spacing w:after="0"/>
              <w:rPr>
                <w:sz w:val="20"/>
                <w:szCs w:val="20"/>
                <w:color w:val="auto"/>
              </w:rPr>
            </w:pPr>
            <w:r>
              <w:rPr>
                <w:rFonts w:ascii="Arial" w:cs="Arial" w:eastAsia="Arial" w:hAnsi="Arial"/>
                <w:sz w:val="18"/>
                <w:szCs w:val="18"/>
                <w:color w:val="auto"/>
              </w:rPr>
              <w:t>Record Date for Meeting of Shareholders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2.7.2</w:t>
            </w:r>
          </w:p>
        </w:tc>
        <w:tc>
          <w:tcPr>
            <w:tcW w:w="9240" w:type="dxa"/>
            <w:vAlign w:val="bottom"/>
          </w:tcPr>
          <w:p>
            <w:pPr>
              <w:ind w:left="140"/>
              <w:spacing w:after="0"/>
              <w:rPr>
                <w:sz w:val="20"/>
                <w:szCs w:val="20"/>
                <w:color w:val="auto"/>
              </w:rPr>
            </w:pPr>
            <w:r>
              <w:rPr>
                <w:rFonts w:ascii="Arial" w:cs="Arial" w:eastAsia="Arial" w:hAnsi="Arial"/>
                <w:sz w:val="18"/>
                <w:szCs w:val="18"/>
                <w:color w:val="auto"/>
              </w:rPr>
              <w:t>Record Date to Receive Payment of Dividend or Distribution</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2.8</w:t>
            </w:r>
          </w:p>
        </w:tc>
        <w:tc>
          <w:tcPr>
            <w:tcW w:w="9240" w:type="dxa"/>
            <w:vAlign w:val="bottom"/>
          </w:tcPr>
          <w:p>
            <w:pPr>
              <w:ind w:left="140"/>
              <w:spacing w:after="0"/>
              <w:rPr>
                <w:sz w:val="20"/>
                <w:szCs w:val="20"/>
                <w:color w:val="auto"/>
              </w:rPr>
            </w:pPr>
            <w:r>
              <w:rPr>
                <w:rFonts w:ascii="Arial" w:cs="Arial" w:eastAsia="Arial" w:hAnsi="Arial"/>
                <w:sz w:val="18"/>
                <w:szCs w:val="18"/>
                <w:color w:val="auto"/>
              </w:rPr>
              <w:t>Voting Record</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2.9</w:t>
            </w:r>
          </w:p>
        </w:tc>
        <w:tc>
          <w:tcPr>
            <w:tcW w:w="9240" w:type="dxa"/>
            <w:vAlign w:val="bottom"/>
          </w:tcPr>
          <w:p>
            <w:pPr>
              <w:ind w:left="140"/>
              <w:spacing w:after="0"/>
              <w:rPr>
                <w:sz w:val="20"/>
                <w:szCs w:val="20"/>
                <w:color w:val="auto"/>
              </w:rPr>
            </w:pPr>
            <w:r>
              <w:rPr>
                <w:rFonts w:ascii="Arial" w:cs="Arial" w:eastAsia="Arial" w:hAnsi="Arial"/>
                <w:sz w:val="18"/>
                <w:szCs w:val="18"/>
                <w:color w:val="auto"/>
              </w:rPr>
              <w:t>Quorum</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2.10</w:t>
            </w:r>
          </w:p>
        </w:tc>
        <w:tc>
          <w:tcPr>
            <w:tcW w:w="9240" w:type="dxa"/>
            <w:vAlign w:val="bottom"/>
          </w:tcPr>
          <w:p>
            <w:pPr>
              <w:ind w:left="140"/>
              <w:spacing w:after="0"/>
              <w:rPr>
                <w:sz w:val="20"/>
                <w:szCs w:val="20"/>
                <w:color w:val="auto"/>
              </w:rPr>
            </w:pPr>
            <w:r>
              <w:rPr>
                <w:rFonts w:ascii="Arial" w:cs="Arial" w:eastAsia="Arial" w:hAnsi="Arial"/>
                <w:sz w:val="18"/>
                <w:szCs w:val="18"/>
                <w:color w:val="auto"/>
              </w:rPr>
              <w:t>Manner of Acting</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2.10.1</w:t>
            </w:r>
          </w:p>
        </w:tc>
        <w:tc>
          <w:tcPr>
            <w:tcW w:w="9240" w:type="dxa"/>
            <w:vAlign w:val="bottom"/>
          </w:tcPr>
          <w:p>
            <w:pPr>
              <w:ind w:left="500"/>
              <w:spacing w:after="0"/>
              <w:rPr>
                <w:sz w:val="20"/>
                <w:szCs w:val="20"/>
                <w:color w:val="auto"/>
              </w:rPr>
            </w:pPr>
            <w:r>
              <w:rPr>
                <w:rFonts w:ascii="Arial" w:cs="Arial" w:eastAsia="Arial" w:hAnsi="Arial"/>
                <w:sz w:val="18"/>
                <w:szCs w:val="18"/>
                <w:color w:val="auto"/>
              </w:rPr>
              <w:t>Matters Other Than the Election of Directors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2.10.2</w:t>
            </w:r>
          </w:p>
        </w:tc>
        <w:tc>
          <w:tcPr>
            <w:tcW w:w="9240" w:type="dxa"/>
            <w:vAlign w:val="bottom"/>
          </w:tcPr>
          <w:p>
            <w:pPr>
              <w:ind w:left="500"/>
              <w:spacing w:after="0"/>
              <w:rPr>
                <w:sz w:val="20"/>
                <w:szCs w:val="20"/>
                <w:color w:val="auto"/>
              </w:rPr>
            </w:pPr>
            <w:r>
              <w:rPr>
                <w:rFonts w:ascii="Arial" w:cs="Arial" w:eastAsia="Arial" w:hAnsi="Arial"/>
                <w:sz w:val="18"/>
                <w:szCs w:val="18"/>
                <w:color w:val="auto"/>
              </w:rPr>
              <w:t>Election of Directors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2.11</w:t>
            </w:r>
          </w:p>
        </w:tc>
        <w:tc>
          <w:tcPr>
            <w:tcW w:w="9240" w:type="dxa"/>
            <w:vAlign w:val="bottom"/>
          </w:tcPr>
          <w:p>
            <w:pPr>
              <w:ind w:left="140"/>
              <w:spacing w:after="0"/>
              <w:rPr>
                <w:sz w:val="20"/>
                <w:szCs w:val="20"/>
                <w:color w:val="auto"/>
              </w:rPr>
            </w:pPr>
            <w:r>
              <w:rPr>
                <w:rFonts w:ascii="Arial" w:cs="Arial" w:eastAsia="Arial" w:hAnsi="Arial"/>
                <w:sz w:val="18"/>
                <w:szCs w:val="18"/>
                <w:color w:val="auto"/>
              </w:rPr>
              <w:t>Proxies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2.11.1</w:t>
            </w:r>
          </w:p>
        </w:tc>
        <w:tc>
          <w:tcPr>
            <w:tcW w:w="9240" w:type="dxa"/>
            <w:vAlign w:val="bottom"/>
          </w:tcPr>
          <w:p>
            <w:pPr>
              <w:ind w:left="380"/>
              <w:spacing w:after="0"/>
              <w:rPr>
                <w:sz w:val="20"/>
                <w:szCs w:val="20"/>
                <w:color w:val="auto"/>
              </w:rPr>
            </w:pPr>
            <w:r>
              <w:rPr>
                <w:rFonts w:ascii="Arial" w:cs="Arial" w:eastAsia="Arial" w:hAnsi="Arial"/>
                <w:sz w:val="18"/>
                <w:szCs w:val="18"/>
                <w:color w:val="auto"/>
              </w:rPr>
              <w:t>Written Authorization</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2.11.2</w:t>
            </w:r>
          </w:p>
        </w:tc>
        <w:tc>
          <w:tcPr>
            <w:tcW w:w="9240" w:type="dxa"/>
            <w:vAlign w:val="bottom"/>
          </w:tcPr>
          <w:p>
            <w:pPr>
              <w:ind w:left="380"/>
              <w:spacing w:after="0"/>
              <w:rPr>
                <w:sz w:val="20"/>
                <w:szCs w:val="20"/>
                <w:color w:val="auto"/>
              </w:rPr>
            </w:pPr>
            <w:r>
              <w:rPr>
                <w:rFonts w:ascii="Arial" w:cs="Arial" w:eastAsia="Arial" w:hAnsi="Arial"/>
                <w:sz w:val="18"/>
                <w:szCs w:val="18"/>
                <w:color w:val="auto"/>
              </w:rPr>
              <w:t>Recorded Telephone Call, Voice Mail or Other Electronic Transmission</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2.11.3</w:t>
            </w:r>
          </w:p>
        </w:tc>
        <w:tc>
          <w:tcPr>
            <w:tcW w:w="9240" w:type="dxa"/>
            <w:vAlign w:val="bottom"/>
          </w:tcPr>
          <w:p>
            <w:pPr>
              <w:ind w:left="380"/>
              <w:spacing w:after="0"/>
              <w:rPr>
                <w:sz w:val="20"/>
                <w:szCs w:val="20"/>
                <w:color w:val="auto"/>
              </w:rPr>
            </w:pPr>
            <w:r>
              <w:rPr>
                <w:rFonts w:ascii="Arial" w:cs="Arial" w:eastAsia="Arial" w:hAnsi="Arial"/>
                <w:sz w:val="18"/>
                <w:szCs w:val="18"/>
                <w:color w:val="auto"/>
              </w:rPr>
              <w:t>Effectiveness of Appointment of Proxy</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2.11.4</w:t>
            </w:r>
          </w:p>
        </w:tc>
        <w:tc>
          <w:tcPr>
            <w:tcW w:w="9240" w:type="dxa"/>
            <w:vAlign w:val="bottom"/>
          </w:tcPr>
          <w:p>
            <w:pPr>
              <w:ind w:left="380"/>
              <w:spacing w:after="0"/>
              <w:rPr>
                <w:sz w:val="20"/>
                <w:szCs w:val="20"/>
                <w:color w:val="auto"/>
              </w:rPr>
            </w:pPr>
            <w:r>
              <w:rPr>
                <w:rFonts w:ascii="Arial" w:cs="Arial" w:eastAsia="Arial" w:hAnsi="Arial"/>
                <w:sz w:val="18"/>
                <w:szCs w:val="18"/>
                <w:color w:val="auto"/>
              </w:rPr>
              <w:t>Revocability of Proxy</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2.11.5</w:t>
            </w:r>
          </w:p>
        </w:tc>
        <w:tc>
          <w:tcPr>
            <w:tcW w:w="9240" w:type="dxa"/>
            <w:vAlign w:val="bottom"/>
          </w:tcPr>
          <w:p>
            <w:pPr>
              <w:ind w:left="380"/>
              <w:spacing w:after="0"/>
              <w:rPr>
                <w:sz w:val="20"/>
                <w:szCs w:val="20"/>
                <w:color w:val="auto"/>
              </w:rPr>
            </w:pPr>
            <w:r>
              <w:rPr>
                <w:rFonts w:ascii="Arial" w:cs="Arial" w:eastAsia="Arial" w:hAnsi="Arial"/>
                <w:sz w:val="18"/>
                <w:szCs w:val="18"/>
                <w:color w:val="auto"/>
              </w:rPr>
              <w:t>Death or Incapactiy of Shareholder Appointing a Proxy</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2.11.6</w:t>
            </w:r>
          </w:p>
        </w:tc>
        <w:tc>
          <w:tcPr>
            <w:tcW w:w="9240" w:type="dxa"/>
            <w:vAlign w:val="bottom"/>
          </w:tcPr>
          <w:p>
            <w:pPr>
              <w:ind w:left="380"/>
              <w:spacing w:after="0"/>
              <w:rPr>
                <w:sz w:val="20"/>
                <w:szCs w:val="20"/>
                <w:color w:val="auto"/>
              </w:rPr>
            </w:pPr>
            <w:r>
              <w:rPr>
                <w:rFonts w:ascii="Arial" w:cs="Arial" w:eastAsia="Arial" w:hAnsi="Arial"/>
                <w:sz w:val="18"/>
                <w:szCs w:val="18"/>
                <w:color w:val="auto"/>
              </w:rPr>
              <w:t>Acceptance of Proxy's Vote or Action</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2.11.7</w:t>
            </w:r>
          </w:p>
        </w:tc>
        <w:tc>
          <w:tcPr>
            <w:tcW w:w="9240" w:type="dxa"/>
            <w:vAlign w:val="bottom"/>
          </w:tcPr>
          <w:p>
            <w:pPr>
              <w:ind w:left="380"/>
              <w:spacing w:after="0"/>
              <w:rPr>
                <w:sz w:val="20"/>
                <w:szCs w:val="20"/>
                <w:color w:val="auto"/>
              </w:rPr>
            </w:pPr>
            <w:r>
              <w:rPr>
                <w:rFonts w:ascii="Arial" w:cs="Arial" w:eastAsia="Arial" w:hAnsi="Arial"/>
                <w:sz w:val="18"/>
                <w:szCs w:val="18"/>
                <w:color w:val="auto"/>
              </w:rPr>
              <w:t>Meaning of Sign or Signature</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2.12</w:t>
            </w:r>
          </w:p>
        </w:tc>
        <w:tc>
          <w:tcPr>
            <w:tcW w:w="9240" w:type="dxa"/>
            <w:vAlign w:val="bottom"/>
          </w:tcPr>
          <w:p>
            <w:pPr>
              <w:ind w:left="140"/>
              <w:spacing w:after="0"/>
              <w:rPr>
                <w:sz w:val="20"/>
                <w:szCs w:val="20"/>
                <w:color w:val="auto"/>
              </w:rPr>
            </w:pPr>
            <w:r>
              <w:rPr>
                <w:rFonts w:ascii="Arial" w:cs="Arial" w:eastAsia="Arial" w:hAnsi="Arial"/>
                <w:sz w:val="18"/>
                <w:szCs w:val="18"/>
                <w:color w:val="auto"/>
              </w:rPr>
              <w:t>Voting of Shares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2.13</w:t>
            </w:r>
          </w:p>
        </w:tc>
        <w:tc>
          <w:tcPr>
            <w:tcW w:w="9240" w:type="dxa"/>
            <w:vAlign w:val="bottom"/>
          </w:tcPr>
          <w:p>
            <w:pPr>
              <w:ind w:left="140"/>
              <w:spacing w:after="0"/>
              <w:rPr>
                <w:sz w:val="20"/>
                <w:szCs w:val="20"/>
                <w:color w:val="auto"/>
              </w:rPr>
            </w:pPr>
            <w:r>
              <w:rPr>
                <w:rFonts w:ascii="Arial" w:cs="Arial" w:eastAsia="Arial" w:hAnsi="Arial"/>
                <w:sz w:val="18"/>
                <w:szCs w:val="18"/>
                <w:color w:val="auto"/>
              </w:rPr>
              <w:t>Voting for Directors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10300" w:type="dxa"/>
            <w:vAlign w:val="bottom"/>
            <w:gridSpan w:val="2"/>
          </w:tcPr>
          <w:p>
            <w:pPr>
              <w:spacing w:after="0"/>
              <w:rPr>
                <w:sz w:val="20"/>
                <w:szCs w:val="20"/>
                <w:color w:val="auto"/>
              </w:rPr>
            </w:pPr>
            <w:r>
              <w:rPr>
                <w:rFonts w:ascii="Arial" w:cs="Arial" w:eastAsia="Arial" w:hAnsi="Arial"/>
                <w:sz w:val="18"/>
                <w:szCs w:val="18"/>
                <w:color w:val="auto"/>
              </w:rPr>
              <w:t>SECTION 3. BOARD OF DIRECTORS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3.1</w:t>
            </w:r>
          </w:p>
        </w:tc>
        <w:tc>
          <w:tcPr>
            <w:tcW w:w="9240" w:type="dxa"/>
            <w:vAlign w:val="bottom"/>
          </w:tcPr>
          <w:p>
            <w:pPr>
              <w:ind w:left="140"/>
              <w:spacing w:after="0"/>
              <w:rPr>
                <w:sz w:val="20"/>
                <w:szCs w:val="20"/>
                <w:color w:val="auto"/>
              </w:rPr>
            </w:pPr>
            <w:r>
              <w:rPr>
                <w:rFonts w:ascii="Arial" w:cs="Arial" w:eastAsia="Arial" w:hAnsi="Arial"/>
                <w:sz w:val="18"/>
                <w:szCs w:val="18"/>
                <w:color w:val="auto"/>
              </w:rPr>
              <w:t>General Powers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3.2</w:t>
            </w:r>
          </w:p>
        </w:tc>
        <w:tc>
          <w:tcPr>
            <w:tcW w:w="9240" w:type="dxa"/>
            <w:vAlign w:val="bottom"/>
          </w:tcPr>
          <w:p>
            <w:pPr>
              <w:ind w:left="140"/>
              <w:spacing w:after="0"/>
              <w:rPr>
                <w:sz w:val="20"/>
                <w:szCs w:val="20"/>
                <w:color w:val="auto"/>
              </w:rPr>
            </w:pPr>
            <w:r>
              <w:rPr>
                <w:rFonts w:ascii="Arial" w:cs="Arial" w:eastAsia="Arial" w:hAnsi="Arial"/>
                <w:sz w:val="18"/>
                <w:szCs w:val="18"/>
                <w:color w:val="auto"/>
              </w:rPr>
              <w:t>Number and Tenure</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3.3</w:t>
            </w:r>
          </w:p>
        </w:tc>
        <w:tc>
          <w:tcPr>
            <w:tcW w:w="9240" w:type="dxa"/>
            <w:vAlign w:val="bottom"/>
          </w:tcPr>
          <w:p>
            <w:pPr>
              <w:ind w:left="140"/>
              <w:spacing w:after="0"/>
              <w:rPr>
                <w:sz w:val="20"/>
                <w:szCs w:val="20"/>
                <w:color w:val="auto"/>
              </w:rPr>
            </w:pPr>
            <w:r>
              <w:rPr>
                <w:rFonts w:ascii="Arial" w:cs="Arial" w:eastAsia="Arial" w:hAnsi="Arial"/>
                <w:sz w:val="18"/>
                <w:szCs w:val="18"/>
                <w:color w:val="auto"/>
              </w:rPr>
              <w:t>Nomination and Election</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3.3.1</w:t>
            </w:r>
          </w:p>
        </w:tc>
        <w:tc>
          <w:tcPr>
            <w:tcW w:w="9240" w:type="dxa"/>
            <w:vAlign w:val="bottom"/>
          </w:tcPr>
          <w:p>
            <w:pPr>
              <w:ind w:left="500"/>
              <w:spacing w:after="0"/>
              <w:rPr>
                <w:sz w:val="20"/>
                <w:szCs w:val="20"/>
                <w:color w:val="auto"/>
              </w:rPr>
            </w:pPr>
            <w:r>
              <w:rPr>
                <w:rFonts w:ascii="Arial" w:cs="Arial" w:eastAsia="Arial" w:hAnsi="Arial"/>
                <w:sz w:val="18"/>
                <w:szCs w:val="18"/>
                <w:color w:val="auto"/>
              </w:rPr>
              <w:t>Nomination</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3.3.2</w:t>
            </w:r>
          </w:p>
        </w:tc>
        <w:tc>
          <w:tcPr>
            <w:tcW w:w="9240" w:type="dxa"/>
            <w:vAlign w:val="bottom"/>
          </w:tcPr>
          <w:p>
            <w:pPr>
              <w:ind w:left="500"/>
              <w:spacing w:after="0"/>
              <w:rPr>
                <w:sz w:val="20"/>
                <w:szCs w:val="20"/>
                <w:color w:val="auto"/>
              </w:rPr>
            </w:pPr>
            <w:r>
              <w:rPr>
                <w:rFonts w:ascii="Arial" w:cs="Arial" w:eastAsia="Arial" w:hAnsi="Arial"/>
                <w:sz w:val="18"/>
                <w:szCs w:val="18"/>
                <w:color w:val="auto"/>
              </w:rPr>
              <w:t>Election</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3.4</w:t>
            </w:r>
          </w:p>
        </w:tc>
        <w:tc>
          <w:tcPr>
            <w:tcW w:w="9240" w:type="dxa"/>
            <w:vAlign w:val="bottom"/>
          </w:tcPr>
          <w:p>
            <w:pPr>
              <w:ind w:left="140"/>
              <w:spacing w:after="0"/>
              <w:rPr>
                <w:sz w:val="20"/>
                <w:szCs w:val="20"/>
                <w:color w:val="auto"/>
              </w:rPr>
            </w:pPr>
            <w:r>
              <w:rPr>
                <w:rFonts w:ascii="Arial" w:cs="Arial" w:eastAsia="Arial" w:hAnsi="Arial"/>
                <w:sz w:val="18"/>
                <w:szCs w:val="18"/>
                <w:color w:val="auto"/>
              </w:rPr>
              <w:t>Annual and Regular Meetings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3.5</w:t>
            </w:r>
          </w:p>
        </w:tc>
        <w:tc>
          <w:tcPr>
            <w:tcW w:w="9240" w:type="dxa"/>
            <w:vAlign w:val="bottom"/>
          </w:tcPr>
          <w:p>
            <w:pPr>
              <w:ind w:left="140"/>
              <w:spacing w:after="0"/>
              <w:rPr>
                <w:sz w:val="20"/>
                <w:szCs w:val="20"/>
                <w:color w:val="auto"/>
              </w:rPr>
            </w:pPr>
            <w:r>
              <w:rPr>
                <w:rFonts w:ascii="Arial" w:cs="Arial" w:eastAsia="Arial" w:hAnsi="Arial"/>
                <w:sz w:val="18"/>
                <w:szCs w:val="18"/>
                <w:color w:val="auto"/>
              </w:rPr>
              <w:t>Special Meetings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3.6</w:t>
            </w:r>
          </w:p>
        </w:tc>
        <w:tc>
          <w:tcPr>
            <w:tcW w:w="9240" w:type="dxa"/>
            <w:vAlign w:val="bottom"/>
          </w:tcPr>
          <w:p>
            <w:pPr>
              <w:ind w:left="140"/>
              <w:spacing w:after="0"/>
              <w:rPr>
                <w:sz w:val="20"/>
                <w:szCs w:val="20"/>
                <w:color w:val="auto"/>
              </w:rPr>
            </w:pPr>
            <w:r>
              <w:rPr>
                <w:rFonts w:ascii="Arial" w:cs="Arial" w:eastAsia="Arial" w:hAnsi="Arial"/>
                <w:sz w:val="18"/>
                <w:szCs w:val="18"/>
                <w:color w:val="auto"/>
              </w:rPr>
              <w:t>Meetings by Communications Equipment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3.7</w:t>
            </w:r>
          </w:p>
        </w:tc>
        <w:tc>
          <w:tcPr>
            <w:tcW w:w="9240" w:type="dxa"/>
            <w:vAlign w:val="bottom"/>
          </w:tcPr>
          <w:p>
            <w:pPr>
              <w:ind w:left="140"/>
              <w:spacing w:after="0"/>
              <w:rPr>
                <w:sz w:val="20"/>
                <w:szCs w:val="20"/>
                <w:color w:val="auto"/>
              </w:rPr>
            </w:pPr>
            <w:r>
              <w:rPr>
                <w:rFonts w:ascii="Arial" w:cs="Arial" w:eastAsia="Arial" w:hAnsi="Arial"/>
                <w:sz w:val="18"/>
                <w:szCs w:val="18"/>
                <w:color w:val="auto"/>
              </w:rPr>
              <w:t>Notice of Special Meetings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3.7.1</w:t>
            </w:r>
          </w:p>
        </w:tc>
        <w:tc>
          <w:tcPr>
            <w:tcW w:w="9240" w:type="dxa"/>
            <w:vAlign w:val="bottom"/>
          </w:tcPr>
          <w:p>
            <w:pPr>
              <w:ind w:left="500"/>
              <w:spacing w:after="0"/>
              <w:rPr>
                <w:sz w:val="20"/>
                <w:szCs w:val="20"/>
                <w:color w:val="auto"/>
              </w:rPr>
            </w:pPr>
            <w:r>
              <w:rPr>
                <w:rFonts w:ascii="Arial" w:cs="Arial" w:eastAsia="Arial" w:hAnsi="Arial"/>
                <w:sz w:val="18"/>
                <w:szCs w:val="18"/>
                <w:color w:val="auto"/>
              </w:rPr>
              <w:t>Personal Delivery</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3.7.2</w:t>
            </w:r>
          </w:p>
        </w:tc>
        <w:tc>
          <w:tcPr>
            <w:tcW w:w="9240" w:type="dxa"/>
            <w:vAlign w:val="bottom"/>
          </w:tcPr>
          <w:p>
            <w:pPr>
              <w:ind w:left="500"/>
              <w:spacing w:after="0"/>
              <w:rPr>
                <w:sz w:val="20"/>
                <w:szCs w:val="20"/>
                <w:color w:val="auto"/>
              </w:rPr>
            </w:pPr>
            <w:r>
              <w:rPr>
                <w:rFonts w:ascii="Arial" w:cs="Arial" w:eastAsia="Arial" w:hAnsi="Arial"/>
                <w:sz w:val="18"/>
                <w:szCs w:val="18"/>
                <w:color w:val="auto"/>
              </w:rPr>
              <w:t>Delivery by Mail</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3.7.3</w:t>
            </w:r>
          </w:p>
        </w:tc>
        <w:tc>
          <w:tcPr>
            <w:tcW w:w="9240" w:type="dxa"/>
            <w:vAlign w:val="bottom"/>
          </w:tcPr>
          <w:p>
            <w:pPr>
              <w:ind w:left="500"/>
              <w:spacing w:after="0"/>
              <w:rPr>
                <w:sz w:val="20"/>
                <w:szCs w:val="20"/>
                <w:color w:val="auto"/>
              </w:rPr>
            </w:pPr>
            <w:r>
              <w:rPr>
                <w:rFonts w:ascii="Arial" w:cs="Arial" w:eastAsia="Arial" w:hAnsi="Arial"/>
                <w:sz w:val="18"/>
                <w:szCs w:val="18"/>
                <w:color w:val="auto"/>
              </w:rPr>
              <w:t>Delivery by Private Carrier</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3.7.4</w:t>
            </w:r>
          </w:p>
        </w:tc>
        <w:tc>
          <w:tcPr>
            <w:tcW w:w="9240" w:type="dxa"/>
            <w:vAlign w:val="bottom"/>
          </w:tcPr>
          <w:p>
            <w:pPr>
              <w:ind w:left="500"/>
              <w:spacing w:after="0"/>
              <w:rPr>
                <w:sz w:val="20"/>
                <w:szCs w:val="20"/>
                <w:color w:val="auto"/>
              </w:rPr>
            </w:pPr>
            <w:r>
              <w:rPr>
                <w:rFonts w:ascii="Arial" w:cs="Arial" w:eastAsia="Arial" w:hAnsi="Arial"/>
                <w:sz w:val="18"/>
                <w:szCs w:val="18"/>
                <w:color w:val="auto"/>
              </w:rPr>
              <w:t>Facsimile Notice</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0940"/>
          </w:cols>
          <w:pgMar w:left="500" w:top="585" w:right="459" w:bottom="1440" w:gutter="0" w:footer="0" w:header="0"/>
        </w:sectPr>
      </w:pPr>
    </w:p>
    <w:bookmarkStart w:id="167" w:name="page168"/>
    <w:bookmarkEnd w:id="1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ind w:left="460"/>
              <w:spacing w:after="0"/>
              <w:rPr>
                <w:sz w:val="20"/>
                <w:szCs w:val="20"/>
                <w:color w:val="auto"/>
              </w:rPr>
            </w:pPr>
            <w:r>
              <w:rPr>
                <w:rFonts w:ascii="Arial" w:cs="Arial" w:eastAsia="Arial" w:hAnsi="Arial"/>
                <w:sz w:val="18"/>
                <w:szCs w:val="18"/>
                <w:color w:val="auto"/>
              </w:rPr>
              <w:t>3.7.5</w:t>
            </w:r>
          </w:p>
        </w:tc>
        <w:tc>
          <w:tcPr>
            <w:tcW w:w="6920" w:type="dxa"/>
            <w:vAlign w:val="bottom"/>
          </w:tcPr>
          <w:p>
            <w:pPr>
              <w:ind w:left="500"/>
              <w:spacing w:after="0"/>
              <w:rPr>
                <w:sz w:val="20"/>
                <w:szCs w:val="20"/>
                <w:color w:val="auto"/>
              </w:rPr>
            </w:pPr>
            <w:r>
              <w:rPr>
                <w:rFonts w:ascii="Arial" w:cs="Arial" w:eastAsia="Arial" w:hAnsi="Arial"/>
                <w:sz w:val="18"/>
                <w:szCs w:val="18"/>
                <w:color w:val="auto"/>
              </w:rPr>
              <w:t>Delivery by Telegraph</w:t>
            </w:r>
          </w:p>
        </w:tc>
        <w:tc>
          <w:tcPr>
            <w:tcW w:w="2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3.7.6</w:t>
            </w:r>
          </w:p>
        </w:tc>
        <w:tc>
          <w:tcPr>
            <w:tcW w:w="6920" w:type="dxa"/>
            <w:vAlign w:val="bottom"/>
          </w:tcPr>
          <w:p>
            <w:pPr>
              <w:ind w:left="500"/>
              <w:spacing w:after="0"/>
              <w:rPr>
                <w:sz w:val="20"/>
                <w:szCs w:val="20"/>
                <w:color w:val="auto"/>
              </w:rPr>
            </w:pPr>
            <w:r>
              <w:rPr>
                <w:rFonts w:ascii="Arial" w:cs="Arial" w:eastAsia="Arial" w:hAnsi="Arial"/>
                <w:sz w:val="18"/>
                <w:szCs w:val="18"/>
                <w:color w:val="auto"/>
              </w:rPr>
              <w:t>Delivery by Email</w:t>
            </w:r>
          </w:p>
        </w:tc>
        <w:tc>
          <w:tcPr>
            <w:tcW w:w="2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3.7.7</w:t>
            </w:r>
          </w:p>
        </w:tc>
        <w:tc>
          <w:tcPr>
            <w:tcW w:w="6920" w:type="dxa"/>
            <w:vAlign w:val="bottom"/>
          </w:tcPr>
          <w:p>
            <w:pPr>
              <w:ind w:left="500"/>
              <w:spacing w:after="0"/>
              <w:rPr>
                <w:sz w:val="20"/>
                <w:szCs w:val="20"/>
                <w:color w:val="auto"/>
              </w:rPr>
            </w:pPr>
            <w:r>
              <w:rPr>
                <w:rFonts w:ascii="Arial" w:cs="Arial" w:eastAsia="Arial" w:hAnsi="Arial"/>
                <w:sz w:val="18"/>
                <w:szCs w:val="18"/>
                <w:color w:val="auto"/>
              </w:rPr>
              <w:t>Oral Notice</w:t>
            </w:r>
          </w:p>
        </w:tc>
        <w:tc>
          <w:tcPr>
            <w:tcW w:w="2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3.8</w:t>
            </w:r>
          </w:p>
        </w:tc>
        <w:tc>
          <w:tcPr>
            <w:tcW w:w="6920" w:type="dxa"/>
            <w:vAlign w:val="bottom"/>
          </w:tcPr>
          <w:p>
            <w:pPr>
              <w:ind w:left="140"/>
              <w:spacing w:after="0"/>
              <w:rPr>
                <w:sz w:val="20"/>
                <w:szCs w:val="20"/>
                <w:color w:val="auto"/>
              </w:rPr>
            </w:pPr>
            <w:r>
              <w:rPr>
                <w:rFonts w:ascii="Arial" w:cs="Arial" w:eastAsia="Arial" w:hAnsi="Arial"/>
                <w:sz w:val="18"/>
                <w:szCs w:val="18"/>
                <w:color w:val="auto"/>
              </w:rPr>
              <w:t>Waiver of Notice</w:t>
            </w:r>
          </w:p>
        </w:tc>
        <w:tc>
          <w:tcPr>
            <w:tcW w:w="2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3.8.1</w:t>
            </w:r>
          </w:p>
        </w:tc>
        <w:tc>
          <w:tcPr>
            <w:tcW w:w="6920" w:type="dxa"/>
            <w:vAlign w:val="bottom"/>
          </w:tcPr>
          <w:p>
            <w:pPr>
              <w:ind w:left="500"/>
              <w:spacing w:after="0"/>
              <w:rPr>
                <w:sz w:val="20"/>
                <w:szCs w:val="20"/>
                <w:color w:val="auto"/>
              </w:rPr>
            </w:pPr>
            <w:r>
              <w:rPr>
                <w:rFonts w:ascii="Arial" w:cs="Arial" w:eastAsia="Arial" w:hAnsi="Arial"/>
                <w:sz w:val="18"/>
                <w:szCs w:val="18"/>
                <w:color w:val="auto"/>
              </w:rPr>
              <w:t>In Writing</w:t>
            </w:r>
          </w:p>
        </w:tc>
        <w:tc>
          <w:tcPr>
            <w:tcW w:w="2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3.8.2</w:t>
            </w:r>
          </w:p>
        </w:tc>
        <w:tc>
          <w:tcPr>
            <w:tcW w:w="6920" w:type="dxa"/>
            <w:vAlign w:val="bottom"/>
          </w:tcPr>
          <w:p>
            <w:pPr>
              <w:ind w:left="500"/>
              <w:spacing w:after="0"/>
              <w:rPr>
                <w:sz w:val="20"/>
                <w:szCs w:val="20"/>
                <w:color w:val="auto"/>
              </w:rPr>
            </w:pPr>
            <w:r>
              <w:rPr>
                <w:rFonts w:ascii="Arial" w:cs="Arial" w:eastAsia="Arial" w:hAnsi="Arial"/>
                <w:sz w:val="18"/>
                <w:szCs w:val="18"/>
                <w:color w:val="auto"/>
              </w:rPr>
              <w:t>By Attendance</w:t>
            </w:r>
          </w:p>
        </w:tc>
        <w:tc>
          <w:tcPr>
            <w:tcW w:w="2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3.9</w:t>
            </w:r>
          </w:p>
        </w:tc>
        <w:tc>
          <w:tcPr>
            <w:tcW w:w="6920" w:type="dxa"/>
            <w:vAlign w:val="bottom"/>
          </w:tcPr>
          <w:p>
            <w:pPr>
              <w:ind w:left="140"/>
              <w:spacing w:after="0"/>
              <w:rPr>
                <w:sz w:val="20"/>
                <w:szCs w:val="20"/>
                <w:color w:val="auto"/>
              </w:rPr>
            </w:pPr>
            <w:r>
              <w:rPr>
                <w:rFonts w:ascii="Arial" w:cs="Arial" w:eastAsia="Arial" w:hAnsi="Arial"/>
                <w:sz w:val="18"/>
                <w:szCs w:val="18"/>
                <w:color w:val="auto"/>
              </w:rPr>
              <w:t>Quorum</w:t>
            </w:r>
          </w:p>
        </w:tc>
        <w:tc>
          <w:tcPr>
            <w:tcW w:w="2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3.10</w:t>
            </w:r>
          </w:p>
        </w:tc>
        <w:tc>
          <w:tcPr>
            <w:tcW w:w="6920" w:type="dxa"/>
            <w:vAlign w:val="bottom"/>
          </w:tcPr>
          <w:p>
            <w:pPr>
              <w:ind w:left="140"/>
              <w:spacing w:after="0"/>
              <w:rPr>
                <w:sz w:val="20"/>
                <w:szCs w:val="20"/>
                <w:color w:val="auto"/>
              </w:rPr>
            </w:pPr>
            <w:r>
              <w:rPr>
                <w:rFonts w:ascii="Arial" w:cs="Arial" w:eastAsia="Arial" w:hAnsi="Arial"/>
                <w:sz w:val="18"/>
                <w:szCs w:val="18"/>
                <w:color w:val="auto"/>
              </w:rPr>
              <w:t>Manner of Acting</w:t>
            </w:r>
          </w:p>
        </w:tc>
        <w:tc>
          <w:tcPr>
            <w:tcW w:w="2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3.11</w:t>
            </w:r>
          </w:p>
        </w:tc>
        <w:tc>
          <w:tcPr>
            <w:tcW w:w="6920" w:type="dxa"/>
            <w:vAlign w:val="bottom"/>
          </w:tcPr>
          <w:p>
            <w:pPr>
              <w:ind w:left="140"/>
              <w:spacing w:after="0"/>
              <w:rPr>
                <w:sz w:val="20"/>
                <w:szCs w:val="20"/>
                <w:color w:val="auto"/>
              </w:rPr>
            </w:pPr>
            <w:r>
              <w:rPr>
                <w:rFonts w:ascii="Arial" w:cs="Arial" w:eastAsia="Arial" w:hAnsi="Arial"/>
                <w:sz w:val="18"/>
                <w:szCs w:val="18"/>
                <w:color w:val="auto"/>
              </w:rPr>
              <w:t>Presumption of Assent</w:t>
            </w:r>
          </w:p>
        </w:tc>
        <w:tc>
          <w:tcPr>
            <w:tcW w:w="2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3.12</w:t>
            </w:r>
          </w:p>
        </w:tc>
        <w:tc>
          <w:tcPr>
            <w:tcW w:w="6920" w:type="dxa"/>
            <w:vAlign w:val="bottom"/>
          </w:tcPr>
          <w:p>
            <w:pPr>
              <w:ind w:left="140"/>
              <w:spacing w:after="0"/>
              <w:rPr>
                <w:sz w:val="20"/>
                <w:szCs w:val="20"/>
                <w:color w:val="auto"/>
              </w:rPr>
            </w:pPr>
            <w:r>
              <w:rPr>
                <w:rFonts w:ascii="Arial" w:cs="Arial" w:eastAsia="Arial" w:hAnsi="Arial"/>
                <w:sz w:val="18"/>
                <w:szCs w:val="18"/>
                <w:color w:val="auto"/>
              </w:rPr>
              <w:t>Action by Board or Committees Without a Meeting</w:t>
            </w:r>
          </w:p>
        </w:tc>
        <w:tc>
          <w:tcPr>
            <w:tcW w:w="2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3.13</w:t>
            </w:r>
          </w:p>
        </w:tc>
        <w:tc>
          <w:tcPr>
            <w:tcW w:w="6920" w:type="dxa"/>
            <w:vAlign w:val="bottom"/>
          </w:tcPr>
          <w:p>
            <w:pPr>
              <w:ind w:left="140"/>
              <w:spacing w:after="0"/>
              <w:rPr>
                <w:sz w:val="20"/>
                <w:szCs w:val="20"/>
                <w:color w:val="auto"/>
              </w:rPr>
            </w:pPr>
            <w:r>
              <w:rPr>
                <w:rFonts w:ascii="Arial" w:cs="Arial" w:eastAsia="Arial" w:hAnsi="Arial"/>
                <w:sz w:val="18"/>
                <w:szCs w:val="18"/>
                <w:color w:val="auto"/>
              </w:rPr>
              <w:t>Resignation</w:t>
            </w:r>
          </w:p>
        </w:tc>
        <w:tc>
          <w:tcPr>
            <w:tcW w:w="2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3.14</w:t>
            </w:r>
          </w:p>
        </w:tc>
        <w:tc>
          <w:tcPr>
            <w:tcW w:w="6920" w:type="dxa"/>
            <w:vAlign w:val="bottom"/>
          </w:tcPr>
          <w:p>
            <w:pPr>
              <w:ind w:left="140"/>
              <w:spacing w:after="0"/>
              <w:rPr>
                <w:sz w:val="20"/>
                <w:szCs w:val="20"/>
                <w:color w:val="auto"/>
              </w:rPr>
            </w:pPr>
            <w:r>
              <w:rPr>
                <w:rFonts w:ascii="Arial" w:cs="Arial" w:eastAsia="Arial" w:hAnsi="Arial"/>
                <w:sz w:val="18"/>
                <w:szCs w:val="18"/>
                <w:color w:val="auto"/>
              </w:rPr>
              <w:t>Removal</w:t>
            </w:r>
          </w:p>
        </w:tc>
        <w:tc>
          <w:tcPr>
            <w:tcW w:w="2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3.15</w:t>
            </w:r>
          </w:p>
        </w:tc>
        <w:tc>
          <w:tcPr>
            <w:tcW w:w="6920" w:type="dxa"/>
            <w:vAlign w:val="bottom"/>
          </w:tcPr>
          <w:p>
            <w:pPr>
              <w:ind w:left="140"/>
              <w:spacing w:after="0"/>
              <w:rPr>
                <w:sz w:val="20"/>
                <w:szCs w:val="20"/>
                <w:color w:val="auto"/>
              </w:rPr>
            </w:pPr>
            <w:r>
              <w:rPr>
                <w:rFonts w:ascii="Arial" w:cs="Arial" w:eastAsia="Arial" w:hAnsi="Arial"/>
                <w:sz w:val="18"/>
                <w:szCs w:val="18"/>
                <w:color w:val="auto"/>
              </w:rPr>
              <w:t>Vacancies</w:t>
            </w:r>
          </w:p>
        </w:tc>
        <w:tc>
          <w:tcPr>
            <w:tcW w:w="2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3.16</w:t>
            </w:r>
          </w:p>
        </w:tc>
        <w:tc>
          <w:tcPr>
            <w:tcW w:w="6920" w:type="dxa"/>
            <w:vAlign w:val="bottom"/>
          </w:tcPr>
          <w:p>
            <w:pPr>
              <w:ind w:left="140"/>
              <w:spacing w:after="0"/>
              <w:rPr>
                <w:sz w:val="20"/>
                <w:szCs w:val="20"/>
                <w:color w:val="auto"/>
              </w:rPr>
            </w:pPr>
            <w:r>
              <w:rPr>
                <w:rFonts w:ascii="Arial" w:cs="Arial" w:eastAsia="Arial" w:hAnsi="Arial"/>
                <w:sz w:val="18"/>
                <w:szCs w:val="18"/>
                <w:color w:val="auto"/>
              </w:rPr>
              <w:t>Executive and Other Committees</w:t>
            </w:r>
          </w:p>
        </w:tc>
        <w:tc>
          <w:tcPr>
            <w:tcW w:w="2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3.16.1</w:t>
            </w:r>
          </w:p>
        </w:tc>
        <w:tc>
          <w:tcPr>
            <w:tcW w:w="6920" w:type="dxa"/>
            <w:vAlign w:val="bottom"/>
          </w:tcPr>
          <w:p>
            <w:pPr>
              <w:ind w:left="500"/>
              <w:spacing w:after="0"/>
              <w:rPr>
                <w:sz w:val="20"/>
                <w:szCs w:val="20"/>
                <w:color w:val="auto"/>
              </w:rPr>
            </w:pPr>
            <w:r>
              <w:rPr>
                <w:rFonts w:ascii="Arial" w:cs="Arial" w:eastAsia="Arial" w:hAnsi="Arial"/>
                <w:sz w:val="18"/>
                <w:szCs w:val="18"/>
                <w:color w:val="auto"/>
              </w:rPr>
              <w:t>Creation of Committees</w:t>
            </w:r>
          </w:p>
        </w:tc>
        <w:tc>
          <w:tcPr>
            <w:tcW w:w="2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3.16.2</w:t>
            </w:r>
          </w:p>
        </w:tc>
        <w:tc>
          <w:tcPr>
            <w:tcW w:w="6920" w:type="dxa"/>
            <w:vAlign w:val="bottom"/>
          </w:tcPr>
          <w:p>
            <w:pPr>
              <w:ind w:left="500"/>
              <w:spacing w:after="0"/>
              <w:rPr>
                <w:sz w:val="20"/>
                <w:szCs w:val="20"/>
                <w:color w:val="auto"/>
              </w:rPr>
            </w:pPr>
            <w:r>
              <w:rPr>
                <w:rFonts w:ascii="Arial" w:cs="Arial" w:eastAsia="Arial" w:hAnsi="Arial"/>
                <w:sz w:val="18"/>
                <w:szCs w:val="18"/>
                <w:color w:val="auto"/>
              </w:rPr>
              <w:t>Authority of Committees</w:t>
            </w:r>
          </w:p>
        </w:tc>
        <w:tc>
          <w:tcPr>
            <w:tcW w:w="2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3.16.3</w:t>
            </w:r>
          </w:p>
        </w:tc>
        <w:tc>
          <w:tcPr>
            <w:tcW w:w="6920" w:type="dxa"/>
            <w:vAlign w:val="bottom"/>
          </w:tcPr>
          <w:p>
            <w:pPr>
              <w:ind w:left="500"/>
              <w:spacing w:after="0"/>
              <w:rPr>
                <w:sz w:val="20"/>
                <w:szCs w:val="20"/>
                <w:color w:val="auto"/>
              </w:rPr>
            </w:pPr>
            <w:r>
              <w:rPr>
                <w:rFonts w:ascii="Arial" w:cs="Arial" w:eastAsia="Arial" w:hAnsi="Arial"/>
                <w:sz w:val="18"/>
                <w:szCs w:val="18"/>
                <w:color w:val="auto"/>
              </w:rPr>
              <w:t>Quorum and Manner of Acting</w:t>
            </w:r>
          </w:p>
        </w:tc>
        <w:tc>
          <w:tcPr>
            <w:tcW w:w="2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3.16.4</w:t>
            </w:r>
          </w:p>
        </w:tc>
        <w:tc>
          <w:tcPr>
            <w:tcW w:w="6920" w:type="dxa"/>
            <w:vAlign w:val="bottom"/>
          </w:tcPr>
          <w:p>
            <w:pPr>
              <w:ind w:left="500"/>
              <w:spacing w:after="0"/>
              <w:rPr>
                <w:sz w:val="20"/>
                <w:szCs w:val="20"/>
                <w:color w:val="auto"/>
              </w:rPr>
            </w:pPr>
            <w:r>
              <w:rPr>
                <w:rFonts w:ascii="Arial" w:cs="Arial" w:eastAsia="Arial" w:hAnsi="Arial"/>
                <w:sz w:val="18"/>
                <w:szCs w:val="18"/>
                <w:color w:val="auto"/>
              </w:rPr>
              <w:t>Minutes of Meetings</w:t>
            </w:r>
          </w:p>
        </w:tc>
        <w:tc>
          <w:tcPr>
            <w:tcW w:w="2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3.16.5</w:t>
            </w:r>
          </w:p>
        </w:tc>
        <w:tc>
          <w:tcPr>
            <w:tcW w:w="6920" w:type="dxa"/>
            <w:vAlign w:val="bottom"/>
          </w:tcPr>
          <w:p>
            <w:pPr>
              <w:ind w:left="500"/>
              <w:spacing w:after="0"/>
              <w:rPr>
                <w:sz w:val="20"/>
                <w:szCs w:val="20"/>
                <w:color w:val="auto"/>
              </w:rPr>
            </w:pPr>
            <w:r>
              <w:rPr>
                <w:rFonts w:ascii="Arial" w:cs="Arial" w:eastAsia="Arial" w:hAnsi="Arial"/>
                <w:sz w:val="18"/>
                <w:szCs w:val="18"/>
                <w:color w:val="auto"/>
              </w:rPr>
              <w:t>Resignation</w:t>
            </w:r>
          </w:p>
        </w:tc>
        <w:tc>
          <w:tcPr>
            <w:tcW w:w="2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3.16.6</w:t>
            </w:r>
          </w:p>
        </w:tc>
        <w:tc>
          <w:tcPr>
            <w:tcW w:w="6920" w:type="dxa"/>
            <w:vAlign w:val="bottom"/>
          </w:tcPr>
          <w:p>
            <w:pPr>
              <w:ind w:left="500"/>
              <w:spacing w:after="0"/>
              <w:rPr>
                <w:sz w:val="20"/>
                <w:szCs w:val="20"/>
                <w:color w:val="auto"/>
              </w:rPr>
            </w:pPr>
            <w:r>
              <w:rPr>
                <w:rFonts w:ascii="Arial" w:cs="Arial" w:eastAsia="Arial" w:hAnsi="Arial"/>
                <w:sz w:val="18"/>
                <w:szCs w:val="18"/>
                <w:color w:val="auto"/>
              </w:rPr>
              <w:t>Removal</w:t>
            </w:r>
          </w:p>
        </w:tc>
        <w:tc>
          <w:tcPr>
            <w:tcW w:w="2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3.16.7</w:t>
            </w:r>
          </w:p>
        </w:tc>
        <w:tc>
          <w:tcPr>
            <w:tcW w:w="6920" w:type="dxa"/>
            <w:vAlign w:val="bottom"/>
          </w:tcPr>
          <w:p>
            <w:pPr>
              <w:ind w:left="500"/>
              <w:spacing w:after="0"/>
              <w:rPr>
                <w:sz w:val="20"/>
                <w:szCs w:val="20"/>
                <w:color w:val="auto"/>
              </w:rPr>
            </w:pPr>
            <w:r>
              <w:rPr>
                <w:rFonts w:ascii="Arial" w:cs="Arial" w:eastAsia="Arial" w:hAnsi="Arial"/>
                <w:sz w:val="18"/>
                <w:szCs w:val="18"/>
                <w:color w:val="auto"/>
              </w:rPr>
              <w:t>Audit/Finance Committee</w:t>
            </w:r>
          </w:p>
        </w:tc>
        <w:tc>
          <w:tcPr>
            <w:tcW w:w="2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3.16.8</w:t>
            </w:r>
          </w:p>
        </w:tc>
        <w:tc>
          <w:tcPr>
            <w:tcW w:w="6920" w:type="dxa"/>
            <w:vAlign w:val="bottom"/>
          </w:tcPr>
          <w:p>
            <w:pPr>
              <w:ind w:left="500"/>
              <w:spacing w:after="0"/>
              <w:rPr>
                <w:sz w:val="20"/>
                <w:szCs w:val="20"/>
                <w:color w:val="auto"/>
              </w:rPr>
            </w:pPr>
            <w:r>
              <w:rPr>
                <w:rFonts w:ascii="Arial" w:cs="Arial" w:eastAsia="Arial" w:hAnsi="Arial"/>
                <w:sz w:val="18"/>
                <w:szCs w:val="18"/>
                <w:color w:val="auto"/>
              </w:rPr>
              <w:t>Compensation Committee</w:t>
            </w:r>
          </w:p>
        </w:tc>
        <w:tc>
          <w:tcPr>
            <w:tcW w:w="2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060" w:type="dxa"/>
            <w:vAlign w:val="bottom"/>
          </w:tcPr>
          <w:p>
            <w:pPr>
              <w:ind w:left="460"/>
              <w:spacing w:after="0"/>
              <w:rPr>
                <w:sz w:val="20"/>
                <w:szCs w:val="20"/>
                <w:color w:val="auto"/>
              </w:rPr>
            </w:pPr>
            <w:r>
              <w:rPr>
                <w:rFonts w:ascii="Arial" w:cs="Arial" w:eastAsia="Arial" w:hAnsi="Arial"/>
                <w:sz w:val="18"/>
                <w:szCs w:val="18"/>
                <w:color w:val="auto"/>
              </w:rPr>
              <w:t>3.16.9</w:t>
            </w:r>
          </w:p>
        </w:tc>
        <w:tc>
          <w:tcPr>
            <w:tcW w:w="6920" w:type="dxa"/>
            <w:vAlign w:val="bottom"/>
          </w:tcPr>
          <w:p>
            <w:pPr>
              <w:ind w:left="500"/>
              <w:spacing w:after="0"/>
              <w:rPr>
                <w:sz w:val="20"/>
                <w:szCs w:val="20"/>
                <w:color w:val="auto"/>
              </w:rPr>
            </w:pPr>
            <w:r>
              <w:rPr>
                <w:rFonts w:ascii="Arial" w:cs="Arial" w:eastAsia="Arial" w:hAnsi="Arial"/>
                <w:sz w:val="18"/>
                <w:szCs w:val="18"/>
                <w:color w:val="auto"/>
              </w:rPr>
              <w:t>Corporate Governance Committee</w:t>
            </w:r>
          </w:p>
        </w:tc>
        <w:tc>
          <w:tcPr>
            <w:tcW w:w="2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3.17</w:t>
            </w:r>
          </w:p>
        </w:tc>
        <w:tc>
          <w:tcPr>
            <w:tcW w:w="692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2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7980" w:type="dxa"/>
            <w:vAlign w:val="bottom"/>
            <w:gridSpan w:val="2"/>
          </w:tcPr>
          <w:p>
            <w:pPr>
              <w:spacing w:after="0"/>
              <w:rPr>
                <w:sz w:val="20"/>
                <w:szCs w:val="20"/>
                <w:color w:val="auto"/>
              </w:rPr>
            </w:pPr>
            <w:r>
              <w:rPr>
                <w:rFonts w:ascii="Arial" w:cs="Arial" w:eastAsia="Arial" w:hAnsi="Arial"/>
                <w:sz w:val="18"/>
                <w:szCs w:val="18"/>
                <w:color w:val="auto"/>
              </w:rPr>
              <w:t>SECTION 4. OFFICERS</w:t>
            </w:r>
          </w:p>
        </w:tc>
        <w:tc>
          <w:tcPr>
            <w:tcW w:w="2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4.1</w:t>
            </w:r>
          </w:p>
        </w:tc>
        <w:tc>
          <w:tcPr>
            <w:tcW w:w="6920" w:type="dxa"/>
            <w:vAlign w:val="bottom"/>
          </w:tcPr>
          <w:p>
            <w:pPr>
              <w:ind w:left="140"/>
              <w:spacing w:after="0"/>
              <w:rPr>
                <w:sz w:val="20"/>
                <w:szCs w:val="20"/>
                <w:color w:val="auto"/>
              </w:rPr>
            </w:pPr>
            <w:r>
              <w:rPr>
                <w:rFonts w:ascii="Arial" w:cs="Arial" w:eastAsia="Arial" w:hAnsi="Arial"/>
                <w:sz w:val="18"/>
                <w:szCs w:val="18"/>
                <w:color w:val="auto"/>
              </w:rPr>
              <w:t>Appointment and Term</w:t>
            </w:r>
          </w:p>
        </w:tc>
        <w:tc>
          <w:tcPr>
            <w:tcW w:w="2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4.2</w:t>
            </w:r>
          </w:p>
        </w:tc>
        <w:tc>
          <w:tcPr>
            <w:tcW w:w="6920" w:type="dxa"/>
            <w:vAlign w:val="bottom"/>
          </w:tcPr>
          <w:p>
            <w:pPr>
              <w:ind w:left="140"/>
              <w:spacing w:after="0"/>
              <w:rPr>
                <w:sz w:val="20"/>
                <w:szCs w:val="20"/>
                <w:color w:val="auto"/>
              </w:rPr>
            </w:pPr>
            <w:r>
              <w:rPr>
                <w:rFonts w:ascii="Arial" w:cs="Arial" w:eastAsia="Arial" w:hAnsi="Arial"/>
                <w:sz w:val="18"/>
                <w:szCs w:val="18"/>
                <w:color w:val="auto"/>
              </w:rPr>
              <w:t>Resignation</w:t>
            </w:r>
          </w:p>
        </w:tc>
        <w:tc>
          <w:tcPr>
            <w:tcW w:w="2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4.3</w:t>
            </w:r>
          </w:p>
        </w:tc>
        <w:tc>
          <w:tcPr>
            <w:tcW w:w="6920" w:type="dxa"/>
            <w:vAlign w:val="bottom"/>
          </w:tcPr>
          <w:p>
            <w:pPr>
              <w:ind w:left="140"/>
              <w:spacing w:after="0"/>
              <w:rPr>
                <w:sz w:val="20"/>
                <w:szCs w:val="20"/>
                <w:color w:val="auto"/>
              </w:rPr>
            </w:pPr>
            <w:r>
              <w:rPr>
                <w:rFonts w:ascii="Arial" w:cs="Arial" w:eastAsia="Arial" w:hAnsi="Arial"/>
                <w:sz w:val="18"/>
                <w:szCs w:val="18"/>
                <w:color w:val="auto"/>
              </w:rPr>
              <w:t>Removal</w:t>
            </w:r>
          </w:p>
        </w:tc>
        <w:tc>
          <w:tcPr>
            <w:tcW w:w="2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4.4</w:t>
            </w:r>
          </w:p>
        </w:tc>
        <w:tc>
          <w:tcPr>
            <w:tcW w:w="6920" w:type="dxa"/>
            <w:vAlign w:val="bottom"/>
          </w:tcPr>
          <w:p>
            <w:pPr>
              <w:ind w:left="140"/>
              <w:spacing w:after="0"/>
              <w:rPr>
                <w:sz w:val="20"/>
                <w:szCs w:val="20"/>
                <w:color w:val="auto"/>
              </w:rPr>
            </w:pPr>
            <w:r>
              <w:rPr>
                <w:rFonts w:ascii="Arial" w:cs="Arial" w:eastAsia="Arial" w:hAnsi="Arial"/>
                <w:sz w:val="18"/>
                <w:szCs w:val="18"/>
                <w:color w:val="auto"/>
              </w:rPr>
              <w:t>Contract Rights of Officers</w:t>
            </w:r>
          </w:p>
        </w:tc>
        <w:tc>
          <w:tcPr>
            <w:tcW w:w="2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4.5</w:t>
            </w:r>
          </w:p>
        </w:tc>
        <w:tc>
          <w:tcPr>
            <w:tcW w:w="6920" w:type="dxa"/>
            <w:vAlign w:val="bottom"/>
          </w:tcPr>
          <w:p>
            <w:pPr>
              <w:ind w:left="140"/>
              <w:spacing w:after="0"/>
              <w:rPr>
                <w:sz w:val="20"/>
                <w:szCs w:val="20"/>
                <w:color w:val="auto"/>
              </w:rPr>
            </w:pPr>
            <w:r>
              <w:rPr>
                <w:rFonts w:ascii="Arial" w:cs="Arial" w:eastAsia="Arial" w:hAnsi="Arial"/>
                <w:sz w:val="18"/>
                <w:szCs w:val="18"/>
                <w:color w:val="auto"/>
              </w:rPr>
              <w:t>Chairman of the Board and Vice Chairman of the Board</w:t>
            </w:r>
          </w:p>
        </w:tc>
        <w:tc>
          <w:tcPr>
            <w:tcW w:w="2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4.6</w:t>
            </w:r>
          </w:p>
        </w:tc>
        <w:tc>
          <w:tcPr>
            <w:tcW w:w="692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2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4.7</w:t>
            </w:r>
          </w:p>
        </w:tc>
        <w:tc>
          <w:tcPr>
            <w:tcW w:w="6920" w:type="dxa"/>
            <w:vAlign w:val="bottom"/>
          </w:tcPr>
          <w:p>
            <w:pPr>
              <w:ind w:left="140"/>
              <w:spacing w:after="0"/>
              <w:rPr>
                <w:sz w:val="20"/>
                <w:szCs w:val="20"/>
                <w:color w:val="auto"/>
              </w:rPr>
            </w:pPr>
            <w:r>
              <w:rPr>
                <w:rFonts w:ascii="Arial" w:cs="Arial" w:eastAsia="Arial" w:hAnsi="Arial"/>
                <w:sz w:val="18"/>
                <w:szCs w:val="18"/>
                <w:color w:val="auto"/>
              </w:rPr>
              <w:t>President</w:t>
            </w:r>
          </w:p>
        </w:tc>
        <w:tc>
          <w:tcPr>
            <w:tcW w:w="2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4.8</w:t>
            </w:r>
          </w:p>
        </w:tc>
        <w:tc>
          <w:tcPr>
            <w:tcW w:w="6920" w:type="dxa"/>
            <w:vAlign w:val="bottom"/>
          </w:tcPr>
          <w:p>
            <w:pPr>
              <w:ind w:left="140"/>
              <w:spacing w:after="0"/>
              <w:rPr>
                <w:sz w:val="20"/>
                <w:szCs w:val="20"/>
                <w:color w:val="auto"/>
              </w:rPr>
            </w:pPr>
            <w:r>
              <w:rPr>
                <w:rFonts w:ascii="Arial" w:cs="Arial" w:eastAsia="Arial" w:hAnsi="Arial"/>
                <w:sz w:val="18"/>
                <w:szCs w:val="18"/>
                <w:color w:val="auto"/>
              </w:rPr>
              <w:t>Vice Presidents</w:t>
            </w:r>
          </w:p>
        </w:tc>
        <w:tc>
          <w:tcPr>
            <w:tcW w:w="2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4.9</w:t>
            </w:r>
          </w:p>
        </w:tc>
        <w:tc>
          <w:tcPr>
            <w:tcW w:w="6920" w:type="dxa"/>
            <w:vAlign w:val="bottom"/>
          </w:tcPr>
          <w:p>
            <w:pPr>
              <w:ind w:left="140"/>
              <w:spacing w:after="0"/>
              <w:rPr>
                <w:sz w:val="20"/>
                <w:szCs w:val="20"/>
                <w:color w:val="auto"/>
              </w:rPr>
            </w:pPr>
            <w:r>
              <w:rPr>
                <w:rFonts w:ascii="Arial" w:cs="Arial" w:eastAsia="Arial" w:hAnsi="Arial"/>
                <w:sz w:val="18"/>
                <w:szCs w:val="18"/>
                <w:color w:val="auto"/>
              </w:rPr>
              <w:t>Secretary</w:t>
            </w:r>
          </w:p>
        </w:tc>
        <w:tc>
          <w:tcPr>
            <w:tcW w:w="2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4.10</w:t>
            </w:r>
          </w:p>
        </w:tc>
        <w:tc>
          <w:tcPr>
            <w:tcW w:w="6920" w:type="dxa"/>
            <w:vAlign w:val="bottom"/>
          </w:tcPr>
          <w:p>
            <w:pPr>
              <w:ind w:left="140"/>
              <w:spacing w:after="0"/>
              <w:rPr>
                <w:sz w:val="20"/>
                <w:szCs w:val="20"/>
                <w:color w:val="auto"/>
              </w:rPr>
            </w:pPr>
            <w:r>
              <w:rPr>
                <w:rFonts w:ascii="Arial" w:cs="Arial" w:eastAsia="Arial" w:hAnsi="Arial"/>
                <w:sz w:val="18"/>
                <w:szCs w:val="18"/>
                <w:color w:val="auto"/>
              </w:rPr>
              <w:t>Treasurer</w:t>
            </w:r>
          </w:p>
        </w:tc>
        <w:tc>
          <w:tcPr>
            <w:tcW w:w="2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4.11</w:t>
            </w:r>
          </w:p>
        </w:tc>
        <w:tc>
          <w:tcPr>
            <w:tcW w:w="6920" w:type="dxa"/>
            <w:vAlign w:val="bottom"/>
          </w:tcPr>
          <w:p>
            <w:pPr>
              <w:ind w:left="140"/>
              <w:spacing w:after="0"/>
              <w:rPr>
                <w:sz w:val="20"/>
                <w:szCs w:val="20"/>
                <w:color w:val="auto"/>
              </w:rPr>
            </w:pPr>
            <w:r>
              <w:rPr>
                <w:rFonts w:ascii="Arial" w:cs="Arial" w:eastAsia="Arial" w:hAnsi="Arial"/>
                <w:sz w:val="18"/>
                <w:szCs w:val="18"/>
                <w:color w:val="auto"/>
              </w:rPr>
              <w:t>Salaries</w:t>
            </w:r>
          </w:p>
        </w:tc>
        <w:tc>
          <w:tcPr>
            <w:tcW w:w="2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7980" w:type="dxa"/>
            <w:vAlign w:val="bottom"/>
            <w:gridSpan w:val="2"/>
          </w:tcPr>
          <w:p>
            <w:pPr>
              <w:spacing w:after="0"/>
              <w:rPr>
                <w:sz w:val="20"/>
                <w:szCs w:val="20"/>
                <w:color w:val="auto"/>
              </w:rPr>
            </w:pPr>
            <w:r>
              <w:rPr>
                <w:rFonts w:ascii="Arial" w:cs="Arial" w:eastAsia="Arial" w:hAnsi="Arial"/>
                <w:sz w:val="18"/>
                <w:szCs w:val="18"/>
                <w:color w:val="auto"/>
              </w:rPr>
              <w:t>SECTION 5. CONTRACTS, LOANS, CHECKS AND DEPOSITS</w:t>
            </w:r>
          </w:p>
        </w:tc>
        <w:tc>
          <w:tcPr>
            <w:tcW w:w="2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5.1</w:t>
            </w:r>
          </w:p>
        </w:tc>
        <w:tc>
          <w:tcPr>
            <w:tcW w:w="6920" w:type="dxa"/>
            <w:vAlign w:val="bottom"/>
          </w:tcPr>
          <w:p>
            <w:pPr>
              <w:ind w:left="140"/>
              <w:spacing w:after="0"/>
              <w:rPr>
                <w:sz w:val="20"/>
                <w:szCs w:val="20"/>
                <w:color w:val="auto"/>
              </w:rPr>
            </w:pPr>
            <w:r>
              <w:rPr>
                <w:rFonts w:ascii="Arial" w:cs="Arial" w:eastAsia="Arial" w:hAnsi="Arial"/>
                <w:sz w:val="18"/>
                <w:szCs w:val="18"/>
                <w:color w:val="auto"/>
              </w:rPr>
              <w:t>Contracts</w:t>
            </w:r>
          </w:p>
        </w:tc>
        <w:tc>
          <w:tcPr>
            <w:tcW w:w="2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5.2</w:t>
            </w:r>
          </w:p>
        </w:tc>
        <w:tc>
          <w:tcPr>
            <w:tcW w:w="6920" w:type="dxa"/>
            <w:vAlign w:val="bottom"/>
          </w:tcPr>
          <w:p>
            <w:pPr>
              <w:ind w:left="140"/>
              <w:spacing w:after="0"/>
              <w:rPr>
                <w:sz w:val="20"/>
                <w:szCs w:val="20"/>
                <w:color w:val="auto"/>
              </w:rPr>
            </w:pPr>
            <w:r>
              <w:rPr>
                <w:rFonts w:ascii="Arial" w:cs="Arial" w:eastAsia="Arial" w:hAnsi="Arial"/>
                <w:sz w:val="18"/>
                <w:szCs w:val="18"/>
                <w:color w:val="auto"/>
              </w:rPr>
              <w:t>Loans to the Corporation</w:t>
            </w:r>
          </w:p>
        </w:tc>
        <w:tc>
          <w:tcPr>
            <w:tcW w:w="2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5.3</w:t>
            </w:r>
          </w:p>
        </w:tc>
        <w:tc>
          <w:tcPr>
            <w:tcW w:w="6920" w:type="dxa"/>
            <w:vAlign w:val="bottom"/>
          </w:tcPr>
          <w:p>
            <w:pPr>
              <w:ind w:left="140"/>
              <w:spacing w:after="0"/>
              <w:rPr>
                <w:sz w:val="20"/>
                <w:szCs w:val="20"/>
                <w:color w:val="auto"/>
              </w:rPr>
            </w:pPr>
            <w:r>
              <w:rPr>
                <w:rFonts w:ascii="Arial" w:cs="Arial" w:eastAsia="Arial" w:hAnsi="Arial"/>
                <w:sz w:val="18"/>
                <w:szCs w:val="18"/>
                <w:color w:val="auto"/>
              </w:rPr>
              <w:t>Checks, Drafts, Etc.</w:t>
            </w:r>
          </w:p>
        </w:tc>
        <w:tc>
          <w:tcPr>
            <w:tcW w:w="2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5.4</w:t>
            </w:r>
          </w:p>
        </w:tc>
        <w:tc>
          <w:tcPr>
            <w:tcW w:w="6920" w:type="dxa"/>
            <w:vAlign w:val="bottom"/>
          </w:tcPr>
          <w:p>
            <w:pPr>
              <w:ind w:left="140"/>
              <w:spacing w:after="0"/>
              <w:rPr>
                <w:sz w:val="20"/>
                <w:szCs w:val="20"/>
                <w:color w:val="auto"/>
              </w:rPr>
            </w:pPr>
            <w:r>
              <w:rPr>
                <w:rFonts w:ascii="Arial" w:cs="Arial" w:eastAsia="Arial" w:hAnsi="Arial"/>
                <w:sz w:val="18"/>
                <w:szCs w:val="18"/>
                <w:color w:val="auto"/>
              </w:rPr>
              <w:t>Deposits</w:t>
            </w:r>
          </w:p>
        </w:tc>
        <w:tc>
          <w:tcPr>
            <w:tcW w:w="2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7980" w:type="dxa"/>
            <w:vAlign w:val="bottom"/>
            <w:gridSpan w:val="2"/>
          </w:tcPr>
          <w:p>
            <w:pPr>
              <w:spacing w:after="0"/>
              <w:rPr>
                <w:sz w:val="20"/>
                <w:szCs w:val="20"/>
                <w:color w:val="auto"/>
              </w:rPr>
            </w:pPr>
            <w:r>
              <w:rPr>
                <w:rFonts w:ascii="Arial" w:cs="Arial" w:eastAsia="Arial" w:hAnsi="Arial"/>
                <w:sz w:val="18"/>
                <w:szCs w:val="18"/>
                <w:color w:val="auto"/>
              </w:rPr>
              <w:t>SECTION 6. CERTIFICATES FOR SHARES AND THEIR TRANSFER</w:t>
            </w:r>
          </w:p>
        </w:tc>
        <w:tc>
          <w:tcPr>
            <w:tcW w:w="2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6.1</w:t>
            </w:r>
          </w:p>
        </w:tc>
        <w:tc>
          <w:tcPr>
            <w:tcW w:w="6920" w:type="dxa"/>
            <w:vAlign w:val="bottom"/>
          </w:tcPr>
          <w:p>
            <w:pPr>
              <w:ind w:left="140"/>
              <w:spacing w:after="0"/>
              <w:rPr>
                <w:sz w:val="20"/>
                <w:szCs w:val="20"/>
                <w:color w:val="auto"/>
              </w:rPr>
            </w:pPr>
            <w:r>
              <w:rPr>
                <w:rFonts w:ascii="Arial" w:cs="Arial" w:eastAsia="Arial" w:hAnsi="Arial"/>
                <w:sz w:val="18"/>
                <w:szCs w:val="18"/>
                <w:color w:val="auto"/>
              </w:rPr>
              <w:t>Issuance of Shares</w:t>
            </w:r>
          </w:p>
        </w:tc>
        <w:tc>
          <w:tcPr>
            <w:tcW w:w="2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6.2</w:t>
            </w:r>
          </w:p>
        </w:tc>
        <w:tc>
          <w:tcPr>
            <w:tcW w:w="6920" w:type="dxa"/>
            <w:vAlign w:val="bottom"/>
          </w:tcPr>
          <w:p>
            <w:pPr>
              <w:ind w:left="140"/>
              <w:spacing w:after="0"/>
              <w:rPr>
                <w:sz w:val="20"/>
                <w:szCs w:val="20"/>
                <w:color w:val="auto"/>
              </w:rPr>
            </w:pPr>
            <w:r>
              <w:rPr>
                <w:rFonts w:ascii="Arial" w:cs="Arial" w:eastAsia="Arial" w:hAnsi="Arial"/>
                <w:sz w:val="18"/>
                <w:szCs w:val="18"/>
                <w:color w:val="auto"/>
              </w:rPr>
              <w:t>Certificates for Shares</w:t>
            </w:r>
          </w:p>
        </w:tc>
        <w:tc>
          <w:tcPr>
            <w:tcW w:w="2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6.3</w:t>
            </w:r>
          </w:p>
        </w:tc>
        <w:tc>
          <w:tcPr>
            <w:tcW w:w="6920" w:type="dxa"/>
            <w:vAlign w:val="bottom"/>
          </w:tcPr>
          <w:p>
            <w:pPr>
              <w:ind w:left="140"/>
              <w:spacing w:after="0"/>
              <w:rPr>
                <w:sz w:val="20"/>
                <w:szCs w:val="20"/>
                <w:color w:val="auto"/>
              </w:rPr>
            </w:pPr>
            <w:r>
              <w:rPr>
                <w:rFonts w:ascii="Arial" w:cs="Arial" w:eastAsia="Arial" w:hAnsi="Arial"/>
                <w:sz w:val="18"/>
                <w:szCs w:val="18"/>
                <w:color w:val="auto"/>
              </w:rPr>
              <w:t>Issuance of Shares Without Certificates</w:t>
            </w:r>
          </w:p>
        </w:tc>
        <w:tc>
          <w:tcPr>
            <w:tcW w:w="2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060" w:type="dxa"/>
            <w:vAlign w:val="bottom"/>
          </w:tcPr>
          <w:p>
            <w:pPr>
              <w:ind w:left="240"/>
              <w:spacing w:after="0"/>
              <w:rPr>
                <w:sz w:val="20"/>
                <w:szCs w:val="20"/>
                <w:color w:val="auto"/>
              </w:rPr>
            </w:pPr>
            <w:r>
              <w:rPr>
                <w:rFonts w:ascii="Arial" w:cs="Arial" w:eastAsia="Arial" w:hAnsi="Arial"/>
                <w:sz w:val="18"/>
                <w:szCs w:val="18"/>
                <w:color w:val="auto"/>
              </w:rPr>
              <w:t>6.4</w:t>
            </w:r>
          </w:p>
        </w:tc>
        <w:tc>
          <w:tcPr>
            <w:tcW w:w="6920" w:type="dxa"/>
            <w:vAlign w:val="bottom"/>
          </w:tcPr>
          <w:p>
            <w:pPr>
              <w:ind w:left="140"/>
              <w:spacing w:after="0"/>
              <w:rPr>
                <w:sz w:val="20"/>
                <w:szCs w:val="20"/>
                <w:color w:val="auto"/>
              </w:rPr>
            </w:pPr>
            <w:r>
              <w:rPr>
                <w:rFonts w:ascii="Arial" w:cs="Arial" w:eastAsia="Arial" w:hAnsi="Arial"/>
                <w:sz w:val="18"/>
                <w:szCs w:val="18"/>
                <w:color w:val="auto"/>
              </w:rPr>
              <w:t>Stock Records</w:t>
            </w:r>
          </w:p>
        </w:tc>
        <w:tc>
          <w:tcPr>
            <w:tcW w:w="286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0840"/>
          </w:cols>
          <w:pgMar w:left="500" w:top="747" w:right="55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ind w:left="240"/>
              <w:spacing w:after="0"/>
              <w:rPr>
                <w:sz w:val="20"/>
                <w:szCs w:val="20"/>
                <w:color w:val="auto"/>
              </w:rPr>
            </w:pPr>
            <w:r>
              <w:rPr>
                <w:rFonts w:ascii="Arial" w:cs="Arial" w:eastAsia="Arial" w:hAnsi="Arial"/>
                <w:sz w:val="18"/>
                <w:szCs w:val="18"/>
                <w:color w:val="auto"/>
              </w:rPr>
              <w:t>6.5</w:t>
            </w:r>
          </w:p>
        </w:tc>
        <w:tc>
          <w:tcPr>
            <w:tcW w:w="7260" w:type="dxa"/>
            <w:vAlign w:val="bottom"/>
          </w:tcPr>
          <w:p>
            <w:pPr>
              <w:ind w:left="320"/>
              <w:spacing w:after="0"/>
              <w:rPr>
                <w:sz w:val="20"/>
                <w:szCs w:val="20"/>
                <w:color w:val="auto"/>
              </w:rPr>
            </w:pPr>
            <w:r>
              <w:rPr>
                <w:rFonts w:ascii="Arial" w:cs="Arial" w:eastAsia="Arial" w:hAnsi="Arial"/>
                <w:sz w:val="18"/>
                <w:szCs w:val="18"/>
                <w:color w:val="auto"/>
              </w:rPr>
              <w:t>Restriction on Transfer</w:t>
            </w:r>
          </w:p>
        </w:tc>
        <w:tc>
          <w:tcPr>
            <w:tcW w:w="2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880" w:type="dxa"/>
            <w:vAlign w:val="bottom"/>
          </w:tcPr>
          <w:p>
            <w:pPr>
              <w:ind w:left="240"/>
              <w:spacing w:after="0"/>
              <w:rPr>
                <w:sz w:val="20"/>
                <w:szCs w:val="20"/>
                <w:color w:val="auto"/>
              </w:rPr>
            </w:pPr>
            <w:r>
              <w:rPr>
                <w:rFonts w:ascii="Arial" w:cs="Arial" w:eastAsia="Arial" w:hAnsi="Arial"/>
                <w:sz w:val="18"/>
                <w:szCs w:val="18"/>
                <w:color w:val="auto"/>
              </w:rPr>
              <w:t>6.6</w:t>
            </w:r>
          </w:p>
        </w:tc>
        <w:tc>
          <w:tcPr>
            <w:tcW w:w="7260" w:type="dxa"/>
            <w:vAlign w:val="bottom"/>
          </w:tcPr>
          <w:p>
            <w:pPr>
              <w:ind w:left="320"/>
              <w:spacing w:after="0"/>
              <w:rPr>
                <w:sz w:val="20"/>
                <w:szCs w:val="20"/>
                <w:color w:val="auto"/>
              </w:rPr>
            </w:pPr>
            <w:r>
              <w:rPr>
                <w:rFonts w:ascii="Arial" w:cs="Arial" w:eastAsia="Arial" w:hAnsi="Arial"/>
                <w:sz w:val="18"/>
                <w:szCs w:val="18"/>
                <w:color w:val="auto"/>
              </w:rPr>
              <w:t>Transfer of Shares</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80" w:type="dxa"/>
            <w:vAlign w:val="bottom"/>
          </w:tcPr>
          <w:p>
            <w:pPr>
              <w:ind w:left="240"/>
              <w:spacing w:after="0"/>
              <w:rPr>
                <w:sz w:val="20"/>
                <w:szCs w:val="20"/>
                <w:color w:val="auto"/>
              </w:rPr>
            </w:pPr>
            <w:r>
              <w:rPr>
                <w:rFonts w:ascii="Arial" w:cs="Arial" w:eastAsia="Arial" w:hAnsi="Arial"/>
                <w:sz w:val="18"/>
                <w:szCs w:val="18"/>
                <w:color w:val="auto"/>
              </w:rPr>
              <w:t>6.7</w:t>
            </w:r>
          </w:p>
        </w:tc>
        <w:tc>
          <w:tcPr>
            <w:tcW w:w="7260" w:type="dxa"/>
            <w:vAlign w:val="bottom"/>
          </w:tcPr>
          <w:p>
            <w:pPr>
              <w:ind w:left="320"/>
              <w:spacing w:after="0"/>
              <w:rPr>
                <w:sz w:val="20"/>
                <w:szCs w:val="20"/>
                <w:color w:val="auto"/>
              </w:rPr>
            </w:pPr>
            <w:r>
              <w:rPr>
                <w:rFonts w:ascii="Arial" w:cs="Arial" w:eastAsia="Arial" w:hAnsi="Arial"/>
                <w:sz w:val="18"/>
                <w:szCs w:val="18"/>
                <w:color w:val="auto"/>
              </w:rPr>
              <w:t>Lost or Destroyed Certificates</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140" w:type="dxa"/>
            <w:vAlign w:val="bottom"/>
            <w:gridSpan w:val="2"/>
          </w:tcPr>
          <w:p>
            <w:pPr>
              <w:spacing w:after="0"/>
              <w:rPr>
                <w:sz w:val="20"/>
                <w:szCs w:val="20"/>
                <w:color w:val="auto"/>
              </w:rPr>
            </w:pPr>
            <w:r>
              <w:rPr>
                <w:rFonts w:ascii="Arial" w:cs="Arial" w:eastAsia="Arial" w:hAnsi="Arial"/>
                <w:sz w:val="18"/>
                <w:szCs w:val="18"/>
                <w:color w:val="auto"/>
              </w:rPr>
              <w:t>SECTION 7. BOOKS AND RECORDS</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140" w:type="dxa"/>
            <w:vAlign w:val="bottom"/>
            <w:gridSpan w:val="2"/>
          </w:tcPr>
          <w:p>
            <w:pPr>
              <w:spacing w:after="0"/>
              <w:rPr>
                <w:sz w:val="20"/>
                <w:szCs w:val="20"/>
                <w:color w:val="auto"/>
              </w:rPr>
            </w:pPr>
            <w:r>
              <w:rPr>
                <w:rFonts w:ascii="Arial" w:cs="Arial" w:eastAsia="Arial" w:hAnsi="Arial"/>
                <w:sz w:val="18"/>
                <w:szCs w:val="18"/>
                <w:color w:val="auto"/>
              </w:rPr>
              <w:t>SECTION 8. ACCOUNTING YEAR</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140" w:type="dxa"/>
            <w:vAlign w:val="bottom"/>
            <w:gridSpan w:val="2"/>
          </w:tcPr>
          <w:p>
            <w:pPr>
              <w:spacing w:after="0"/>
              <w:rPr>
                <w:sz w:val="20"/>
                <w:szCs w:val="20"/>
                <w:color w:val="auto"/>
              </w:rPr>
            </w:pPr>
            <w:r>
              <w:rPr>
                <w:rFonts w:ascii="Arial" w:cs="Arial" w:eastAsia="Arial" w:hAnsi="Arial"/>
                <w:sz w:val="18"/>
                <w:szCs w:val="18"/>
                <w:color w:val="auto"/>
              </w:rPr>
              <w:t>SECTION 9. SEAL</w:t>
            </w:r>
          </w:p>
        </w:tc>
        <w:tc>
          <w:tcPr>
            <w:tcW w:w="2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8140" w:type="dxa"/>
            <w:vAlign w:val="bottom"/>
            <w:gridSpan w:val="2"/>
          </w:tcPr>
          <w:p>
            <w:pPr>
              <w:spacing w:after="0"/>
              <w:rPr>
                <w:sz w:val="20"/>
                <w:szCs w:val="20"/>
                <w:color w:val="auto"/>
              </w:rPr>
            </w:pPr>
            <w:r>
              <w:rPr>
                <w:rFonts w:ascii="Arial" w:cs="Arial" w:eastAsia="Arial" w:hAnsi="Arial"/>
                <w:sz w:val="18"/>
                <w:szCs w:val="18"/>
                <w:color w:val="auto"/>
              </w:rPr>
              <w:t>SECTION 10. INDEMNIFICATION</w:t>
            </w:r>
          </w:p>
        </w:tc>
        <w:tc>
          <w:tcPr>
            <w:tcW w:w="2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880" w:type="dxa"/>
            <w:vAlign w:val="bottom"/>
          </w:tcPr>
          <w:p>
            <w:pPr>
              <w:ind w:left="240"/>
              <w:spacing w:after="0"/>
              <w:rPr>
                <w:sz w:val="20"/>
                <w:szCs w:val="20"/>
                <w:color w:val="auto"/>
              </w:rPr>
            </w:pPr>
            <w:r>
              <w:rPr>
                <w:rFonts w:ascii="Arial" w:cs="Arial" w:eastAsia="Arial" w:hAnsi="Arial"/>
                <w:sz w:val="18"/>
                <w:szCs w:val="18"/>
                <w:color w:val="auto"/>
              </w:rPr>
              <w:t>10.1</w:t>
            </w:r>
          </w:p>
        </w:tc>
        <w:tc>
          <w:tcPr>
            <w:tcW w:w="7260" w:type="dxa"/>
            <w:vAlign w:val="bottom"/>
          </w:tcPr>
          <w:p>
            <w:pPr>
              <w:ind w:left="320"/>
              <w:spacing w:after="0"/>
              <w:rPr>
                <w:sz w:val="20"/>
                <w:szCs w:val="20"/>
                <w:color w:val="auto"/>
              </w:rPr>
            </w:pPr>
            <w:r>
              <w:rPr>
                <w:rFonts w:ascii="Arial" w:cs="Arial" w:eastAsia="Arial" w:hAnsi="Arial"/>
                <w:sz w:val="18"/>
                <w:szCs w:val="18"/>
                <w:color w:val="auto"/>
              </w:rPr>
              <w:t>Right to Indemnification</w:t>
            </w:r>
          </w:p>
        </w:tc>
        <w:tc>
          <w:tcPr>
            <w:tcW w:w="2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880" w:type="dxa"/>
            <w:vAlign w:val="bottom"/>
          </w:tcPr>
          <w:p>
            <w:pPr>
              <w:ind w:left="240"/>
              <w:spacing w:after="0"/>
              <w:rPr>
                <w:sz w:val="20"/>
                <w:szCs w:val="20"/>
                <w:color w:val="auto"/>
              </w:rPr>
            </w:pPr>
            <w:r>
              <w:rPr>
                <w:rFonts w:ascii="Arial" w:cs="Arial" w:eastAsia="Arial" w:hAnsi="Arial"/>
                <w:sz w:val="18"/>
                <w:szCs w:val="18"/>
                <w:color w:val="auto"/>
              </w:rPr>
              <w:t>10.2</w:t>
            </w:r>
          </w:p>
        </w:tc>
        <w:tc>
          <w:tcPr>
            <w:tcW w:w="7260" w:type="dxa"/>
            <w:vAlign w:val="bottom"/>
          </w:tcPr>
          <w:p>
            <w:pPr>
              <w:ind w:left="320"/>
              <w:spacing w:after="0"/>
              <w:rPr>
                <w:sz w:val="20"/>
                <w:szCs w:val="20"/>
                <w:color w:val="auto"/>
              </w:rPr>
            </w:pPr>
            <w:r>
              <w:rPr>
                <w:rFonts w:ascii="Arial" w:cs="Arial" w:eastAsia="Arial" w:hAnsi="Arial"/>
                <w:sz w:val="18"/>
                <w:szCs w:val="18"/>
                <w:color w:val="auto"/>
              </w:rPr>
              <w:t>Restrictions on Indemnification</w:t>
            </w:r>
          </w:p>
        </w:tc>
        <w:tc>
          <w:tcPr>
            <w:tcW w:w="2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880" w:type="dxa"/>
            <w:vAlign w:val="bottom"/>
          </w:tcPr>
          <w:p>
            <w:pPr>
              <w:ind w:left="240"/>
              <w:spacing w:after="0"/>
              <w:rPr>
                <w:sz w:val="20"/>
                <w:szCs w:val="20"/>
                <w:color w:val="auto"/>
              </w:rPr>
            </w:pPr>
            <w:r>
              <w:rPr>
                <w:rFonts w:ascii="Arial" w:cs="Arial" w:eastAsia="Arial" w:hAnsi="Arial"/>
                <w:sz w:val="18"/>
                <w:szCs w:val="18"/>
                <w:color w:val="auto"/>
              </w:rPr>
              <w:t>10.3</w:t>
            </w:r>
          </w:p>
        </w:tc>
        <w:tc>
          <w:tcPr>
            <w:tcW w:w="7260" w:type="dxa"/>
            <w:vAlign w:val="bottom"/>
          </w:tcPr>
          <w:p>
            <w:pPr>
              <w:ind w:left="320"/>
              <w:spacing w:after="0"/>
              <w:rPr>
                <w:sz w:val="20"/>
                <w:szCs w:val="20"/>
                <w:color w:val="auto"/>
              </w:rPr>
            </w:pPr>
            <w:r>
              <w:rPr>
                <w:rFonts w:ascii="Arial" w:cs="Arial" w:eastAsia="Arial" w:hAnsi="Arial"/>
                <w:sz w:val="18"/>
                <w:szCs w:val="18"/>
                <w:color w:val="auto"/>
              </w:rPr>
              <w:t>Advancement of Expenses</w:t>
            </w:r>
          </w:p>
        </w:tc>
        <w:tc>
          <w:tcPr>
            <w:tcW w:w="2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880" w:type="dxa"/>
            <w:vAlign w:val="bottom"/>
          </w:tcPr>
          <w:p>
            <w:pPr>
              <w:ind w:left="240"/>
              <w:spacing w:after="0"/>
              <w:rPr>
                <w:sz w:val="20"/>
                <w:szCs w:val="20"/>
                <w:color w:val="auto"/>
              </w:rPr>
            </w:pPr>
            <w:r>
              <w:rPr>
                <w:rFonts w:ascii="Arial" w:cs="Arial" w:eastAsia="Arial" w:hAnsi="Arial"/>
                <w:sz w:val="18"/>
                <w:szCs w:val="18"/>
                <w:color w:val="auto"/>
              </w:rPr>
              <w:t>10.4</w:t>
            </w:r>
          </w:p>
        </w:tc>
        <w:tc>
          <w:tcPr>
            <w:tcW w:w="7260" w:type="dxa"/>
            <w:vAlign w:val="bottom"/>
          </w:tcPr>
          <w:p>
            <w:pPr>
              <w:ind w:left="320"/>
              <w:spacing w:after="0"/>
              <w:rPr>
                <w:sz w:val="20"/>
                <w:szCs w:val="20"/>
                <w:color w:val="auto"/>
              </w:rPr>
            </w:pPr>
            <w:r>
              <w:rPr>
                <w:rFonts w:ascii="Arial" w:cs="Arial" w:eastAsia="Arial" w:hAnsi="Arial"/>
                <w:sz w:val="18"/>
                <w:szCs w:val="18"/>
                <w:color w:val="auto"/>
              </w:rPr>
              <w:t>Right of Indemnitee to Bring Suit</w:t>
            </w:r>
          </w:p>
        </w:tc>
        <w:tc>
          <w:tcPr>
            <w:tcW w:w="2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880" w:type="dxa"/>
            <w:vAlign w:val="bottom"/>
          </w:tcPr>
          <w:p>
            <w:pPr>
              <w:ind w:left="240"/>
              <w:spacing w:after="0"/>
              <w:rPr>
                <w:sz w:val="20"/>
                <w:szCs w:val="20"/>
                <w:color w:val="auto"/>
              </w:rPr>
            </w:pPr>
            <w:r>
              <w:rPr>
                <w:rFonts w:ascii="Arial" w:cs="Arial" w:eastAsia="Arial" w:hAnsi="Arial"/>
                <w:sz w:val="18"/>
                <w:szCs w:val="18"/>
                <w:color w:val="auto"/>
              </w:rPr>
              <w:t>10.5</w:t>
            </w:r>
          </w:p>
        </w:tc>
        <w:tc>
          <w:tcPr>
            <w:tcW w:w="7260" w:type="dxa"/>
            <w:vAlign w:val="bottom"/>
          </w:tcPr>
          <w:p>
            <w:pPr>
              <w:ind w:left="320"/>
              <w:spacing w:after="0"/>
              <w:rPr>
                <w:sz w:val="20"/>
                <w:szCs w:val="20"/>
                <w:color w:val="auto"/>
              </w:rPr>
            </w:pPr>
            <w:r>
              <w:rPr>
                <w:rFonts w:ascii="Arial" w:cs="Arial" w:eastAsia="Arial" w:hAnsi="Arial"/>
                <w:sz w:val="18"/>
                <w:szCs w:val="18"/>
                <w:color w:val="auto"/>
              </w:rPr>
              <w:t>Procedures Exclusive</w:t>
            </w:r>
          </w:p>
        </w:tc>
        <w:tc>
          <w:tcPr>
            <w:tcW w:w="2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880" w:type="dxa"/>
            <w:vAlign w:val="bottom"/>
          </w:tcPr>
          <w:p>
            <w:pPr>
              <w:ind w:left="240"/>
              <w:spacing w:after="0"/>
              <w:rPr>
                <w:sz w:val="20"/>
                <w:szCs w:val="20"/>
                <w:color w:val="auto"/>
              </w:rPr>
            </w:pPr>
            <w:r>
              <w:rPr>
                <w:rFonts w:ascii="Arial" w:cs="Arial" w:eastAsia="Arial" w:hAnsi="Arial"/>
                <w:sz w:val="18"/>
                <w:szCs w:val="18"/>
                <w:color w:val="auto"/>
              </w:rPr>
              <w:t>10.6</w:t>
            </w:r>
          </w:p>
        </w:tc>
        <w:tc>
          <w:tcPr>
            <w:tcW w:w="7260" w:type="dxa"/>
            <w:vAlign w:val="bottom"/>
          </w:tcPr>
          <w:p>
            <w:pPr>
              <w:ind w:left="320"/>
              <w:spacing w:after="0"/>
              <w:rPr>
                <w:sz w:val="20"/>
                <w:szCs w:val="20"/>
                <w:color w:val="auto"/>
              </w:rPr>
            </w:pPr>
            <w:r>
              <w:rPr>
                <w:rFonts w:ascii="Arial" w:cs="Arial" w:eastAsia="Arial" w:hAnsi="Arial"/>
                <w:sz w:val="18"/>
                <w:szCs w:val="18"/>
                <w:color w:val="auto"/>
              </w:rPr>
              <w:t>Nonexclusivity of Rights</w:t>
            </w:r>
          </w:p>
        </w:tc>
        <w:tc>
          <w:tcPr>
            <w:tcW w:w="2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880" w:type="dxa"/>
            <w:vAlign w:val="bottom"/>
          </w:tcPr>
          <w:p>
            <w:pPr>
              <w:ind w:left="240"/>
              <w:spacing w:after="0"/>
              <w:rPr>
                <w:sz w:val="20"/>
                <w:szCs w:val="20"/>
                <w:color w:val="auto"/>
              </w:rPr>
            </w:pPr>
            <w:r>
              <w:rPr>
                <w:rFonts w:ascii="Arial" w:cs="Arial" w:eastAsia="Arial" w:hAnsi="Arial"/>
                <w:sz w:val="18"/>
                <w:szCs w:val="18"/>
                <w:color w:val="auto"/>
              </w:rPr>
              <w:t>10.7</w:t>
            </w:r>
          </w:p>
        </w:tc>
        <w:tc>
          <w:tcPr>
            <w:tcW w:w="7260" w:type="dxa"/>
            <w:vAlign w:val="bottom"/>
          </w:tcPr>
          <w:p>
            <w:pPr>
              <w:ind w:left="320"/>
              <w:spacing w:after="0"/>
              <w:rPr>
                <w:sz w:val="20"/>
                <w:szCs w:val="20"/>
                <w:color w:val="auto"/>
              </w:rPr>
            </w:pPr>
            <w:r>
              <w:rPr>
                <w:rFonts w:ascii="Arial" w:cs="Arial" w:eastAsia="Arial" w:hAnsi="Arial"/>
                <w:sz w:val="18"/>
                <w:szCs w:val="18"/>
                <w:color w:val="auto"/>
              </w:rPr>
              <w:t>Insurance, Contracts and Funding</w:t>
            </w:r>
          </w:p>
        </w:tc>
        <w:tc>
          <w:tcPr>
            <w:tcW w:w="2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880" w:type="dxa"/>
            <w:vAlign w:val="bottom"/>
          </w:tcPr>
          <w:p>
            <w:pPr>
              <w:ind w:left="240"/>
              <w:spacing w:after="0"/>
              <w:rPr>
                <w:sz w:val="20"/>
                <w:szCs w:val="20"/>
                <w:color w:val="auto"/>
              </w:rPr>
            </w:pPr>
            <w:r>
              <w:rPr>
                <w:rFonts w:ascii="Arial" w:cs="Arial" w:eastAsia="Arial" w:hAnsi="Arial"/>
                <w:sz w:val="18"/>
                <w:szCs w:val="18"/>
                <w:color w:val="auto"/>
              </w:rPr>
              <w:t>10.8</w:t>
            </w:r>
          </w:p>
        </w:tc>
        <w:tc>
          <w:tcPr>
            <w:tcW w:w="7260" w:type="dxa"/>
            <w:vAlign w:val="bottom"/>
          </w:tcPr>
          <w:p>
            <w:pPr>
              <w:ind w:left="320"/>
              <w:spacing w:after="0"/>
              <w:rPr>
                <w:sz w:val="20"/>
                <w:szCs w:val="20"/>
                <w:color w:val="auto"/>
              </w:rPr>
            </w:pPr>
            <w:r>
              <w:rPr>
                <w:rFonts w:ascii="Arial" w:cs="Arial" w:eastAsia="Arial" w:hAnsi="Arial"/>
                <w:sz w:val="18"/>
                <w:szCs w:val="18"/>
                <w:color w:val="auto"/>
              </w:rPr>
              <w:t>Indemnification of Employees and Agents of the Corporation</w:t>
            </w:r>
          </w:p>
        </w:tc>
        <w:tc>
          <w:tcPr>
            <w:tcW w:w="2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880" w:type="dxa"/>
            <w:vAlign w:val="bottom"/>
          </w:tcPr>
          <w:p>
            <w:pPr>
              <w:ind w:left="240"/>
              <w:spacing w:after="0"/>
              <w:rPr>
                <w:sz w:val="20"/>
                <w:szCs w:val="20"/>
                <w:color w:val="auto"/>
              </w:rPr>
            </w:pPr>
            <w:r>
              <w:rPr>
                <w:rFonts w:ascii="Arial" w:cs="Arial" w:eastAsia="Arial" w:hAnsi="Arial"/>
                <w:sz w:val="18"/>
                <w:szCs w:val="18"/>
                <w:color w:val="auto"/>
              </w:rPr>
              <w:t>10.9</w:t>
            </w:r>
          </w:p>
        </w:tc>
        <w:tc>
          <w:tcPr>
            <w:tcW w:w="7260" w:type="dxa"/>
            <w:vAlign w:val="bottom"/>
          </w:tcPr>
          <w:p>
            <w:pPr>
              <w:ind w:left="320"/>
              <w:spacing w:after="0"/>
              <w:rPr>
                <w:sz w:val="20"/>
                <w:szCs w:val="20"/>
                <w:color w:val="auto"/>
              </w:rPr>
            </w:pPr>
            <w:r>
              <w:rPr>
                <w:rFonts w:ascii="Arial" w:cs="Arial" w:eastAsia="Arial" w:hAnsi="Arial"/>
                <w:sz w:val="18"/>
                <w:szCs w:val="18"/>
                <w:color w:val="auto"/>
              </w:rPr>
              <w:t>Persons Serving Other Entities</w:t>
            </w:r>
          </w:p>
        </w:tc>
        <w:tc>
          <w:tcPr>
            <w:tcW w:w="2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8140" w:type="dxa"/>
            <w:vAlign w:val="bottom"/>
            <w:gridSpan w:val="2"/>
          </w:tcPr>
          <w:p>
            <w:pPr>
              <w:spacing w:after="0"/>
              <w:rPr>
                <w:sz w:val="20"/>
                <w:szCs w:val="20"/>
                <w:color w:val="auto"/>
              </w:rPr>
            </w:pPr>
            <w:r>
              <w:rPr>
                <w:rFonts w:ascii="Arial" w:cs="Arial" w:eastAsia="Arial" w:hAnsi="Arial"/>
                <w:sz w:val="18"/>
                <w:szCs w:val="18"/>
                <w:color w:val="auto"/>
              </w:rPr>
              <w:t>SECTION 11. AMENDMENTS</w:t>
            </w:r>
          </w:p>
        </w:tc>
        <w:tc>
          <w:tcPr>
            <w:tcW w:w="2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8140" w:type="dxa"/>
            <w:vAlign w:val="bottom"/>
            <w:gridSpan w:val="2"/>
          </w:tcPr>
          <w:p>
            <w:pPr>
              <w:spacing w:after="0"/>
              <w:rPr>
                <w:sz w:val="20"/>
                <w:szCs w:val="20"/>
                <w:color w:val="auto"/>
              </w:rPr>
            </w:pPr>
            <w:r>
              <w:rPr>
                <w:rFonts w:ascii="Arial" w:cs="Arial" w:eastAsia="Arial" w:hAnsi="Arial"/>
                <w:sz w:val="18"/>
                <w:szCs w:val="18"/>
                <w:color w:val="auto"/>
              </w:rPr>
              <w:t>SECTION 12. EXCLUSIVE FORUM</w:t>
            </w:r>
          </w:p>
        </w:tc>
        <w:tc>
          <w:tcPr>
            <w:tcW w:w="270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0840"/>
          </w:cols>
          <w:pgMar w:left="500" w:top="747" w:right="559" w:bottom="1440" w:gutter="0" w:footer="0" w:header="0"/>
        </w:sectPr>
      </w:pPr>
    </w:p>
    <w:bookmarkStart w:id="169" w:name="page170"/>
    <w:bookmarkEnd w:id="169"/>
    <w:p>
      <w:pPr>
        <w:jc w:val="center"/>
        <w:ind w:left="660"/>
        <w:spacing w:after="0"/>
        <w:rPr>
          <w:sz w:val="20"/>
          <w:szCs w:val="20"/>
          <w:color w:val="auto"/>
        </w:rPr>
      </w:pPr>
      <w:r>
        <w:rPr>
          <w:rFonts w:ascii="Arial" w:cs="Arial" w:eastAsia="Arial" w:hAnsi="Arial"/>
          <w:sz w:val="18"/>
          <w:szCs w:val="18"/>
          <w:b w:val="1"/>
          <w:bCs w:val="1"/>
          <w:color w:val="auto"/>
        </w:rPr>
        <w:t>AMENDED AND RESTATED BYLAWS</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OFFICES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principal office of the corporation shall be located at the principal place of business or such other place as the Board of Directors ("Board") may designate. The corporation may have such other offices, either within or without the State of Washington, as the Board may designate or as the business of the corporation may require from time to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SHAREHOLDERS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Annual Meeting</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annual meeting of shareholders shall be held at such place and time and on such date as determined by the Board for the purpose of electing directors and transacting such other business as may properly come before the meeting.</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Special Meetings</w:t>
      </w:r>
    </w:p>
    <w:p>
      <w:pPr>
        <w:spacing w:after="0" w:line="229"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The Chairman of the Board, the Chief Executive Officer, the President or the Board may call special meetings of the shareholders for any purpose. Further, a special meeting of the shareholders shall be held if the holders of not less than 25% of all the votes entitled to be cast on any issue proposed to be considered at such special meeting have dated, signed and delivered to the Secretary, at least 20 business days prior to the date of such meeting, one or more written demands for such meeting, describing the purpose or purposes for which it is to be held.</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Meetings by Communication Equipment</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Shareholders may participate in any meeting of the shareholders by any means of communication by which all persons participating in the meeting can hear each other during the meeting. Participation by such means shall constitute presence in person at a meeting.</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Date, Time and Place of Meeting</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Except as otherwise provided herein, all meetings of shareholders, including those held pursuant to demand by shareholders as provided herein, shall be held on such date and at such time and place, within or without the State of Washington, designated by or at the direction of the Board.</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Notice to Shareholders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notice to shareholders required or permitted under these Bylaws, the Articles of Incorporation or the Washington Business Corporation Act shall be provided in accordance with this Section 2.5.</w:t>
      </w:r>
    </w:p>
    <w:p>
      <w:pPr>
        <w:spacing w:after="0" w:line="16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b w:val="1"/>
          <w:bCs w:val="1"/>
          <w:color w:val="auto"/>
        </w:rPr>
        <w:t>Type of Notice</w:t>
      </w:r>
    </w:p>
    <w:p>
      <w:pPr>
        <w:spacing w:after="0" w:line="225" w:lineRule="exact"/>
        <w:rPr>
          <w:sz w:val="20"/>
          <w:szCs w:val="20"/>
          <w:color w:val="auto"/>
        </w:rPr>
      </w:pPr>
    </w:p>
    <w:p>
      <w:pPr>
        <w:ind w:right="560" w:firstLine="656"/>
        <w:spacing w:after="0" w:line="282" w:lineRule="auto"/>
        <w:tabs>
          <w:tab w:leader="none" w:pos="1038"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Provided in a Tangible Medium. </w:t>
      </w:r>
      <w:r>
        <w:rPr>
          <w:rFonts w:ascii="Arial" w:cs="Arial" w:eastAsia="Arial" w:hAnsi="Arial"/>
          <w:sz w:val="18"/>
          <w:szCs w:val="18"/>
          <w:color w:val="auto"/>
        </w:rPr>
        <w:t>Notice may be provided in a tangible medium and may be transmitted by mail, private carrier,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delivery, telegraph, teletype, telephone or wire or wireless equipment that transmits a facsimile of the notice.</w:t>
      </w:r>
    </w:p>
    <w:p>
      <w:pPr>
        <w:spacing w:after="0" w:line="161" w:lineRule="exact"/>
        <w:rPr>
          <w:rFonts w:ascii="Arial" w:cs="Arial" w:eastAsia="Arial" w:hAnsi="Arial"/>
          <w:sz w:val="18"/>
          <w:szCs w:val="18"/>
          <w:b w:val="1"/>
          <w:bCs w:val="1"/>
          <w:color w:val="auto"/>
        </w:rPr>
      </w:pPr>
    </w:p>
    <w:p>
      <w:pPr>
        <w:ind w:left="1060" w:hanging="404"/>
        <w:spacing w:after="0"/>
        <w:tabs>
          <w:tab w:leader="none" w:pos="106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Provided in an Electronic Transmission. </w:t>
      </w:r>
      <w:r>
        <w:rPr>
          <w:rFonts w:ascii="Arial" w:cs="Arial" w:eastAsia="Arial" w:hAnsi="Arial"/>
          <w:sz w:val="16"/>
          <w:szCs w:val="16"/>
          <w:color w:val="auto"/>
        </w:rPr>
        <w:t>Notice may be provided in an electronic transmission and be electronically transmitted.</w:t>
      </w:r>
    </w:p>
    <w:p>
      <w:pPr>
        <w:spacing w:after="0" w:line="248" w:lineRule="exact"/>
        <w:rPr>
          <w:rFonts w:ascii="Arial" w:cs="Arial" w:eastAsia="Arial" w:hAnsi="Arial"/>
          <w:sz w:val="16"/>
          <w:szCs w:val="16"/>
          <w:b w:val="1"/>
          <w:bCs w:val="1"/>
          <w:color w:val="auto"/>
        </w:rPr>
      </w:pPr>
    </w:p>
    <w:p>
      <w:pPr>
        <w:ind w:right="200" w:firstLine="1305"/>
        <w:spacing w:after="0" w:line="266" w:lineRule="auto"/>
        <w:tabs>
          <w:tab w:leader="none" w:pos="1686"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Consent to Receive Notice by Electronic Transmission. </w:t>
      </w:r>
      <w:r>
        <w:rPr>
          <w:rFonts w:ascii="Arial" w:cs="Arial" w:eastAsia="Arial" w:hAnsi="Arial"/>
          <w:sz w:val="18"/>
          <w:szCs w:val="18"/>
          <w:color w:val="auto"/>
        </w:rPr>
        <w:t>Notice to shareholders in an electronic transmission is effective only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shareholders that have (A) consented, in the form of a record, to receive electronically transmitted notices and (B) designated in the consent the address, location or system to which these</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1</w:t>
      </w:r>
    </w:p>
    <w:p>
      <w:pPr>
        <w:sectPr>
          <w:pgSz w:w="11900" w:h="16838" w:orient="portrait"/>
          <w:cols w:equalWidth="0" w:num="1">
            <w:col w:w="11420"/>
          </w:cols>
          <w:pgMar w:left="240" w:top="796" w:right="239" w:bottom="1440" w:gutter="0" w:footer="0" w:header="0"/>
        </w:sectPr>
      </w:pPr>
    </w:p>
    <w:bookmarkStart w:id="170" w:name="page171"/>
    <w:bookmarkEnd w:id="170"/>
    <w:p>
      <w:pPr>
        <w:ind w:right="220"/>
        <w:spacing w:after="0" w:line="277" w:lineRule="auto"/>
        <w:rPr>
          <w:sz w:val="20"/>
          <w:szCs w:val="20"/>
          <w:color w:val="auto"/>
        </w:rPr>
      </w:pPr>
      <w:r>
        <w:rPr>
          <w:rFonts w:ascii="Arial" w:cs="Arial" w:eastAsia="Arial" w:hAnsi="Arial"/>
          <w:sz w:val="18"/>
          <w:szCs w:val="18"/>
          <w:color w:val="auto"/>
        </w:rPr>
        <w:t>notices may be electronically transmitted. Notice provided in an electronic transmission includes material required or permitted to accompany the notice by the Washington Business Corporation Act or other applicable statute or regulation.</w:t>
      </w:r>
    </w:p>
    <w:p>
      <w:pPr>
        <w:spacing w:after="0" w:line="166" w:lineRule="exact"/>
        <w:rPr>
          <w:sz w:val="20"/>
          <w:szCs w:val="20"/>
          <w:color w:val="auto"/>
        </w:rPr>
      </w:pPr>
    </w:p>
    <w:p>
      <w:pPr>
        <w:ind w:right="80" w:firstLine="1305"/>
        <w:spacing w:after="0" w:line="298" w:lineRule="auto"/>
        <w:tabs>
          <w:tab w:leader="none" w:pos="1686"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Revocation of Consent to Receive Notice by Electronic Transmission. </w:t>
      </w:r>
      <w:r>
        <w:rPr>
          <w:rFonts w:ascii="Arial" w:cs="Arial" w:eastAsia="Arial" w:hAnsi="Arial"/>
          <w:sz w:val="16"/>
          <w:szCs w:val="16"/>
          <w:color w:val="auto"/>
        </w:rPr>
        <w:t>A shareholder that has consented to receipt of electronically</w:t>
      </w:r>
      <w:r>
        <w:rPr>
          <w:rFonts w:ascii="Arial" w:cs="Arial" w:eastAsia="Arial" w:hAnsi="Arial"/>
          <w:sz w:val="16"/>
          <w:szCs w:val="16"/>
          <w:b w:val="1"/>
          <w:bCs w:val="1"/>
          <w:color w:val="auto"/>
        </w:rPr>
        <w:t xml:space="preserve"> </w:t>
      </w:r>
      <w:r>
        <w:rPr>
          <w:rFonts w:ascii="Arial" w:cs="Arial" w:eastAsia="Arial" w:hAnsi="Arial"/>
          <w:sz w:val="16"/>
          <w:szCs w:val="16"/>
          <w:color w:val="auto"/>
        </w:rPr>
        <w:t>transmitted notices may revoke the consent by delivering a revocation to the corporation in the form of a record. The consent of a shareholder to receive notice by electronic transmission is revoked if the corporation is unable to electronically transmit two consecutive notices given by the corporation in accordance with the consent, and this inability becomes known to the Secretary, the transfer agent or any other person responsible for giving the notice. The inadvertent failure by the corporation to treat this inability as a revocation does not invalidate any meeting or other action.</w:t>
      </w:r>
    </w:p>
    <w:p>
      <w:pPr>
        <w:spacing w:after="0" w:line="154" w:lineRule="exact"/>
        <w:rPr>
          <w:rFonts w:ascii="Arial" w:cs="Arial" w:eastAsia="Arial" w:hAnsi="Arial"/>
          <w:sz w:val="16"/>
          <w:szCs w:val="16"/>
          <w:b w:val="1"/>
          <w:bCs w:val="1"/>
          <w:color w:val="auto"/>
        </w:rPr>
      </w:pPr>
    </w:p>
    <w:p>
      <w:pPr>
        <w:ind w:right="80" w:firstLine="1305"/>
        <w:spacing w:after="0" w:line="266" w:lineRule="auto"/>
        <w:tabs>
          <w:tab w:leader="none" w:pos="1686"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Posting Notice on an Electronic Network. </w:t>
      </w:r>
      <w:r>
        <w:rPr>
          <w:rFonts w:ascii="Arial" w:cs="Arial" w:eastAsia="Arial" w:hAnsi="Arial"/>
          <w:sz w:val="18"/>
          <w:szCs w:val="18"/>
          <w:color w:val="auto"/>
        </w:rPr>
        <w:t>Notice to shareholders that have consented to receipt of electronically transmitted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provided by posting the notice on an electronic network and delivering to the shareholder a separate record of the posting, together with comprehensible instructions regarding how to obtain access to the posting on the electronic network.</w:t>
      </w:r>
    </w:p>
    <w:p>
      <w:pPr>
        <w:spacing w:after="0" w:line="17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5"/>
          <w:szCs w:val="15"/>
          <w:b w:val="1"/>
          <w:bCs w:val="1"/>
          <w:color w:val="auto"/>
        </w:rPr>
        <w:t>Effectiveness of Notice</w:t>
      </w:r>
    </w:p>
    <w:p>
      <w:pPr>
        <w:spacing w:after="0" w:line="225" w:lineRule="exact"/>
        <w:rPr>
          <w:sz w:val="20"/>
          <w:szCs w:val="20"/>
          <w:color w:val="auto"/>
        </w:rPr>
      </w:pPr>
    </w:p>
    <w:p>
      <w:pPr>
        <w:ind w:right="200" w:firstLine="656"/>
        <w:spacing w:after="0" w:line="282" w:lineRule="auto"/>
        <w:tabs>
          <w:tab w:leader="none" w:pos="1038"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Mail. </w:t>
      </w:r>
      <w:r>
        <w:rPr>
          <w:rFonts w:ascii="Arial" w:cs="Arial" w:eastAsia="Arial" w:hAnsi="Arial"/>
          <w:sz w:val="18"/>
          <w:szCs w:val="18"/>
          <w:color w:val="auto"/>
        </w:rPr>
        <w:t>Notice given by mail is effective when deposited in the United States mail, first-class postage prepaid, properly addressed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shareholder at the shareholder's address as it appears in the corporation's current record of shareholders.</w:t>
      </w:r>
    </w:p>
    <w:p>
      <w:pPr>
        <w:spacing w:after="0" w:line="161" w:lineRule="exact"/>
        <w:rPr>
          <w:rFonts w:ascii="Arial" w:cs="Arial" w:eastAsia="Arial" w:hAnsi="Arial"/>
          <w:sz w:val="18"/>
          <w:szCs w:val="18"/>
          <w:b w:val="1"/>
          <w:bCs w:val="1"/>
          <w:color w:val="auto"/>
        </w:rPr>
      </w:pPr>
    </w:p>
    <w:p>
      <w:pPr>
        <w:ind w:right="20" w:firstLine="656"/>
        <w:spacing w:after="0" w:line="347" w:lineRule="auto"/>
        <w:tabs>
          <w:tab w:leader="none" w:pos="1048"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by Telegraph, Teletype or Facsimile Equipment. </w:t>
      </w:r>
      <w:r>
        <w:rPr>
          <w:rFonts w:ascii="Arial" w:cs="Arial" w:eastAsia="Arial" w:hAnsi="Arial"/>
          <w:sz w:val="16"/>
          <w:szCs w:val="16"/>
          <w:color w:val="auto"/>
        </w:rPr>
        <w:t>Notice given by telegraph, teletype or facsimile equipment that transmits a facsimile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notice is effective when dispatched to the shareholder's address, telephone number or other number appearing on the records of the corporation.</w:t>
      </w:r>
    </w:p>
    <w:p>
      <w:pPr>
        <w:spacing w:after="0" w:line="116" w:lineRule="exact"/>
        <w:rPr>
          <w:rFonts w:ascii="Arial" w:cs="Arial" w:eastAsia="Arial" w:hAnsi="Arial"/>
          <w:sz w:val="16"/>
          <w:szCs w:val="16"/>
          <w:b w:val="1"/>
          <w:bCs w:val="1"/>
          <w:color w:val="auto"/>
        </w:rPr>
      </w:pPr>
    </w:p>
    <w:p>
      <w:pPr>
        <w:ind w:right="320" w:firstLine="656"/>
        <w:spacing w:after="0" w:line="282" w:lineRule="auto"/>
        <w:tabs>
          <w:tab w:leader="none" w:pos="1028"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Air Courier. </w:t>
      </w:r>
      <w:r>
        <w:rPr>
          <w:rFonts w:ascii="Arial" w:cs="Arial" w:eastAsia="Arial" w:hAnsi="Arial"/>
          <w:sz w:val="18"/>
          <w:szCs w:val="18"/>
          <w:color w:val="auto"/>
        </w:rPr>
        <w:t>Notice given by air courier is effective when dispatched, if prepaid and properly addressed to the shareholder at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address as it appears in the corporation's current record of shareholders.</w:t>
      </w:r>
    </w:p>
    <w:p>
      <w:pPr>
        <w:spacing w:after="0" w:line="161" w:lineRule="exact"/>
        <w:rPr>
          <w:rFonts w:ascii="Arial" w:cs="Arial" w:eastAsia="Arial" w:hAnsi="Arial"/>
          <w:sz w:val="18"/>
          <w:szCs w:val="18"/>
          <w:b w:val="1"/>
          <w:bCs w:val="1"/>
          <w:color w:val="auto"/>
        </w:rPr>
      </w:pPr>
    </w:p>
    <w:p>
      <w:pPr>
        <w:ind w:right="40" w:firstLine="656"/>
        <w:spacing w:after="0" w:line="282" w:lineRule="auto"/>
        <w:tabs>
          <w:tab w:leader="none" w:pos="1048"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Ground Courier or Other Personal Delivery. </w:t>
      </w:r>
      <w:r>
        <w:rPr>
          <w:rFonts w:ascii="Arial" w:cs="Arial" w:eastAsia="Arial" w:hAnsi="Arial"/>
          <w:sz w:val="18"/>
          <w:szCs w:val="18"/>
          <w:color w:val="auto"/>
        </w:rPr>
        <w:t>Notice given by ground courier or other personal delivery is effective when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by a shareholder.</w:t>
      </w:r>
    </w:p>
    <w:p>
      <w:pPr>
        <w:spacing w:after="0" w:line="161" w:lineRule="exact"/>
        <w:rPr>
          <w:rFonts w:ascii="Arial" w:cs="Arial" w:eastAsia="Arial" w:hAnsi="Arial"/>
          <w:sz w:val="18"/>
          <w:szCs w:val="18"/>
          <w:b w:val="1"/>
          <w:bCs w:val="1"/>
          <w:color w:val="auto"/>
        </w:rPr>
      </w:pPr>
    </w:p>
    <w:p>
      <w:pPr>
        <w:ind w:right="120" w:firstLine="656"/>
        <w:spacing w:after="0" w:line="261" w:lineRule="auto"/>
        <w:tabs>
          <w:tab w:leader="none" w:pos="1028"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Electronic Transmission. </w:t>
      </w:r>
      <w:r>
        <w:rPr>
          <w:rFonts w:ascii="Arial" w:cs="Arial" w:eastAsia="Arial" w:hAnsi="Arial"/>
          <w:sz w:val="18"/>
          <w:szCs w:val="18"/>
          <w:color w:val="auto"/>
        </w:rPr>
        <w:t>Notice provided in an electronic transmission, if in comprehensible form, is effective when it (i) is</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transmitted to an address, location or system designated by the recipient for that purpose or (ii) has been posted on an electronic network and a separate record of the posting has been delivered to the recipient together with comprehensible instructions regarding how to obtain access to the posting on the electronic network.</w:t>
      </w:r>
    </w:p>
    <w:p>
      <w:pPr>
        <w:spacing w:after="0" w:line="180" w:lineRule="exact"/>
        <w:rPr>
          <w:rFonts w:ascii="Arial" w:cs="Arial" w:eastAsia="Arial" w:hAnsi="Arial"/>
          <w:sz w:val="18"/>
          <w:szCs w:val="18"/>
          <w:b w:val="1"/>
          <w:bCs w:val="1"/>
          <w:color w:val="auto"/>
        </w:rPr>
      </w:pPr>
    </w:p>
    <w:p>
      <w:pPr>
        <w:ind w:left="1020" w:hanging="364"/>
        <w:spacing w:after="0"/>
        <w:tabs>
          <w:tab w:leader="none" w:pos="10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by Publication. </w:t>
      </w:r>
      <w:r>
        <w:rPr>
          <w:rFonts w:ascii="Arial" w:cs="Arial" w:eastAsia="Arial" w:hAnsi="Arial"/>
          <w:sz w:val="18"/>
          <w:szCs w:val="18"/>
          <w:color w:val="auto"/>
        </w:rPr>
        <w:t>Notice given by publication is effective five days after first publication.</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6"/>
          <w:szCs w:val="16"/>
          <w:b w:val="1"/>
          <w:bCs w:val="1"/>
          <w:color w:val="auto"/>
        </w:rPr>
        <w:t>Notice of Meetings</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Notice stating the place, day and hour of the meeting and, in the case of a special meeting, the purpose or purposes for which the meeting is called shall be provided in the form of a record by or at the direction of the Board, the Chairman of the Board, the Chief Executive Officer, the President or the Secretary to each shareholder entitled to notice of or to vote at the meeting, as provided below.</w:t>
      </w:r>
    </w:p>
    <w:p>
      <w:pPr>
        <w:spacing w:after="0" w:line="177"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18"/>
          <w:szCs w:val="18"/>
          <w:b w:val="1"/>
          <w:bCs w:val="1"/>
          <w:color w:val="auto"/>
        </w:rPr>
        <w:t>2.5.3.1</w:t>
      </w:r>
      <w:r>
        <w:rPr>
          <w:sz w:val="20"/>
          <w:szCs w:val="20"/>
          <w:color w:val="auto"/>
        </w:rPr>
        <w:tab/>
      </w:r>
      <w:r>
        <w:rPr>
          <w:rFonts w:ascii="Arial" w:cs="Arial" w:eastAsia="Arial" w:hAnsi="Arial"/>
          <w:sz w:val="16"/>
          <w:szCs w:val="16"/>
          <w:b w:val="1"/>
          <w:bCs w:val="1"/>
          <w:color w:val="auto"/>
        </w:rPr>
        <w:t>Number of Days' Notice</w:t>
      </w:r>
    </w:p>
    <w:p>
      <w:pPr>
        <w:spacing w:after="0" w:line="225" w:lineRule="exact"/>
        <w:rPr>
          <w:sz w:val="20"/>
          <w:szCs w:val="20"/>
          <w:color w:val="auto"/>
        </w:rPr>
      </w:pPr>
    </w:p>
    <w:p>
      <w:pPr>
        <w:ind w:right="400" w:firstLine="1305"/>
        <w:spacing w:after="0" w:line="282" w:lineRule="auto"/>
        <w:tabs>
          <w:tab w:leader="none" w:pos="1686"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Normal Business. </w:t>
      </w:r>
      <w:r>
        <w:rPr>
          <w:rFonts w:ascii="Arial" w:cs="Arial" w:eastAsia="Arial" w:hAnsi="Arial"/>
          <w:sz w:val="18"/>
          <w:szCs w:val="18"/>
          <w:color w:val="auto"/>
        </w:rPr>
        <w:t>Except as provided in Section 2.5.3.1(b), notice of the meeting shall be provided not less than 10 or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60 days before the meeting.</w:t>
      </w:r>
    </w:p>
    <w:p>
      <w:pPr>
        <w:spacing w:after="0" w:line="161" w:lineRule="exact"/>
        <w:rPr>
          <w:rFonts w:ascii="Arial" w:cs="Arial" w:eastAsia="Arial" w:hAnsi="Arial"/>
          <w:sz w:val="18"/>
          <w:szCs w:val="18"/>
          <w:b w:val="1"/>
          <w:bCs w:val="1"/>
          <w:color w:val="auto"/>
        </w:rPr>
      </w:pPr>
    </w:p>
    <w:p>
      <w:pPr>
        <w:ind w:right="40" w:firstLine="1305"/>
        <w:spacing w:after="0" w:line="261" w:lineRule="auto"/>
        <w:tabs>
          <w:tab w:leader="none" w:pos="1696"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to Articles of Incorporation; Merger or Share Exchange; Sale of Assets or Dissolution. </w:t>
      </w:r>
      <w:r>
        <w:rPr>
          <w:rFonts w:ascii="Arial" w:cs="Arial" w:eastAsia="Arial" w:hAnsi="Arial"/>
          <w:sz w:val="18"/>
          <w:szCs w:val="18"/>
          <w:color w:val="auto"/>
        </w:rPr>
        <w:t>Notice of a meeting held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considering (i) an amendment to the Articles of Incorporation, (ii) a plan of merger or share exchange, (iii) the sale, lease, exchange or other disposition of all or substantially all of the corporation's assets other than in the regular course of business or (iv) the dissolution of the corporation shall be provided not less than 20 or more than 60 days before the meeting.</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2</w:t>
      </w:r>
    </w:p>
    <w:p>
      <w:pPr>
        <w:sectPr>
          <w:pgSz w:w="11900" w:h="16838" w:orient="portrait"/>
          <w:cols w:equalWidth="0" w:num="1">
            <w:col w:w="11420"/>
          </w:cols>
          <w:pgMar w:left="240" w:top="801" w:right="239" w:bottom="1440" w:gutter="0" w:footer="0" w:header="0"/>
        </w:sectPr>
      </w:pPr>
    </w:p>
    <w:bookmarkStart w:id="171" w:name="page172"/>
    <w:bookmarkEnd w:id="171"/>
    <w:p>
      <w:pPr>
        <w:ind w:left="1960"/>
        <w:spacing w:after="0"/>
        <w:tabs>
          <w:tab w:leader="none" w:pos="2740" w:val="left"/>
        </w:tabs>
        <w:rPr>
          <w:sz w:val="20"/>
          <w:szCs w:val="20"/>
          <w:color w:val="auto"/>
        </w:rPr>
      </w:pPr>
      <w:r>
        <w:rPr>
          <w:rFonts w:ascii="Arial" w:cs="Arial" w:eastAsia="Arial" w:hAnsi="Arial"/>
          <w:sz w:val="18"/>
          <w:szCs w:val="18"/>
          <w:b w:val="1"/>
          <w:bCs w:val="1"/>
          <w:color w:val="auto"/>
        </w:rPr>
        <w:t>2.5.3.2</w:t>
      </w:r>
      <w:r>
        <w:rPr>
          <w:sz w:val="20"/>
          <w:szCs w:val="20"/>
          <w:color w:val="auto"/>
        </w:rPr>
        <w:tab/>
      </w:r>
      <w:r>
        <w:rPr>
          <w:rFonts w:ascii="Arial" w:cs="Arial" w:eastAsia="Arial" w:hAnsi="Arial"/>
          <w:sz w:val="16"/>
          <w:szCs w:val="16"/>
          <w:b w:val="1"/>
          <w:bCs w:val="1"/>
          <w:color w:val="auto"/>
        </w:rPr>
        <w:t>Adjourned Meetings</w:t>
      </w:r>
    </w:p>
    <w:p>
      <w:pPr>
        <w:spacing w:after="0" w:line="22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If an annual or special meeting of shareholders is adjourned to a different date, time or place, no notice of the new date, time or place is required if this information is announced at the meeting before adjournment. If a new record date for the adjourned meeting is or must be fixed, notice of the adjourned meeting must be provided to shareholders entitled to notice of or to vote as of the new record date.</w:t>
      </w:r>
    </w:p>
    <w:p>
      <w:pPr>
        <w:spacing w:after="0" w:line="17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6"/>
          <w:szCs w:val="16"/>
          <w:b w:val="1"/>
          <w:bCs w:val="1"/>
          <w:color w:val="auto"/>
        </w:rPr>
        <w:t>Waiver of Notice</w:t>
      </w:r>
    </w:p>
    <w:p>
      <w:pPr>
        <w:spacing w:after="0" w:line="225"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18"/>
          <w:szCs w:val="18"/>
          <w:b w:val="1"/>
          <w:bCs w:val="1"/>
          <w:color w:val="auto"/>
        </w:rPr>
        <w:t>2.5.4.1</w:t>
      </w:r>
      <w:r>
        <w:rPr>
          <w:sz w:val="20"/>
          <w:szCs w:val="20"/>
          <w:color w:val="auto"/>
        </w:rPr>
        <w:tab/>
      </w:r>
      <w:r>
        <w:rPr>
          <w:rFonts w:ascii="Arial" w:cs="Arial" w:eastAsia="Arial" w:hAnsi="Arial"/>
          <w:sz w:val="16"/>
          <w:szCs w:val="16"/>
          <w:b w:val="1"/>
          <w:bCs w:val="1"/>
          <w:color w:val="auto"/>
        </w:rPr>
        <w:t>Waiver by Delivery of a Record</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 shareholder may waive any notice required by these Bylaws, the Articles of Incorporation or the Washington Business Corporation Act before or after the date and time of the meeting that is the subject of the notice. The waiver must be (a) delivered by the shareholder entitled to notice to the corporation for inclusion in the minutes or filing with the corporate records, and (b) set forth either in an executed and dated written record or, if the corporation has designated an address, location or system to which the waiver may be electronically transmitted and the waiver is electronically transmitted to the designated address, location or system, in an executed and dated electronically transmitted record.</w:t>
      </w:r>
    </w:p>
    <w:p>
      <w:pPr>
        <w:spacing w:after="0" w:line="169"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18"/>
          <w:szCs w:val="18"/>
          <w:b w:val="1"/>
          <w:bCs w:val="1"/>
          <w:color w:val="auto"/>
        </w:rPr>
        <w:t>2.5.4.2</w:t>
      </w:r>
      <w:r>
        <w:rPr>
          <w:sz w:val="20"/>
          <w:szCs w:val="20"/>
          <w:color w:val="auto"/>
        </w:rPr>
        <w:tab/>
      </w:r>
      <w:r>
        <w:rPr>
          <w:rFonts w:ascii="Arial" w:cs="Arial" w:eastAsia="Arial" w:hAnsi="Arial"/>
          <w:sz w:val="16"/>
          <w:szCs w:val="16"/>
          <w:b w:val="1"/>
          <w:bCs w:val="1"/>
          <w:color w:val="auto"/>
        </w:rPr>
        <w:t>Waiver by Attendance</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Notice of the time, place and purpose of any meeting will be waived by any shareholder by attendance in person or by proxy unless the shareholder at the beginning of the meeting objects to holding the meeting or transacting business at the meeting.</w:t>
      </w:r>
    </w:p>
    <w:p>
      <w:pPr>
        <w:spacing w:after="0" w:line="166"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18"/>
          <w:szCs w:val="18"/>
          <w:b w:val="1"/>
          <w:bCs w:val="1"/>
          <w:color w:val="auto"/>
        </w:rPr>
        <w:t>2.5.4.3</w:t>
      </w:r>
      <w:r>
        <w:rPr>
          <w:sz w:val="20"/>
          <w:szCs w:val="20"/>
          <w:color w:val="auto"/>
        </w:rPr>
        <w:tab/>
      </w:r>
      <w:r>
        <w:rPr>
          <w:rFonts w:ascii="Arial" w:cs="Arial" w:eastAsia="Arial" w:hAnsi="Arial"/>
          <w:sz w:val="16"/>
          <w:szCs w:val="16"/>
          <w:b w:val="1"/>
          <w:bCs w:val="1"/>
          <w:color w:val="auto"/>
        </w:rPr>
        <w:t>Waiver of Objection</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shareholder waives objection to consideration of a particular matter at a meeting that is not within the purpose or purposes described in the notice of the meeting unless the shareholder objects to considering the matter when it is presented.</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color w:val="auto"/>
        </w:rPr>
        <w:t>Business for Shareholders' Meetings</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5"/>
          <w:szCs w:val="15"/>
          <w:b w:val="1"/>
          <w:bCs w:val="1"/>
          <w:color w:val="auto"/>
        </w:rPr>
        <w:t>Business at Annual Meetings</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In addition to the election of directors, other proper business may be transacted at an annual meeting of shareholders, provided that such business is properly brought before such meeting. To be properly brought before an annual meeting, business must be brought (a) by or at the direction of the Board or</w:t>
      </w:r>
    </w:p>
    <w:p>
      <w:pPr>
        <w:ind w:right="40" w:firstLine="8"/>
        <w:spacing w:after="0" w:line="281" w:lineRule="auto"/>
        <w:tabs>
          <w:tab w:leader="none" w:pos="255" w:val="left"/>
        </w:tabs>
        <w:numPr>
          <w:ilvl w:val="0"/>
          <w:numId w:val="75"/>
        </w:numPr>
        <w:rPr>
          <w:rFonts w:ascii="Arial" w:cs="Arial" w:eastAsia="Arial" w:hAnsi="Arial"/>
          <w:sz w:val="16"/>
          <w:szCs w:val="16"/>
          <w:color w:val="auto"/>
        </w:rPr>
      </w:pPr>
      <w:r>
        <w:rPr>
          <w:rFonts w:ascii="Arial" w:cs="Arial" w:eastAsia="Arial" w:hAnsi="Arial"/>
          <w:sz w:val="16"/>
          <w:szCs w:val="16"/>
          <w:color w:val="auto"/>
        </w:rPr>
        <w:t>before the meeting by a shareholder pursuant to written notice thereof, in accordance with Section 2.6.3 hereof, and received by the Secretary not fewer than 90 or more than 120 days prior to the anniversary date of the prior year's annual meeting; provided that if the date of the annual meeting is advanced more than 30 days prior to or delayed by more than 30 days after the anniversary of the preceding year's annual meeting, notice by the shareholder, in order to be considered timely, must be so delivered not later than the close of business on the later of (i) the 120th day prior to such annual meeting or (ii) the 10th day following the day on which the notice of the date of the annual meeting was made in accordance with Section 2.5. Any shareholder notice shall set forth</w:t>
      </w:r>
    </w:p>
    <w:p>
      <w:pPr>
        <w:spacing w:after="0" w:line="3" w:lineRule="exact"/>
        <w:rPr>
          <w:rFonts w:ascii="Arial" w:cs="Arial" w:eastAsia="Arial" w:hAnsi="Arial"/>
          <w:sz w:val="16"/>
          <w:szCs w:val="16"/>
          <w:color w:val="auto"/>
        </w:rPr>
      </w:pPr>
    </w:p>
    <w:p>
      <w:pPr>
        <w:ind w:right="100"/>
        <w:spacing w:after="0" w:line="281" w:lineRule="auto"/>
        <w:rPr>
          <w:rFonts w:ascii="Arial" w:cs="Arial" w:eastAsia="Arial" w:hAnsi="Arial"/>
          <w:sz w:val="16"/>
          <w:szCs w:val="16"/>
          <w:color w:val="auto"/>
        </w:rPr>
      </w:pPr>
      <w:r>
        <w:rPr>
          <w:rFonts w:ascii="Arial" w:cs="Arial" w:eastAsia="Arial" w:hAnsi="Arial"/>
          <w:sz w:val="16"/>
          <w:szCs w:val="16"/>
          <w:color w:val="auto"/>
        </w:rPr>
        <w:t>(1) the name and address of the shareholder proposing such business; (2) a representation that the shareholder is entitled to vote at such meeting and a statement of the number of shares of the corporation which are beneficially owned by the shareholder; (3) a representation that the shareholder intends to appear in person or by proxy at the meeting to propose such business; and (4) as to each matter the shareholder proposes to bring before the meeting, a brief description of the business desired to be brought before the meeting, the reasons for conducting such business at the meeting, the language of the proposal (if appropriate), and any material interest of the shareholder in such business. No business shall be conducted at any annual meeting of shareholders except in accordance with this Section 2.6.1. If the facts warrant, the Board, or the chairman of an annual meeting of shareholders, may determine and declare that</w:t>
      </w:r>
    </w:p>
    <w:p>
      <w:pPr>
        <w:spacing w:after="0" w:line="4" w:lineRule="exact"/>
        <w:rPr>
          <w:rFonts w:ascii="Arial" w:cs="Arial" w:eastAsia="Arial" w:hAnsi="Arial"/>
          <w:sz w:val="16"/>
          <w:szCs w:val="16"/>
          <w:color w:val="auto"/>
        </w:rPr>
      </w:pPr>
    </w:p>
    <w:p>
      <w:pPr>
        <w:ind w:right="140"/>
        <w:spacing w:after="0" w:line="216" w:lineRule="exact"/>
        <w:rPr>
          <w:rFonts w:ascii="Arial" w:cs="Arial" w:eastAsia="Arial" w:hAnsi="Arial"/>
          <w:sz w:val="16"/>
          <w:szCs w:val="16"/>
          <w:color w:val="auto"/>
        </w:rPr>
      </w:pPr>
      <w:r>
        <w:rPr>
          <w:rFonts w:ascii="Arial" w:cs="Arial" w:eastAsia="Arial" w:hAnsi="Arial"/>
          <w:sz w:val="16"/>
          <w:szCs w:val="16"/>
          <w:color w:val="auto"/>
        </w:rPr>
        <w:t>(A) a proposal does not constitute proper business to be transacted at the meeting or (B) business was not properly brought before the meeting in accordance with the provisions of this Section 2.6.1; if, in either case, it is so determined, any such business not properly brought before the meeting shall not be transacted. In addition to the procedures set forth in this Section 2.6.1, shareholders desiring to include a proposal in the corporation's proxy statement must also comply with the requirements set forth in Rule 14a</w:t>
      </w:r>
      <w:r>
        <w:rPr>
          <w:rFonts w:ascii="MS PGothic" w:cs="MS PGothic" w:eastAsia="MS PGothic" w:hAnsi="MS PGothic"/>
          <w:sz w:val="16"/>
          <w:szCs w:val="16"/>
          <w:color w:val="auto"/>
        </w:rPr>
        <w:t>‑</w:t>
      </w:r>
      <w:r>
        <w:rPr>
          <w:rFonts w:ascii="Arial" w:cs="Arial" w:eastAsia="Arial" w:hAnsi="Arial"/>
          <w:sz w:val="16"/>
          <w:szCs w:val="16"/>
          <w:color w:val="auto"/>
        </w:rPr>
        <w:t>8 under Section 14 of the Securities Exchange Act of 1934, as amended, or any successor provision.</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3</w:t>
      </w:r>
    </w:p>
    <w:p>
      <w:pPr>
        <w:sectPr>
          <w:pgSz w:w="11900" w:h="16838" w:orient="portrait"/>
          <w:cols w:equalWidth="0" w:num="1">
            <w:col w:w="11420"/>
          </w:cols>
          <w:pgMar w:left="240" w:top="796" w:right="239" w:bottom="1440" w:gutter="0" w:footer="0" w:header="0"/>
        </w:sectPr>
      </w:pPr>
    </w:p>
    <w:bookmarkStart w:id="172" w:name="page173"/>
    <w:bookmarkEnd w:id="172"/>
    <w:p>
      <w:pPr>
        <w:ind w:left="1300"/>
        <w:spacing w:after="0"/>
        <w:tabs>
          <w:tab w:leader="none" w:pos="194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5"/>
          <w:szCs w:val="15"/>
          <w:b w:val="1"/>
          <w:bCs w:val="1"/>
          <w:color w:val="auto"/>
        </w:rPr>
        <w:t>Business at Special Meetings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any special meeting of the shareholders, only such business as is specified in the notice of such special meeting given by or at the direction of the person or persons calling such meeting, in accordance with Section 2.5 hereof, shall come before such meeting.</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6"/>
          <w:szCs w:val="16"/>
          <w:b w:val="1"/>
          <w:bCs w:val="1"/>
          <w:color w:val="auto"/>
        </w:rPr>
        <w:t>Notice to Corporation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Any written notice required to be delivered by a shareholder to the corporation pursuant to Section 2.5, 2.6.1 or 2.6.2 hereof must be given, either by personal delivery or by registered or certified mail, postage prepaid, to the Secretary at the corporation's executive offices.</w:t>
      </w:r>
    </w:p>
    <w:p>
      <w:pPr>
        <w:spacing w:after="0" w:line="166" w:lineRule="exact"/>
        <w:rPr>
          <w:sz w:val="20"/>
          <w:szCs w:val="20"/>
          <w:color w:val="auto"/>
        </w:rPr>
      </w:pPr>
    </w:p>
    <w:p>
      <w:pPr>
        <w:ind w:left="1300" w:right="580" w:hanging="647"/>
        <w:spacing w:after="0" w:line="282" w:lineRule="auto"/>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Fixing of Record Date for Determining Shareholders Entitled to Notice of or to Vote at a Meeting or to Receive Payment of a Dividend</w:t>
      </w:r>
    </w:p>
    <w:p>
      <w:pPr>
        <w:spacing w:after="0" w:line="16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6"/>
          <w:szCs w:val="16"/>
          <w:b w:val="1"/>
          <w:bCs w:val="1"/>
          <w:color w:val="auto"/>
        </w:rPr>
        <w:t>Record Date for Meeting of Shareholders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For the purpose of determining shareholders entitled to notice of or to vote at any meeting of shareholders or any adjournment of a meeting, the Board may fix a future date as the record date for the determination. The record date shall be not less than 10 or more than 70 days prior to the date of the meeting. If no record date is fixed for the determination of shareholders entitled to notice of or to vote at a meeting, the record date shall be the day immediately preceding the date on which notice of the meeting is first given to shareholders. The determination of the record date shall apply to any adjournment of the meeting unless the Board fixes a new record date, which it shall do if the meeting is adjourned to a date more than 120 days after the date fixed for the original meeting.</w:t>
      </w:r>
    </w:p>
    <w:p>
      <w:pPr>
        <w:spacing w:after="0" w:line="18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6"/>
          <w:szCs w:val="16"/>
          <w:b w:val="1"/>
          <w:bCs w:val="1"/>
          <w:color w:val="auto"/>
        </w:rPr>
        <w:t>Record Date to Receive Payment of Dividend or Distribution</w:t>
      </w:r>
    </w:p>
    <w:p>
      <w:pPr>
        <w:spacing w:after="0" w:line="229" w:lineRule="exact"/>
        <w:rPr>
          <w:sz w:val="20"/>
          <w:szCs w:val="20"/>
          <w:color w:val="auto"/>
        </w:rPr>
      </w:pPr>
    </w:p>
    <w:p>
      <w:pPr>
        <w:ind w:right="480" w:firstLine="648"/>
        <w:spacing w:after="0" w:line="291" w:lineRule="auto"/>
        <w:rPr>
          <w:sz w:val="20"/>
          <w:szCs w:val="20"/>
          <w:color w:val="auto"/>
        </w:rPr>
      </w:pPr>
      <w:r>
        <w:rPr>
          <w:rFonts w:ascii="Arial" w:cs="Arial" w:eastAsia="Arial" w:hAnsi="Arial"/>
          <w:sz w:val="16"/>
          <w:szCs w:val="16"/>
          <w:color w:val="auto"/>
        </w:rPr>
        <w:t>For the purpose of determining shareholders entitled to receive payment of any dividend or distribution (including a dividend or distribution in connection with a stock split), the Board may fix a future date as the record date for the dividend or distribution. The record date shall be not more than</w:t>
      </w:r>
    </w:p>
    <w:p>
      <w:pPr>
        <w:ind w:right="280"/>
        <w:spacing w:after="0" w:line="255" w:lineRule="auto"/>
        <w:rPr>
          <w:sz w:val="20"/>
          <w:szCs w:val="20"/>
          <w:color w:val="auto"/>
        </w:rPr>
      </w:pPr>
      <w:r>
        <w:rPr>
          <w:rFonts w:ascii="Arial" w:cs="Arial" w:eastAsia="Arial" w:hAnsi="Arial"/>
          <w:sz w:val="18"/>
          <w:szCs w:val="18"/>
          <w:color w:val="auto"/>
        </w:rPr>
        <w:t>70 days prior to the date on which the dividend or distribution is payable. If no record date is set for the determination of shareholders entitled to receive payment of any stock dividend or distribution (other than one involving a purchase, redemption or other acquisition of the corporation's shares), the record date shall be the date the Board authorizes the stock dividend or distribution.</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Voting Record</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At least 10 days before each meeting of shareholders, an alphabetical list of the shareholders entitled to notice of such meeting shall be made, arranged by voting group and by each class or series of shares therein, with the address of and number of shares held by each shareholder. This record shall be kept at the principal office of the corporation for 10 days prior to such meeting, and shall be kept open at such meeting, for inspection by any shareholder or any shareholder's agent.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Quorum</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 majority of the votes entitled to be cast on a matter by the holders of shares that, pursuant to the Articles of Incorporation or the Washington Business Corporation Act, are entitled to vote and be counted collectively upon such matter, represented in person or by proxy, shall constitute a quorum of such shares at a meeting of shareholders. If less than a quorum of such votes are represented at a meeting, a majority of the votes so represented may adjourn the meeting from time to time without further notice if the new date, time or place is announced at the meeting before adjournment. Any business may be transacted at a reconvened meeting that might have been transacted at the meeting as originally called, provided a quorum is present or represented thereat. Once a share is represented for any purpose at a meeting other than solely to object to holding the meeting or transacting business thereat, it is deemed present for quorum purposes for the remainder of the meeting and any adjournment thereof (unless a new record date is or must be set for the adjourned meeting), notwithstanding the withdrawal of enough shareholders to leave less than a quorum.</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4</w:t>
      </w:r>
    </w:p>
    <w:p>
      <w:pPr>
        <w:sectPr>
          <w:pgSz w:w="11900" w:h="16838" w:orient="portrait"/>
          <w:cols w:equalWidth="0" w:num="1">
            <w:col w:w="11420"/>
          </w:cols>
          <w:pgMar w:left="240" w:top="797" w:right="239" w:bottom="1440" w:gutter="0" w:footer="0" w:header="0"/>
        </w:sectPr>
      </w:pPr>
    </w:p>
    <w:bookmarkStart w:id="173" w:name="page174"/>
    <w:bookmarkEnd w:id="173"/>
    <w:p>
      <w:pPr>
        <w:ind w:left="660"/>
        <w:spacing w:after="0"/>
        <w:tabs>
          <w:tab w:leader="none" w:pos="128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Manner of Acting</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2.10.1</w:t>
      </w:r>
      <w:r>
        <w:rPr>
          <w:sz w:val="20"/>
          <w:szCs w:val="20"/>
          <w:color w:val="auto"/>
        </w:rPr>
        <w:tab/>
      </w:r>
      <w:r>
        <w:rPr>
          <w:rFonts w:ascii="Arial" w:cs="Arial" w:eastAsia="Arial" w:hAnsi="Arial"/>
          <w:sz w:val="16"/>
          <w:szCs w:val="16"/>
          <w:b w:val="1"/>
          <w:bCs w:val="1"/>
          <w:color w:val="auto"/>
        </w:rPr>
        <w:t>Matters Other Than the Election of Directors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If a quorum is present, action on a matter other than the election of directors shall be approved if the votes cast in favor of the action by shares entitled to vote on the matter exceed the votes cast against the action by shares entitled to vote thereon, unless the Articles of Incorporation or the Washington Business Corporation Act requires a greater number of affirmative votes or approval by separate voting groups.</w:t>
      </w:r>
    </w:p>
    <w:p>
      <w:pPr>
        <w:spacing w:after="0" w:line="16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2.10.2</w:t>
      </w:r>
      <w:r>
        <w:rPr>
          <w:sz w:val="20"/>
          <w:szCs w:val="20"/>
          <w:color w:val="auto"/>
        </w:rPr>
        <w:tab/>
      </w:r>
      <w:r>
        <w:rPr>
          <w:rFonts w:ascii="Arial" w:cs="Arial" w:eastAsia="Arial" w:hAnsi="Arial"/>
          <w:sz w:val="16"/>
          <w:szCs w:val="16"/>
          <w:b w:val="1"/>
          <w:bCs w:val="1"/>
          <w:color w:val="auto"/>
        </w:rPr>
        <w:t>Election of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Directors shall be elected in the manner set forth in Section 2.13.</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Proxies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 shareholder or the shareholder's agent or attorney-in-fact may appoint a proxy to vote or otherwise act for the shareholder by an executed writing or by a recorded telephone call, voice mail or other electronic transmission.</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2.11.1</w:t>
      </w:r>
      <w:r>
        <w:rPr>
          <w:sz w:val="20"/>
          <w:szCs w:val="20"/>
          <w:color w:val="auto"/>
        </w:rPr>
        <w:tab/>
      </w:r>
      <w:r>
        <w:rPr>
          <w:rFonts w:ascii="Arial" w:cs="Arial" w:eastAsia="Arial" w:hAnsi="Arial"/>
          <w:sz w:val="16"/>
          <w:szCs w:val="16"/>
          <w:b w:val="1"/>
          <w:bCs w:val="1"/>
          <w:color w:val="auto"/>
        </w:rPr>
        <w:t>Written Authorization</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Execution of a writing authorizing another person or persons to act for the shareholder as proxy may be accomplished by the shareholder or the shareholder's authorized officer, director, employee or agent signing the writing or causing his or her signature to be affixed to the writing by any reasonable means, including, but not limited to, by facsimile signature.</w:t>
      </w:r>
    </w:p>
    <w:p>
      <w:pPr>
        <w:spacing w:after="0" w:line="17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2.11.2</w:t>
      </w:r>
      <w:r>
        <w:rPr>
          <w:sz w:val="20"/>
          <w:szCs w:val="20"/>
          <w:color w:val="auto"/>
        </w:rPr>
        <w:tab/>
      </w:r>
      <w:r>
        <w:rPr>
          <w:rFonts w:ascii="Arial" w:cs="Arial" w:eastAsia="Arial" w:hAnsi="Arial"/>
          <w:sz w:val="16"/>
          <w:szCs w:val="16"/>
          <w:b w:val="1"/>
          <w:bCs w:val="1"/>
          <w:color w:val="auto"/>
        </w:rPr>
        <w:t>Recorded Telephone Call, Voice Mail or Other Electronic Transmission</w:t>
      </w:r>
    </w:p>
    <w:p>
      <w:pPr>
        <w:spacing w:after="0" w:line="229"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Authorizing another person or persons to act for the shareholder as proxy may be accomplished by transmitting or authorizing the transmission of a recorded telephone call, voice mail or other electronic transmission to the person who will be the holder of the proxy or to a proxy solicitation firm, proxy support service organization or like agent duly authorized by the person who will be the holder of the proxy to receive the transmission, provided that the transmission must either set forth or be submitted with information, including any security or validation controls used, from which it can reasonably be determined that the transmission was authorized by the shareholder. If it is determined that the transmission is valid, the inspectors of election or, if there are no inspectors, any officer or agent of the corporation making that determination on behalf of the corporation shall specify the information upon which he or she relied. The corporation shall require the holders of proxies received by transmission to provide to the corporation copies of the transmission, and the corporation shall retain copies of the transmission for a reasonable period of time after the election, provided that they are retained for at least 60 days.</w:t>
      </w:r>
    </w:p>
    <w:p>
      <w:pPr>
        <w:spacing w:after="0" w:line="16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2.11.3</w:t>
      </w:r>
      <w:r>
        <w:rPr>
          <w:sz w:val="20"/>
          <w:szCs w:val="20"/>
          <w:color w:val="auto"/>
        </w:rPr>
        <w:tab/>
      </w:r>
      <w:r>
        <w:rPr>
          <w:rFonts w:ascii="Arial" w:cs="Arial" w:eastAsia="Arial" w:hAnsi="Arial"/>
          <w:sz w:val="15"/>
          <w:szCs w:val="15"/>
          <w:b w:val="1"/>
          <w:bCs w:val="1"/>
          <w:color w:val="auto"/>
        </w:rPr>
        <w:t>Effectiveness of Appointment of Proxy</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An appointment of a proxy is effective when a signed appointment form or telegram, cablegram, recorded telephone call, voice mail or other transmission of the appointment is received by the inspectors of election or the officer or agent of the corporation authorized to tabulate votes. An appointment is valid for 11 months unless a longer period is expressly provided in the appointment. A proxy with respect to a specified meeting shall entitle its holder to vote at any reconvened meeting following adjournment of the meeting but shall not be valid after the final adjournment.</w:t>
      </w:r>
    </w:p>
    <w:p>
      <w:pPr>
        <w:spacing w:after="0" w:line="16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2.11.4</w:t>
      </w:r>
      <w:r>
        <w:rPr>
          <w:sz w:val="20"/>
          <w:szCs w:val="20"/>
          <w:color w:val="auto"/>
        </w:rPr>
        <w:tab/>
      </w:r>
      <w:r>
        <w:rPr>
          <w:rFonts w:ascii="Arial" w:cs="Arial" w:eastAsia="Arial" w:hAnsi="Arial"/>
          <w:sz w:val="16"/>
          <w:szCs w:val="16"/>
          <w:b w:val="1"/>
          <w:bCs w:val="1"/>
          <w:color w:val="auto"/>
        </w:rPr>
        <w:t>Revocability of Proxy</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An appointment of a proxy is revocable by the shareholder unless the appointment indicates that it is irrevocable and the appointment is coupled with an interest. Appointments coupled with an interest include the appointment of a pledgee, a person who purchased or agreed to purchase the shares, a creditor of the corporation who extended it credit under terms requiring the appointment, an employee of the corporation whose employment contract requires the appointment or a party to a voting agreement created under RCW 23B.07.310. An appointment made irrevocable is revoked when the interest with which it is coupled is extinguished. A transferee for value of shares subject to an irrevocable appointment may revoke the appointment if the transferee did not know of its existence when the transferee acquired the shares and the existence of the irrevocable appointment was not noted conspicuously on the certificate representing the shares or on the information statement for shares without certificates.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5</w:t>
      </w:r>
    </w:p>
    <w:p>
      <w:pPr>
        <w:sectPr>
          <w:pgSz w:w="11900" w:h="16838" w:orient="portrait"/>
          <w:cols w:equalWidth="0" w:num="1">
            <w:col w:w="11420"/>
          </w:cols>
          <w:pgMar w:left="240" w:top="797" w:right="239" w:bottom="1440" w:gutter="0" w:footer="0" w:header="0"/>
        </w:sectPr>
      </w:pPr>
    </w:p>
    <w:bookmarkStart w:id="174" w:name="page175"/>
    <w:bookmarkEnd w:id="174"/>
    <w:p>
      <w:pPr>
        <w:ind w:left="1300"/>
        <w:spacing w:after="0"/>
        <w:tabs>
          <w:tab w:leader="none" w:pos="1940" w:val="left"/>
        </w:tabs>
        <w:rPr>
          <w:sz w:val="20"/>
          <w:szCs w:val="20"/>
          <w:color w:val="auto"/>
        </w:rPr>
      </w:pPr>
      <w:r>
        <w:rPr>
          <w:rFonts w:ascii="Arial" w:cs="Arial" w:eastAsia="Arial" w:hAnsi="Arial"/>
          <w:sz w:val="18"/>
          <w:szCs w:val="18"/>
          <w:b w:val="1"/>
          <w:bCs w:val="1"/>
          <w:color w:val="auto"/>
        </w:rPr>
        <w:t>2.11.5</w:t>
      </w:r>
      <w:r>
        <w:rPr>
          <w:sz w:val="20"/>
          <w:szCs w:val="20"/>
          <w:color w:val="auto"/>
        </w:rPr>
        <w:tab/>
      </w:r>
      <w:r>
        <w:rPr>
          <w:rFonts w:ascii="Arial" w:cs="Arial" w:eastAsia="Arial" w:hAnsi="Arial"/>
          <w:sz w:val="16"/>
          <w:szCs w:val="16"/>
          <w:b w:val="1"/>
          <w:bCs w:val="1"/>
          <w:color w:val="auto"/>
        </w:rPr>
        <w:t>Death or Incapacity of Shareholder Appointing a Proxy</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death or incapacity of the shareholder appointing a proxy does not affect the right of the corporation to accept the proxy's authority unless notice of the death or incapacity is received by the officer or agent of the corporation authorized to tabulate votes before the proxy exercises the proxy's authority under the appointment.</w:t>
      </w:r>
    </w:p>
    <w:p>
      <w:pPr>
        <w:spacing w:after="0" w:line="17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2.11.6</w:t>
      </w:r>
      <w:r>
        <w:rPr>
          <w:sz w:val="20"/>
          <w:szCs w:val="20"/>
          <w:color w:val="auto"/>
        </w:rPr>
        <w:tab/>
      </w:r>
      <w:r>
        <w:rPr>
          <w:rFonts w:ascii="Arial" w:cs="Arial" w:eastAsia="Arial" w:hAnsi="Arial"/>
          <w:sz w:val="15"/>
          <w:szCs w:val="15"/>
          <w:b w:val="1"/>
          <w:bCs w:val="1"/>
          <w:color w:val="auto"/>
        </w:rPr>
        <w:t>Acceptance of Proxy's Vote or Action</w:t>
      </w:r>
    </w:p>
    <w:p>
      <w:pPr>
        <w:spacing w:after="0" w:line="229" w:lineRule="exact"/>
        <w:rPr>
          <w:sz w:val="20"/>
          <w:szCs w:val="20"/>
          <w:color w:val="auto"/>
        </w:rPr>
      </w:pPr>
    </w:p>
    <w:p>
      <w:pPr>
        <w:jc w:val="both"/>
        <w:ind w:right="180" w:firstLine="648"/>
        <w:spacing w:after="0" w:line="342" w:lineRule="auto"/>
        <w:rPr>
          <w:sz w:val="20"/>
          <w:szCs w:val="20"/>
          <w:color w:val="auto"/>
        </w:rPr>
      </w:pPr>
      <w:r>
        <w:rPr>
          <w:rFonts w:ascii="Arial" w:cs="Arial" w:eastAsia="Arial" w:hAnsi="Arial"/>
          <w:sz w:val="16"/>
          <w:szCs w:val="16"/>
          <w:color w:val="auto"/>
        </w:rPr>
        <w:t>Subject to RCW 23B.07.240 and to any express limitation on the proxy's authority stated in the appointment form or recorded telephone call, voice mail or other electronic transmission, the corporation is entitled to accept the proxy's vote or other action as that of the shareholder making the appointment.</w:t>
      </w:r>
    </w:p>
    <w:p>
      <w:pPr>
        <w:spacing w:after="0" w:line="1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2.11.7</w:t>
      </w:r>
      <w:r>
        <w:rPr>
          <w:sz w:val="20"/>
          <w:szCs w:val="20"/>
          <w:color w:val="auto"/>
        </w:rPr>
        <w:tab/>
      </w:r>
      <w:r>
        <w:rPr>
          <w:rFonts w:ascii="Arial" w:cs="Arial" w:eastAsia="Arial" w:hAnsi="Arial"/>
          <w:sz w:val="16"/>
          <w:szCs w:val="16"/>
          <w:b w:val="1"/>
          <w:bCs w:val="1"/>
          <w:color w:val="auto"/>
        </w:rPr>
        <w:t>Meaning of Sign or 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purposes of this Section 2.11, "signing" or "signature" includes any manual, facsimile, conformed or electronic signature.</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5"/>
          <w:szCs w:val="15"/>
          <w:b w:val="1"/>
          <w:bCs w:val="1"/>
          <w:color w:val="auto"/>
        </w:rPr>
        <w:t>Voting of Shares</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Except as provided in the Articles of Incorporation, each outstanding share entitled to vote with respect to a matter submitted to a meeting of shareholders shall be entitled to one vote upon such matter.</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Voting for Directors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Each shareholder entitled to vote at an election of directors may vote, in person or by proxy, the number of shares owned by such shareholder for as many persons as there are directors to be elected and for whose election such shareholder has a right to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BOARD OF DIRECTORS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General Powers</w:t>
      </w:r>
    </w:p>
    <w:p>
      <w:pPr>
        <w:spacing w:after="0" w:line="22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All corporate powers shall be exercised by or under the authority of, and the business and affairs of the corporation shall be managed under the direction of, the Board, except as may be otherwise provided in these Bylaws, the Articles of Incorporation or the Washington Business Corporation Act.</w:t>
      </w:r>
    </w:p>
    <w:p>
      <w:pPr>
        <w:spacing w:after="0" w:line="1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Number and Tenure</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Board shall be composed of not less than three or more than fifteen directors, the specific number to be set by resolution of the Board or the shareholders, provided that, to be effective, any resolution of the shareholders establishing the specific number must be approved by the affirmative vote of at least two-thirds (2/3) of the outstanding shares entitled to vote on such resolution. The number of directors may be changed from time to time by amendment to these Bylaws, provided that, to be effective, any amendment by shareholders must be approved by the affirmative vote of at least two-thirds (2/3) of the outstanding shares entitled to vote on such resolution. A director's term shall be three years, and each director shall serve for the term for which he or she was elected, or until his or her successor shall have been elected and qualified, or until his or her death, resignation or removal from office; provided, however, that a director shall continue to serve until his or her successor is elected or until there is a decrease in the authorized number of directors. Directors need not be shareholders of the corporation or residents of the State of Washington.</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Nomination and Election</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6"/>
          <w:szCs w:val="16"/>
          <w:b w:val="1"/>
          <w:bCs w:val="1"/>
          <w:color w:val="auto"/>
        </w:rPr>
        <w:t>Nomination</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Only persons who are nominated in accordance with the following procedures shall be eligible for election as directors. Nominations for the election of directors may be made (a) by or at the direction of the Corporate Governance Committee or the Board or (b) by any shareholder of record entitled to vote for the election of directors at such meeting; provided, however, that a shareholder may nominate persons for election as directors only if written notice (in accordance with Section 2.6.3 hereof) of such shareholder's intention to make such nominations is received by the Secretary (i) with respect to an election to be held at an annual meeting of the shareholders, not fewer than 60 or more than 90 days prior to the date</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6</w:t>
      </w:r>
    </w:p>
    <w:p>
      <w:pPr>
        <w:sectPr>
          <w:pgSz w:w="11900" w:h="16838" w:orient="portrait"/>
          <w:cols w:equalWidth="0" w:num="1">
            <w:col w:w="11420"/>
          </w:cols>
          <w:pgMar w:left="240" w:top="797" w:right="239" w:bottom="1440" w:gutter="0" w:footer="0" w:header="0"/>
        </w:sectPr>
      </w:pPr>
    </w:p>
    <w:bookmarkStart w:id="175" w:name="page176"/>
    <w:bookmarkEnd w:id="175"/>
    <w:p>
      <w:pPr>
        <w:ind w:right="80"/>
        <w:spacing w:after="0" w:line="285" w:lineRule="auto"/>
        <w:rPr>
          <w:sz w:val="20"/>
          <w:szCs w:val="20"/>
          <w:color w:val="auto"/>
        </w:rPr>
      </w:pPr>
      <w:r>
        <w:rPr>
          <w:rFonts w:ascii="Arial" w:cs="Arial" w:eastAsia="Arial" w:hAnsi="Arial"/>
          <w:sz w:val="16"/>
          <w:szCs w:val="16"/>
          <w:color w:val="auto"/>
        </w:rPr>
        <w:t>specified pursuant to Section 2.1 hereof for such annual meeting (or if less than 60 days' notice or prior public disclosure of the date of the annual meeting is given or made to the shareholders, not later than the 10th day following the day on which such notice of the date of the annual meeting was mailed or such public disclosure was made); and (ii) with respect to an election to be held at a special meeting of the shareholders for the election of directors, the close of business on the 7th business day following the date on which notice of such meeting is first given to shareholders. Any such shareholder's notice shall set forth (1) the name and address of the shareholder who intends to make a nomination; (2) a representation that the shareholder is entitled to vote at such meeting and a statement of the number of shares of the corporation which are beneficially owned by the shareholder; (3) a representation that the shareholder intends to appear in person or by proxy at the meeting to nominate the person or persons specified in the notice; (4) as to each person the shareholder proposes to nominate for election or reelection as a director, (i) the name and address of such person and such other information regarding such nominee as would be required in a proxy statement filed pursuant to the proxy rules of the Securities and Exchange Commission had such nominee been nominated by the Board and (ii) a description of any arrangements or understandings between the shareholder and such nominee and any other persons (including their names) pursuant to which the nomination is to be made; and (5) the consent of each such nominee to serve as a director if elected. If the facts warrant, the Board, or the chairman of a shareholders' meeting at which directors are to be elected, shall determine and declare that a nomination was not made in accordance with the foregoing procedure and, if it is so determined, the defective nomination shall be disregarded. The right of shareholders to make nominations pursuant to the foregoing procedure is subject to the rights of the holders of any class or series of stock having a preference over the Common Stock as to dividends or upon liquidation. The procedures set forth in this Section 3.3 for nominations for the election of directors by shareholders are in addition to, and not in limitation of, any procedures now in effect or hereafter adopted by or at the direction of the Board or any committee thereof.</w:t>
      </w:r>
    </w:p>
    <w:p>
      <w:pPr>
        <w:spacing w:after="0" w:line="17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5"/>
          <w:szCs w:val="15"/>
          <w:b w:val="1"/>
          <w:bCs w:val="1"/>
          <w:color w:val="auto"/>
        </w:rPr>
        <w:t>Election</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Except as provided in Section 3.15, a nominee for director shall be elected if the votes cast for such nominee's election exceed the votes cast against such nominee's election. The following shall not be votes cast: (a) a share whose ballot is marked as withheld; (b) a share otherwise present at the meeting but for which there is an abstention; and (c) a share otherwise present at the meeting as to which a shareholder gives no authority or direction. Notwithstanding the foregoing, the directors shall be elected by a plurality of the votes cast (a "contested election") at any meeting of shareholders for which (i) the Secretary of the corporation receives a notice that a shareholder has nominated a person for election to the Board in compliance with the advance notice requirements for shareholder nominees for director set forth in Section 3.3.1, and (ii) such nomination has not been withdrawn by such shareholder on or prior to the time fixed in Section 3.3.1 for submitting nominations. A nominee for director in an election other than a contested election who does not receive the requisite votes for election but who was a director at the time of the election shall continue to serve as a director for a term that shall terminate on the date that is the earlier of (1) 90 days from the date on which the voting results of the election are certified, (2) the date on which an individual is selected by the Board to fill the office held by such director (which selection shall be deemed to constitute the filling of a vacancy by the Board, or (3) the date the director resigns.</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Annual and Regular Meetings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An annual Board meeting shall be held without notice immediately after and at the same place as the annual meeting of shareholders. By resolution, the Board or any committee thereof may specify the time and place either within or without the State of Washington for holding regular meetings thereof without notice other than such resolution.</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Special Meetings</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Special meetings of the Board or any committee designated by the Board may be called by or at the request of the Chairman of the Board, the Chief Executive Officer, the President, the Secretary or, in the case of special Board meetings, any two directors and, in the case of any special meeting of any committee designated by the Board, by the Chairman thereof. The person or persons authorized to call special meetings may fix any place either within or without the State of Washington as the place for holding any special Board or committee meeting called by them.</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Meetings by Communications Equipment</w:t>
      </w:r>
    </w:p>
    <w:p>
      <w:pPr>
        <w:spacing w:after="0" w:line="229"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Members of the Board or any committee designated by the Board may participate in a meeting of such Board or committee by, or conduct the meeting through the use of, any means of communication by which all directors participating in the meeting can hear each other during the meeting. Participation by such means shall constitute presence in person at a meeting.</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7</w:t>
      </w:r>
    </w:p>
    <w:p>
      <w:pPr>
        <w:sectPr>
          <w:pgSz w:w="11900" w:h="16838" w:orient="portrait"/>
          <w:cols w:equalWidth="0" w:num="1">
            <w:col w:w="11420"/>
          </w:cols>
          <w:pgMar w:left="240" w:top="800" w:right="239" w:bottom="1440" w:gutter="0" w:footer="0" w:header="0"/>
        </w:sectPr>
      </w:pPr>
    </w:p>
    <w:bookmarkStart w:id="176" w:name="page177"/>
    <w:bookmarkEnd w:id="176"/>
    <w:p>
      <w:pPr>
        <w:ind w:left="660"/>
        <w:spacing w:after="0"/>
        <w:tabs>
          <w:tab w:leader="none" w:pos="128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5"/>
          <w:szCs w:val="15"/>
          <w:b w:val="1"/>
          <w:bCs w:val="1"/>
          <w:color w:val="auto"/>
        </w:rPr>
        <w:t>Notice of Special Meetings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Notice of a special Board or committee meeting stating the place, day and hour of the meeting shall be given to a director in writing or orally.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Neither the business to be transacted at any special meeting nor the purpose thereof needs to be specified in the notice of such meeting.</w:t>
      </w:r>
    </w:p>
    <w:p>
      <w:pPr>
        <w:spacing w:after="0" w:line="20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6"/>
          <w:szCs w:val="16"/>
          <w:b w:val="1"/>
          <w:bCs w:val="1"/>
          <w:color w:val="auto"/>
        </w:rPr>
        <w:t>Personal Delivery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notice is given by personal delivery, the notice shall be effective if delivered to a director at least two days before the meeting.</w:t>
      </w:r>
    </w:p>
    <w:p>
      <w:pPr>
        <w:spacing w:after="0" w:line="22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6"/>
          <w:szCs w:val="16"/>
          <w:b w:val="1"/>
          <w:bCs w:val="1"/>
          <w:color w:val="auto"/>
        </w:rPr>
        <w:t>Delivery by Mail</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notice is delivered by mail, the notice shall be deemed effective if deposited into the official government mail at least five days before the meeting, properly addressed to a Director at his or her address shown on the records of the corporation, with postage thereon prepaid.</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6"/>
          <w:szCs w:val="16"/>
          <w:b w:val="1"/>
          <w:bCs w:val="1"/>
          <w:color w:val="auto"/>
        </w:rPr>
        <w:t>Delivery by Private Carrier</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If notice is given by private carrier, the notice shall be deemed effective when dispatched to a director, at his or her address shown on the records of the corporation, at least three days before the meeting.</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3.7.4</w:t>
      </w:r>
      <w:r>
        <w:rPr>
          <w:sz w:val="20"/>
          <w:szCs w:val="20"/>
          <w:color w:val="auto"/>
        </w:rPr>
        <w:tab/>
      </w:r>
      <w:r>
        <w:rPr>
          <w:rFonts w:ascii="Arial" w:cs="Arial" w:eastAsia="Arial" w:hAnsi="Arial"/>
          <w:sz w:val="15"/>
          <w:szCs w:val="15"/>
          <w:b w:val="1"/>
          <w:bCs w:val="1"/>
          <w:color w:val="auto"/>
        </w:rPr>
        <w:t>Facsimile Notice</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If notice is delivered by wire or wireless equipment which transmits a facsimile of the notice, the notice shall be deemed effective when dispatched to a director, at his or her telephone number or other number appearing on the records of the corporation, at least two days before the meeting.</w:t>
      </w:r>
    </w:p>
    <w:p>
      <w:pPr>
        <w:spacing w:after="0" w:line="1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3.7.5</w:t>
      </w:r>
      <w:r>
        <w:rPr>
          <w:sz w:val="20"/>
          <w:szCs w:val="20"/>
          <w:color w:val="auto"/>
        </w:rPr>
        <w:tab/>
      </w:r>
      <w:r>
        <w:rPr>
          <w:rFonts w:ascii="Arial" w:cs="Arial" w:eastAsia="Arial" w:hAnsi="Arial"/>
          <w:sz w:val="16"/>
          <w:szCs w:val="16"/>
          <w:b w:val="1"/>
          <w:bCs w:val="1"/>
          <w:color w:val="auto"/>
        </w:rPr>
        <w:t>Delivery by Telegraph</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notice is delivered by telegraph, the notice shall be deemed effective if the content thereof is delivered to the telegraph company for delivery to a director, at his or her address shown on the records of the corporation, at least three days before the meeting.</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3.7.6</w:t>
      </w:r>
      <w:r>
        <w:rPr>
          <w:sz w:val="20"/>
          <w:szCs w:val="20"/>
          <w:color w:val="auto"/>
        </w:rPr>
        <w:tab/>
      </w:r>
      <w:r>
        <w:rPr>
          <w:rFonts w:ascii="Arial" w:cs="Arial" w:eastAsia="Arial" w:hAnsi="Arial"/>
          <w:sz w:val="16"/>
          <w:szCs w:val="16"/>
          <w:b w:val="1"/>
          <w:bCs w:val="1"/>
          <w:color w:val="auto"/>
        </w:rPr>
        <w:t>Delivery by Email</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If notice is delivered by email, the notice shall be deemed effective upon electronic confirmation of receipt, such as by receipt by the sender of an electronic return receipt, at least three days before the meeting.</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3.7.7</w:t>
      </w:r>
      <w:r>
        <w:rPr>
          <w:sz w:val="20"/>
          <w:szCs w:val="20"/>
          <w:color w:val="auto"/>
        </w:rPr>
        <w:tab/>
      </w:r>
      <w:r>
        <w:rPr>
          <w:rFonts w:ascii="Arial" w:cs="Arial" w:eastAsia="Arial" w:hAnsi="Arial"/>
          <w:sz w:val="16"/>
          <w:szCs w:val="16"/>
          <w:b w:val="1"/>
          <w:bCs w:val="1"/>
          <w:color w:val="auto"/>
        </w:rPr>
        <w:t>Oral Notice</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notice is delivered orally, by telephone or in person, the notice shall be deemed effective if personally given to the director at least two days before the meeting.</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Waiver of Notice</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3.8.1</w:t>
      </w:r>
      <w:r>
        <w:rPr>
          <w:sz w:val="20"/>
          <w:szCs w:val="20"/>
          <w:color w:val="auto"/>
        </w:rPr>
        <w:tab/>
      </w:r>
      <w:r>
        <w:rPr>
          <w:rFonts w:ascii="Arial" w:cs="Arial" w:eastAsia="Arial" w:hAnsi="Arial"/>
          <w:sz w:val="17"/>
          <w:szCs w:val="17"/>
          <w:b w:val="1"/>
          <w:bCs w:val="1"/>
          <w:color w:val="auto"/>
        </w:rPr>
        <w:t>In Writing</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Whenever any notice is required to be given to any director under the provisions of these Bylaws, the Articles of Incorporation or the Washington Business Corporation Act, a waiver thereof in writing, signed by the person or persons entitled to such notice and delivered to the corporation, whether before or after the date and time of the meeting, shall be deemed equivalent to the giving of such notice. Neither the business to be transacted at any regular or special meeting of the Board or any committee designated by the Board nor the purpose thereof needs to be specified in the waiver of notice of such meeting.</w:t>
      </w:r>
    </w:p>
    <w:p>
      <w:pPr>
        <w:spacing w:after="0" w:line="15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3.8.2</w:t>
      </w:r>
      <w:r>
        <w:rPr>
          <w:sz w:val="20"/>
          <w:szCs w:val="20"/>
          <w:color w:val="auto"/>
        </w:rPr>
        <w:tab/>
      </w:r>
      <w:r>
        <w:rPr>
          <w:rFonts w:ascii="Arial" w:cs="Arial" w:eastAsia="Arial" w:hAnsi="Arial"/>
          <w:sz w:val="15"/>
          <w:szCs w:val="15"/>
          <w:b w:val="1"/>
          <w:bCs w:val="1"/>
          <w:color w:val="auto"/>
        </w:rPr>
        <w:t>By Attendance</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 director's attendance at or participation in a Board or committee meeting shall constitute a waiver of notice of such meeting, unless the director objects, at the beginning of the meeting or promptly upon his or her arrival, to holding the meeting or transacting business thereat and does not thereafter vote for or assent to action taken at the meeting.</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8</w:t>
      </w:r>
    </w:p>
    <w:p>
      <w:pPr>
        <w:sectPr>
          <w:pgSz w:w="11900" w:h="16838" w:orient="portrait"/>
          <w:cols w:equalWidth="0" w:num="1">
            <w:col w:w="11420"/>
          </w:cols>
          <w:pgMar w:left="240" w:top="796" w:right="239" w:bottom="1440" w:gutter="0" w:footer="0" w:header="0"/>
        </w:sectPr>
      </w:pPr>
    </w:p>
    <w:bookmarkStart w:id="177" w:name="page178"/>
    <w:bookmarkEnd w:id="177"/>
    <w:p>
      <w:pPr>
        <w:ind w:left="660"/>
        <w:spacing w:after="0"/>
        <w:tabs>
          <w:tab w:leader="none" w:pos="128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Quorum</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 majority of the number of directors fixed by or in the manner provided in these Bylaws shall constitute a quorum for the transaction of business at any Board meeting, but, if less than a quorum is present at a meeting, a majority of the directors present may adjourn the meeting from time to time without further notice.</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6"/>
          <w:szCs w:val="16"/>
          <w:b w:val="1"/>
          <w:bCs w:val="1"/>
          <w:color w:val="auto"/>
        </w:rPr>
        <w:t>Manner of Acting</w:t>
      </w:r>
    </w:p>
    <w:p>
      <w:pPr>
        <w:spacing w:after="0" w:line="22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If a quorum is present when the vote is taken, the act of the majority of the directors present at a Board meeting shall be the act of the Board, unless the vote of a greater number is required by these Bylaws, the Articles of Incorporation or the Washington Business Corporation Act.</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5"/>
          <w:szCs w:val="15"/>
          <w:b w:val="1"/>
          <w:bCs w:val="1"/>
          <w:color w:val="auto"/>
        </w:rPr>
        <w:t>Presumption of Assent</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 director of the corporation who is present at a Board or committee meeting at which any action is taken shall be deemed to have assented to the action taken unless (a) the director objects, at the beginning of the meeting or promptly upon the director's arrival, to holding the meeting or transacting any business thereat; (b) the director's dissent or abstention from the action taken is entered in the minutes of the meeting; or (c) the director delivers written notice of the director's dissent or abstention to the presiding officer of the meeting before its adjournment or to the corporation within a reasonable time after adjournment of the meeting. The right of dissent or abstention is not available to a director who votes in favor of the action taken.</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color w:val="auto"/>
        </w:rPr>
        <w:t>Action by Board or Committees Without a Meeting</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Any action which could be taken at a meeting of the Board or of any committee created by the Board may be taken without a meeting if one or more written consents setting forth the action so taken are signed by each of the directors or by each committee member either before or after the action is taken and delivered to the corporation. Action taken by written consent of directors without a meeting is effective when the last director signs the consent unless the consent specifies a later effective date. Any such written consent shall be inserted in the minute book as if it were the minutes of a Board or a committee meeting.</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b w:val="1"/>
          <w:bCs w:val="1"/>
          <w:color w:val="auto"/>
        </w:rPr>
        <w:t>Resignation</w:t>
      </w:r>
    </w:p>
    <w:p>
      <w:pPr>
        <w:spacing w:after="0" w:line="229" w:lineRule="exact"/>
        <w:rPr>
          <w:sz w:val="20"/>
          <w:szCs w:val="20"/>
          <w:color w:val="auto"/>
        </w:rPr>
      </w:pPr>
    </w:p>
    <w:p>
      <w:pPr>
        <w:jc w:val="both"/>
        <w:ind w:right="560" w:firstLine="648"/>
        <w:spacing w:after="0" w:line="286" w:lineRule="auto"/>
        <w:rPr>
          <w:sz w:val="20"/>
          <w:szCs w:val="20"/>
          <w:color w:val="auto"/>
        </w:rPr>
      </w:pPr>
      <w:r>
        <w:rPr>
          <w:rFonts w:ascii="Arial" w:cs="Arial" w:eastAsia="Arial" w:hAnsi="Arial"/>
          <w:sz w:val="17"/>
          <w:szCs w:val="17"/>
          <w:color w:val="auto"/>
        </w:rPr>
        <w:t>Any director may resign at any time by delivering written notice to the Chairman of the Board, the Chief Executive Officer, the President, the Secretary or the Board. Any such resignation is effective upon delivery thereof unless the notice of resignation specifies a later effective date, and the acceptance of such resignation shall not be necessary to make it effective unless otherwise specified in the notice of resignation.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b w:val="1"/>
          <w:bCs w:val="1"/>
          <w:color w:val="auto"/>
        </w:rPr>
        <w:t>Removal</w:t>
      </w:r>
    </w:p>
    <w:p>
      <w:pPr>
        <w:spacing w:after="0" w:line="229"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At a meeting of shareholders called expressly for the purpose of removing one or more members of the Board, one or more members of the Board, including the entire Board, may be removed with or without cause (unless the Articles of Incorporation permit removal for cause only) by the holders of the shares entitled to elect the director or directors whose removal is sought if the number of votes cast to remove the director exceeds the number of votes cast not to remove the director.</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5"/>
          <w:szCs w:val="15"/>
          <w:b w:val="1"/>
          <w:bCs w:val="1"/>
          <w:color w:val="auto"/>
        </w:rPr>
        <w:t>Vacancies</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Unless the Articles of Incorporation provide otherwise, any vacancy occurring on the Board may be filled by the shareholders, by the Board or, if the directors in office constitute fewer than a quorum, by the affirmative vote of a majority of the remaining directors. Any vacant office held by a director elected by the holders of one or more classes or series of shares entitled to vote and be counted collectively thereon shall be filled only by the vote of the holders of such class or series of shares. A director elected to fill a vacancy shall serve only until the next election of directors by the shareholders.</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9</w:t>
      </w:r>
    </w:p>
    <w:p>
      <w:pPr>
        <w:sectPr>
          <w:pgSz w:w="11900" w:h="16838" w:orient="portrait"/>
          <w:cols w:equalWidth="0" w:num="1">
            <w:col w:w="11420"/>
          </w:cols>
          <w:pgMar w:left="240" w:top="797" w:right="239" w:bottom="1440" w:gutter="0" w:footer="0" w:header="0"/>
        </w:sectPr>
      </w:pPr>
    </w:p>
    <w:bookmarkStart w:id="178" w:name="page179"/>
    <w:bookmarkEnd w:id="178"/>
    <w:p>
      <w:pPr>
        <w:ind w:left="660"/>
        <w:spacing w:after="0"/>
        <w:tabs>
          <w:tab w:leader="none" w:pos="128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6"/>
          <w:szCs w:val="16"/>
          <w:b w:val="1"/>
          <w:bCs w:val="1"/>
          <w:color w:val="auto"/>
        </w:rPr>
        <w:t>Executive and Other Committees</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3.16.1</w:t>
      </w:r>
      <w:r>
        <w:rPr>
          <w:sz w:val="20"/>
          <w:szCs w:val="20"/>
          <w:color w:val="auto"/>
        </w:rPr>
        <w:tab/>
      </w:r>
      <w:r>
        <w:rPr>
          <w:rFonts w:ascii="Arial" w:cs="Arial" w:eastAsia="Arial" w:hAnsi="Arial"/>
          <w:sz w:val="16"/>
          <w:szCs w:val="16"/>
          <w:b w:val="1"/>
          <w:bCs w:val="1"/>
          <w:color w:val="auto"/>
        </w:rPr>
        <w:t>Creation of Committees</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Board, by resolution adopted by the greater of a majority of the directors then in office and the number of directors required to take action in accordance with these Bylaws, may create standing or temporary committees, including an Executive Committee, and appoint members thereto from its own number and invest such committees with such powers as it may see fit, subject to such conditions as may be prescribed by the Board, these Bylaws and applicable law. Each committee must have two or more members, who shall serve at the pleasure of the Board.</w:t>
      </w:r>
    </w:p>
    <w:p>
      <w:pPr>
        <w:spacing w:after="0" w:line="16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3.16.2</w:t>
      </w:r>
      <w:r>
        <w:rPr>
          <w:sz w:val="20"/>
          <w:szCs w:val="20"/>
          <w:color w:val="auto"/>
        </w:rPr>
        <w:tab/>
      </w:r>
      <w:r>
        <w:rPr>
          <w:rFonts w:ascii="Arial" w:cs="Arial" w:eastAsia="Arial" w:hAnsi="Arial"/>
          <w:sz w:val="16"/>
          <w:szCs w:val="16"/>
          <w:b w:val="1"/>
          <w:bCs w:val="1"/>
          <w:color w:val="auto"/>
        </w:rPr>
        <w:t>Authority of Committees</w:t>
      </w:r>
    </w:p>
    <w:p>
      <w:pPr>
        <w:spacing w:after="0" w:line="229" w:lineRule="exact"/>
        <w:rPr>
          <w:sz w:val="20"/>
          <w:szCs w:val="20"/>
          <w:color w:val="auto"/>
        </w:rPr>
      </w:pPr>
    </w:p>
    <w:p>
      <w:pPr>
        <w:ind w:right="540" w:firstLine="648"/>
        <w:spacing w:after="0" w:line="291" w:lineRule="auto"/>
        <w:rPr>
          <w:sz w:val="20"/>
          <w:szCs w:val="20"/>
          <w:color w:val="auto"/>
        </w:rPr>
      </w:pPr>
      <w:r>
        <w:rPr>
          <w:rFonts w:ascii="Arial" w:cs="Arial" w:eastAsia="Arial" w:hAnsi="Arial"/>
          <w:sz w:val="16"/>
          <w:szCs w:val="16"/>
          <w:color w:val="auto"/>
        </w:rPr>
        <w:t>Each committee shall have and may exercise all of the authority of the Board to the extent provided in the resolution of the Board creating the committee and any subsequent resolutions pertaining thereto and adopted in like manner, except that no such committee shall have the authority to:</w:t>
      </w:r>
    </w:p>
    <w:p>
      <w:pPr>
        <w:ind w:right="20" w:firstLine="8"/>
        <w:spacing w:after="0" w:line="252" w:lineRule="auto"/>
        <w:tabs>
          <w:tab w:leader="none" w:pos="2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authorize or approve a distribution except according to a general formula or method prescribed by the Board; (b) approve or propose to shareholders actions or proposals required by the Washington Business Corporation Act to be approved by shareholders; (c) fill vacancies on the Board or any committee thereof; (d) adopt, amend or repeal Bylaws; (e) amend the Articles of Incorporation pursuant to RCW 23B.10.020; (f) approve a plan of merger not requiring shareholder approval; or (g) authorize or approve the issuance or sale or contract for sale of shares, or determine the designation and relative rights, preferences and limitations of a class or series of shares except that the Board may authorize a committee or a senior executive officer of the corporation to do so within limits specifically prescribed by the Board.</w:t>
      </w:r>
    </w:p>
    <w:p>
      <w:pPr>
        <w:spacing w:after="0" w:line="19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3.16.3</w:t>
      </w:r>
      <w:r>
        <w:rPr>
          <w:sz w:val="20"/>
          <w:szCs w:val="20"/>
          <w:color w:val="auto"/>
        </w:rPr>
        <w:tab/>
      </w:r>
      <w:r>
        <w:rPr>
          <w:rFonts w:ascii="Arial" w:cs="Arial" w:eastAsia="Arial" w:hAnsi="Arial"/>
          <w:sz w:val="16"/>
          <w:szCs w:val="16"/>
          <w:b w:val="1"/>
          <w:bCs w:val="1"/>
          <w:color w:val="auto"/>
        </w:rPr>
        <w:t>Quorum and Manner of Acting</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 majority of the number of directors composing any committee of the Board, as established and fixed by resolution of the Board, shall constitute a quorum for the transaction of business at any meeting of such committee, but, if less than a quorum are present at a meeting, a majority of such directors present may adjourn the meeting from time to time without further notice. Except as may be otherwise provided in the Washington Business Corporation Act, if a quorum is present when the vote is taken, the act of a majority of the members present shall be the act of the committee.</w:t>
      </w:r>
    </w:p>
    <w:p>
      <w:pPr>
        <w:spacing w:after="0" w:line="16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3.16.4</w:t>
      </w:r>
      <w:r>
        <w:rPr>
          <w:sz w:val="20"/>
          <w:szCs w:val="20"/>
          <w:color w:val="auto"/>
        </w:rPr>
        <w:tab/>
      </w:r>
      <w:r>
        <w:rPr>
          <w:rFonts w:ascii="Arial" w:cs="Arial" w:eastAsia="Arial" w:hAnsi="Arial"/>
          <w:sz w:val="16"/>
          <w:szCs w:val="16"/>
          <w:b w:val="1"/>
          <w:bCs w:val="1"/>
          <w:color w:val="auto"/>
        </w:rPr>
        <w:t>Minutes of Meetings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committees shall keep regular minutes of their meetings and shall cause them to be recorded in books kept for that purpose.</w:t>
      </w:r>
    </w:p>
    <w:p>
      <w:pPr>
        <w:spacing w:after="0" w:line="22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3.16.5</w:t>
      </w:r>
      <w:r>
        <w:rPr>
          <w:sz w:val="20"/>
          <w:szCs w:val="20"/>
          <w:color w:val="auto"/>
        </w:rPr>
        <w:tab/>
      </w:r>
      <w:r>
        <w:rPr>
          <w:rFonts w:ascii="Arial" w:cs="Arial" w:eastAsia="Arial" w:hAnsi="Arial"/>
          <w:sz w:val="15"/>
          <w:szCs w:val="15"/>
          <w:b w:val="1"/>
          <w:bCs w:val="1"/>
          <w:color w:val="auto"/>
        </w:rPr>
        <w:t>Resignation</w:t>
      </w:r>
    </w:p>
    <w:p>
      <w:pPr>
        <w:spacing w:after="0" w:line="229"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Any member of any committee may resign at any time by delivering written notice thereof to the Chairman of the Board, the Chief Executive Officer, the President, the Secretary or the Board. Any such resignation is effective upon delivery thereof unless the notice of resignation specifies a later effective date, and the acceptance of such resignation shall not be necessary to make it effective.</w:t>
      </w:r>
    </w:p>
    <w:p>
      <w:pPr>
        <w:spacing w:after="0" w:line="17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3.16.6</w:t>
      </w:r>
      <w:r>
        <w:rPr>
          <w:sz w:val="20"/>
          <w:szCs w:val="20"/>
          <w:color w:val="auto"/>
        </w:rPr>
        <w:tab/>
      </w:r>
      <w:r>
        <w:rPr>
          <w:rFonts w:ascii="Arial" w:cs="Arial" w:eastAsia="Arial" w:hAnsi="Arial"/>
          <w:sz w:val="16"/>
          <w:szCs w:val="16"/>
          <w:b w:val="1"/>
          <w:bCs w:val="1"/>
          <w:color w:val="auto"/>
        </w:rPr>
        <w:t>Removal</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may remove any member of any committee elected or appointed by it but only by the affirmative vote of the greater of a majority of the directors then in office and the number of directors required to take action in accordance with these Bylaws.</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3.16.7</w:t>
      </w:r>
      <w:r>
        <w:rPr>
          <w:sz w:val="20"/>
          <w:szCs w:val="20"/>
          <w:color w:val="auto"/>
        </w:rPr>
        <w:tab/>
      </w:r>
      <w:r>
        <w:rPr>
          <w:rFonts w:ascii="Arial" w:cs="Arial" w:eastAsia="Arial" w:hAnsi="Arial"/>
          <w:sz w:val="16"/>
          <w:szCs w:val="16"/>
          <w:b w:val="1"/>
          <w:bCs w:val="1"/>
          <w:color w:val="auto"/>
        </w:rPr>
        <w:t>Audit/Finance Committee</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addition to any committees appointed pursuant to this Section 3, there shall be an Audit/Finance Committee, appointed annually by the Board, consisting of at least three directors who are not members of management. The Audit/Finance Committee shall have the responsibilities set out in its charter and such other responsibilities as may from time to time be assigned to it by the Board. The Audit/Finance Committee shall meet at such times and places as the members deem advisable and shall make such recommendations to the Board as the members consider appropriate.</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10</w:t>
      </w:r>
    </w:p>
    <w:p>
      <w:pPr>
        <w:sectPr>
          <w:pgSz w:w="11900" w:h="16838" w:orient="portrait"/>
          <w:cols w:equalWidth="0" w:num="1">
            <w:col w:w="11420"/>
          </w:cols>
          <w:pgMar w:left="240" w:top="797" w:right="239" w:bottom="1440" w:gutter="0" w:footer="0" w:header="0"/>
        </w:sectPr>
      </w:pPr>
    </w:p>
    <w:bookmarkStart w:id="179" w:name="page180"/>
    <w:bookmarkEnd w:id="179"/>
    <w:p>
      <w:pPr>
        <w:ind w:left="1300"/>
        <w:spacing w:after="0"/>
        <w:tabs>
          <w:tab w:leader="none" w:pos="1940" w:val="left"/>
        </w:tabs>
        <w:rPr>
          <w:sz w:val="20"/>
          <w:szCs w:val="20"/>
          <w:color w:val="auto"/>
        </w:rPr>
      </w:pPr>
      <w:r>
        <w:rPr>
          <w:rFonts w:ascii="Arial" w:cs="Arial" w:eastAsia="Arial" w:hAnsi="Arial"/>
          <w:sz w:val="18"/>
          <w:szCs w:val="18"/>
          <w:b w:val="1"/>
          <w:bCs w:val="1"/>
          <w:color w:val="auto"/>
        </w:rPr>
        <w:t>3.16.8</w:t>
      </w:r>
      <w:r>
        <w:rPr>
          <w:sz w:val="20"/>
          <w:szCs w:val="20"/>
          <w:color w:val="auto"/>
        </w:rPr>
        <w:tab/>
      </w:r>
      <w:r>
        <w:rPr>
          <w:rFonts w:ascii="Arial" w:cs="Arial" w:eastAsia="Arial" w:hAnsi="Arial"/>
          <w:sz w:val="16"/>
          <w:szCs w:val="16"/>
          <w:b w:val="1"/>
          <w:bCs w:val="1"/>
          <w:color w:val="auto"/>
        </w:rPr>
        <w:t>Compensation Committee</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Board may, in its discretion, designate a Compensation Committee consisting of not less than three directors as it may from time to time determine. The Compensation Committee shall have the responsibilities set out in its charter and such other responsibilities as may from time to time be assigned to it by the Board.</w:t>
      </w:r>
    </w:p>
    <w:p>
      <w:pPr>
        <w:spacing w:after="0" w:line="17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3.16.9</w:t>
      </w:r>
      <w:r>
        <w:rPr>
          <w:sz w:val="20"/>
          <w:szCs w:val="20"/>
          <w:color w:val="auto"/>
        </w:rPr>
        <w:tab/>
      </w:r>
      <w:r>
        <w:rPr>
          <w:rFonts w:ascii="Arial" w:cs="Arial" w:eastAsia="Arial" w:hAnsi="Arial"/>
          <w:sz w:val="16"/>
          <w:szCs w:val="16"/>
          <w:b w:val="1"/>
          <w:bCs w:val="1"/>
          <w:color w:val="auto"/>
        </w:rPr>
        <w:t>Corporate Governance Committee</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Board may, in its discretion, designate a Corporate Governance Committee consisting of not less than three directors as it may from time to time determine. The Corporate Governance Committee shall have the responsibilities set out in its charter and such other responsibilities as may from time to time be assigned to it by the Board.</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6"/>
          <w:szCs w:val="16"/>
          <w:b w:val="1"/>
          <w:bCs w:val="1"/>
          <w:color w:val="auto"/>
        </w:rPr>
        <w:t>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 Board resolution, directors and committee members may be paid (a) their expenses, if any, of attendance at each Board or committee meeting,</w:t>
      </w:r>
    </w:p>
    <w:p>
      <w:pPr>
        <w:spacing w:after="0" w:line="46" w:lineRule="exact"/>
        <w:rPr>
          <w:sz w:val="20"/>
          <w:szCs w:val="20"/>
          <w:color w:val="auto"/>
        </w:rPr>
      </w:pPr>
    </w:p>
    <w:p>
      <w:pPr>
        <w:ind w:right="40" w:firstLine="8"/>
        <w:spacing w:after="0" w:line="255"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fixed sum for attendance at each Board or committee meeting, (c) a stated salary as a director or a committee member, or (d) a combination of the foregoing. No such payment shall preclude any director or committee member from serving the corporation in any other capacity and receiving compensation therefor.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OFFICERS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Appointment and Term</w:t>
      </w:r>
    </w:p>
    <w:p>
      <w:pPr>
        <w:spacing w:after="0" w:line="22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officers of the corporation shall be those officers appointed from time to time by the Board or by any other officer empowered to do so. The Board shall have sole power and authority to appoint executive officers. As used herein, the term "executive officer" shall mean the Chief Executive Officer, the President, the Chief Financial Officer, any Vice President, whether designated as Executive Vice President, Senior Vice President or Vice President, who is in charge of a principal business unit, division or function or any other officer who performs a policy-making function. The Board or the Chief Executive Officer may appoint such other officers and assistant officers to hold office for such period, to have such authority and to perform such duties as may be prescribed. The Board may delegate to any other officer the power to appoint any subordinate officers and to prescribe their respective terms of office, authority and duties. Any two or more offices may be held by the same person. Unless an officer dies, resigns or is removed from office, he or she shall hold office until his or her successor is appointed.</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Resignation</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Any officer may resign at any time by delivering written notice thereof to the corporation. Any such resignation is effective upon delivery thereof unless the notice of resignation specifies a later effective date, and the acceptance of such resignation shall not be necessary to make it effective unless otherwise specified in the notice of resignation.</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Removal</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Any officer may be removed by the Board at any time, with or without cause. An officer or assistant officer, if appointed by another officer, may be removed by any officer authorized to appoint officers or assistant officers.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Contract Rights of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appointment of an officer does not itself create contract rights.</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Chairman of the Board and Vice Chairman of the Board</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appointed, the Chairman of the Board shall perform such duties as shall be assigned to him or her by the Board from time to time or as set forth in the Board's Corporate Governance Guiding Principles and shall preside over meetings of the Board and shareholders unless another officer is appointed or designated by the Board as Chairman of such meetings.</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If appointed, the Vice Chairman of the Board shall perform such duties as shall be assigned to him or her by the Board from time to time or as set forth in the Corporate Governance Guiding Principles.</w:t>
      </w:r>
    </w:p>
    <w:p>
      <w:pPr>
        <w:sectPr>
          <w:pgSz w:w="11900" w:h="16838" w:orient="portrait"/>
          <w:cols w:equalWidth="0" w:num="1">
            <w:col w:w="11420"/>
          </w:cols>
          <w:pgMar w:left="240" w:top="797" w:right="239" w:bottom="1440" w:gutter="0" w:footer="0" w:header="0"/>
        </w:sectPr>
      </w:pPr>
    </w:p>
    <w:p>
      <w:pPr>
        <w:spacing w:after="0" w:line="195" w:lineRule="exact"/>
        <w:rPr>
          <w:sz w:val="20"/>
          <w:szCs w:val="20"/>
          <w:color w:val="auto"/>
        </w:rPr>
      </w:pPr>
    </w:p>
    <w:p>
      <w:pPr>
        <w:ind w:left="10800"/>
        <w:spacing w:after="0"/>
        <w:rPr>
          <w:sz w:val="20"/>
          <w:szCs w:val="20"/>
          <w:color w:val="auto"/>
        </w:rPr>
      </w:pPr>
      <w:r>
        <w:rPr>
          <w:rFonts w:ascii="Arial" w:cs="Arial" w:eastAsia="Arial" w:hAnsi="Arial"/>
          <w:sz w:val="16"/>
          <w:szCs w:val="16"/>
          <w:color w:val="auto"/>
        </w:rPr>
        <w:t>Page 11</w:t>
      </w:r>
    </w:p>
    <w:p>
      <w:pPr>
        <w:sectPr>
          <w:pgSz w:w="11900" w:h="16838" w:orient="portrait"/>
          <w:cols w:equalWidth="0" w:num="1">
            <w:col w:w="11420"/>
          </w:cols>
          <w:pgMar w:left="240" w:top="797" w:right="239" w:bottom="1440" w:gutter="0" w:footer="0" w:header="0"/>
          <w:type w:val="continuous"/>
        </w:sectPr>
      </w:pPr>
    </w:p>
    <w:bookmarkStart w:id="180" w:name="page181"/>
    <w:bookmarkEnd w:id="180"/>
    <w:p>
      <w:pPr>
        <w:ind w:left="660"/>
        <w:spacing w:after="0"/>
        <w:tabs>
          <w:tab w:leader="none" w:pos="128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Chief Executive Officer</w:t>
      </w:r>
    </w:p>
    <w:p>
      <w:pPr>
        <w:spacing w:after="0" w:line="229"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If appointed, the Chief Executive Officer shall be the chief executive officer of the corporation unless some other officer is so designated by the Board, shall preside over meetings of the Board and shareholders in the absence of a Chairman of the Board, and, subject to the Board's control, shall supervise and control all of the assets, business and affairs of the corporation</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President</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If appointed, the President shall be the chief operating officer of the corporation unless some other officer is so designated by the Board and shall report to the Chief Executive Officer unless the same person holds both offices. In general, the President shall perform such other duties as are prescribed by the Board from time to time. If no Secretary has been appointed, the President shall have responsibility for the preparation of minutes of meetings of the Board and shareholders and for authentication of the records of the corporation.</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5"/>
          <w:szCs w:val="15"/>
          <w:b w:val="1"/>
          <w:bCs w:val="1"/>
          <w:color w:val="auto"/>
        </w:rPr>
        <w:t>Vice Presidents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Vice Presidents, Senior Vice Presidents and Executive Vice Presidents shall perform such other duties as from time to time may be assigned to them by the Chief Executive Officer or the President or by or at the direction of the Board.</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color w:val="auto"/>
        </w:rPr>
        <w:t>Secretary</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appointed, the Secretary shall (a) be responsible for preparation of minutes of the meetings of the Board and shareholders, maintenance of the corporation records and stock registers, and authentication of the corporation's records; and (b) in general perform all duties incident to the office of Secretary and such other duties as from time to time may be assigned to him or her by the Chief Executive Officer or the President or by or at the direction of the Board. In the absence of the Secretary, an Assistant Secretary may perform the duties of the Secretary.</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b w:val="1"/>
          <w:bCs w:val="1"/>
          <w:color w:val="auto"/>
        </w:rPr>
        <w:t>Treasurer</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If appointed, the Treasurer shall (a) have charge and custody of and be responsible for all funds and securities of the corporation, receive and give receipts for moneys due and payable to the corporation from any source whatsoever, and deposit all such moneys in the name of the corporation in banks, trust companies or other depositories selected in accordance with the provisions of these Bylaws; and (b) in general perform all of the duties incident to the office of Treasurer and such other duties as from time to time may be assigned to him or her by the Chief Executive Officer or the President or by or at the direction of the Board. In the absence of the Treasurer, an Assistant Treasurer may perform the duties of the Treasurer. If required by the Board, the Treasurer or any Assistant Treasurer shall give a bond for the faithful discharge of his or her duties in such amount and with such surety or sureties as the Board shall determine.</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Salaries</w:t>
      </w:r>
    </w:p>
    <w:p>
      <w:pPr>
        <w:spacing w:after="0" w:line="229"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The salaries of the officers shall be fixed from time to time by the Board or by any person or persons to whom the Board has delegated such authority. No officer shall be prevented from receiving such salary by reason of the fact that he or she is also a director of the corporation.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CONTRACTS, LOANS, CHECKS AND DEPOSITS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Contracts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Board may authorize any officer or officers or agent or agents to enter into any contract or execute and deliver any instrument in the name of and on behalf of the corporation. Such authority may be general or confined to specific instances.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Loans to the Corporation</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No loans shall be contracted on behalf of the corporation and no evidences of indebtedness shall be issued in its name unless authorized by a resolution of the Board. Such authority may be general or confined to specific instances.</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12</w:t>
      </w:r>
    </w:p>
    <w:p>
      <w:pPr>
        <w:sectPr>
          <w:pgSz w:w="11900" w:h="16838" w:orient="portrait"/>
          <w:cols w:equalWidth="0" w:num="1">
            <w:col w:w="11420"/>
          </w:cols>
          <w:pgMar w:left="240" w:top="796" w:right="239" w:bottom="1440" w:gutter="0" w:footer="0" w:header="0"/>
        </w:sectPr>
      </w:pPr>
    </w:p>
    <w:bookmarkStart w:id="181" w:name="page182"/>
    <w:bookmarkEnd w:id="181"/>
    <w:p>
      <w:pPr>
        <w:ind w:left="660"/>
        <w:spacing w:after="0"/>
        <w:tabs>
          <w:tab w:leader="none" w:pos="12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Checks, Drafts, Etc.</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All checks, drafts or other orders for the payment of money, notes or other evidences of indebtedness issued in the name of the corporation shall be signed by such officer or officers or agent or agents of the corporation and in such manner as is from time to time determined by resolution of the Board.</w:t>
      </w:r>
    </w:p>
    <w:p>
      <w:pPr>
        <w:spacing w:after="0" w:line="1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color w:val="auto"/>
        </w:rPr>
        <w:t>Deposits</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All funds of the corporation not otherwise employed shall be deposited from time to time to the credit of the corporation in such banks, trust companies or other depositories as the Board may select.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CERTIFICATES FOR SHARES AND THEIR TRANSFER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Issuance of Shares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 shares of the corporation shall be issued unless authorized by the Board or by a committee designated by the Board to the extent such committee is empowered to do so.</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Certificates for Shares</w:t>
      </w:r>
    </w:p>
    <w:p>
      <w:pPr>
        <w:spacing w:after="0" w:line="22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Certificates representing shares of the corporation shall be signed, either manually or in facsimile, by the Chief Executive Officer, the President or any Vice President and by the Treasurer or any Assistant Treasurer or the Secretary or any Assistant Secretary and shall include on their face written notice of any restrictions which may be imposed on the transferability of such shares. All certificates shall be consecutively numbered or otherwise identified.</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Issuance of Shares Without Certificates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Notwithstanding any other provisions herein, the Board may authorize the issuance of some or all of the shares of any or all of the corporation's classes or series without certificates. The authorization does not affect shares already represented by certificates until they are surrendered to the corporation. Within a reasonable time after the issuance or transfer of shares without certificates, the corporation shall send the shareholder a record containing the information required on certificates by applicable Washington law.</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Stock Records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stock transfer books for registered shareholders shall be kept at the principal office of the corporation or at the office of the corporation's transfer agent or registrar. The name and address of each person to whom certificates for shares are issued, together with the class and number of shares represented by each such certificate and the date of issue thereof, shall be entered on the stock transfer books of the corporation. The person in whose name shares stand on the books of the corporation shall be deemed by the corporation to be the owner thereof for all purposes.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Restriction on Transfer</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Except to the extent that the corporation has obtained an opinion of counsel acceptable to the corporation that transfer restrictions are not required under applicable securities laws or has otherwise satisfied itself that such transfer restrictions are not required, all certificates representing shares of the corporation shall bear a legend on the face of the certificate, or on the reverse of the certificate if a reference to the legend is contained on the face, which reads substantially as follows:</w:t>
      </w:r>
    </w:p>
    <w:p>
      <w:pPr>
        <w:spacing w:after="0" w:line="187"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securities evidenced by this certificate have not been registered under the Securities Act of 1933, as amended, or any applicable state law, and no interest therein may be sold, distributed, assigned, offered, pledged or otherwise transferred unless (a) there is an effective registration statement under such Act and applicable state securities laws covering any such transaction involving said securities or (b) this corporation receives an opinion of legal counsel for the holder of these securities (concurred in by legal counsel for this corporation) stating that such transaction is exempt from registration or this corporation otherwise satisfies itself that such transaction is exempt from registration. Neither the offering of the securities nor any offering materials have been reviewed by any administrator under the Securities Act of 1933, as amended, or any applicable state law."</w:t>
      </w:r>
    </w:p>
    <w:p>
      <w:pPr>
        <w:spacing w:after="0" w:line="16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any securities of the corporation are issued pursuant to Regulation S ("</w:t>
      </w:r>
      <w:r>
        <w:rPr>
          <w:rFonts w:ascii="Arial" w:cs="Arial" w:eastAsia="Arial" w:hAnsi="Arial"/>
          <w:sz w:val="18"/>
          <w:szCs w:val="18"/>
          <w:b w:val="1"/>
          <w:bCs w:val="1"/>
          <w:i w:val="1"/>
          <w:iCs w:val="1"/>
          <w:color w:val="auto"/>
        </w:rPr>
        <w:t>Regulation S</w:t>
      </w:r>
      <w:r>
        <w:rPr>
          <w:rFonts w:ascii="Arial" w:cs="Arial" w:eastAsia="Arial" w:hAnsi="Arial"/>
          <w:sz w:val="18"/>
          <w:szCs w:val="18"/>
          <w:color w:val="auto"/>
        </w:rPr>
        <w:t>") of the Securities Act of 1933, as amended (the "</w:t>
      </w:r>
      <w:r>
        <w:rPr>
          <w:rFonts w:ascii="Arial" w:cs="Arial" w:eastAsia="Arial" w:hAnsi="Arial"/>
          <w:sz w:val="18"/>
          <w:szCs w:val="18"/>
          <w:b w:val="1"/>
          <w:bCs w:val="1"/>
          <w:i w:val="1"/>
          <w:iCs w:val="1"/>
          <w:color w:val="auto"/>
        </w:rPr>
        <w:t>1933 Act</w:t>
      </w:r>
      <w:r>
        <w:rPr>
          <w:rFonts w:ascii="Arial" w:cs="Arial" w:eastAsia="Arial" w:hAnsi="Arial"/>
          <w:sz w:val="18"/>
          <w:szCs w:val="18"/>
          <w:color w:val="auto"/>
        </w:rPr>
        <w:t>"), the corporation will refuse to register any subsequent transfer of such securities if such transfer is</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13</w:t>
      </w:r>
    </w:p>
    <w:p>
      <w:pPr>
        <w:sectPr>
          <w:pgSz w:w="11900" w:h="16838" w:orient="portrait"/>
          <w:cols w:equalWidth="0" w:num="1">
            <w:col w:w="11420"/>
          </w:cols>
          <w:pgMar w:left="240" w:top="797" w:right="239" w:bottom="1440" w:gutter="0" w:footer="0" w:header="0"/>
        </w:sectPr>
      </w:pPr>
    </w:p>
    <w:bookmarkStart w:id="182" w:name="page183"/>
    <w:bookmarkEnd w:id="182"/>
    <w:p>
      <w:pPr>
        <w:ind w:right="20"/>
        <w:spacing w:after="0" w:line="277" w:lineRule="auto"/>
        <w:rPr>
          <w:sz w:val="20"/>
          <w:szCs w:val="20"/>
          <w:color w:val="auto"/>
        </w:rPr>
      </w:pPr>
      <w:r>
        <w:rPr>
          <w:rFonts w:ascii="Arial" w:cs="Arial" w:eastAsia="Arial" w:hAnsi="Arial"/>
          <w:sz w:val="18"/>
          <w:szCs w:val="18"/>
          <w:color w:val="auto"/>
        </w:rPr>
        <w:t>not made in accordance with Regulation S, pursuant to registration under the 1933 Act or pursuant to an available exemption from registration under the 1933 Act.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Transfer of Shares</w:t>
      </w:r>
    </w:p>
    <w:p>
      <w:pPr>
        <w:spacing w:after="0" w:line="229" w:lineRule="exact"/>
        <w:rPr>
          <w:sz w:val="20"/>
          <w:szCs w:val="20"/>
          <w:color w:val="auto"/>
        </w:rPr>
      </w:pPr>
    </w:p>
    <w:p>
      <w:pPr>
        <w:jc w:val="both"/>
        <w:ind w:right="140" w:firstLine="648"/>
        <w:spacing w:after="0" w:line="257" w:lineRule="auto"/>
        <w:rPr>
          <w:sz w:val="20"/>
          <w:szCs w:val="20"/>
          <w:color w:val="auto"/>
        </w:rPr>
      </w:pPr>
      <w:r>
        <w:rPr>
          <w:rFonts w:ascii="Arial" w:cs="Arial" w:eastAsia="Arial" w:hAnsi="Arial"/>
          <w:sz w:val="18"/>
          <w:szCs w:val="18"/>
          <w:color w:val="auto"/>
        </w:rPr>
        <w:t>The transfer of shares of the corporation shall be made only on the stock transfer books of the corporation pursuant to authorization or document of transfer made by the holder of record thereof or by his or her legal representative, who shall furnish proper evidence of authority to transfer, or by his or her attorney-in-fact authorized by power of attorney duly executed and filed with the Secretary of the corporation. All certificates surrendered to the corporation for transfer shall be cancelled and no new certificate shall be issued until the former certificates for a like number of shares shall have been surrendered and cancelled.</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Lost or Destroyed Certificates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the case of a lost, destroyed or mutilated certificate, a new certificate may be issued therefor upon such terms and indemnity to the corporation as the Board may prescribe.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BOOKS AND RECORDS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shall:</w:t>
      </w:r>
    </w:p>
    <w:p>
      <w:pPr>
        <w:spacing w:after="0" w:line="225" w:lineRule="exact"/>
        <w:rPr>
          <w:sz w:val="20"/>
          <w:szCs w:val="20"/>
          <w:color w:val="auto"/>
        </w:rPr>
      </w:pPr>
    </w:p>
    <w:p>
      <w:pPr>
        <w:jc w:val="both"/>
        <w:ind w:right="300" w:firstLine="656"/>
        <w:spacing w:after="0" w:line="342" w:lineRule="auto"/>
        <w:tabs>
          <w:tab w:leader="none" w:pos="1028" w:val="left"/>
        </w:tabs>
        <w:numPr>
          <w:ilvl w:val="0"/>
          <w:numId w:val="78"/>
        </w:numPr>
        <w:rPr>
          <w:rFonts w:ascii="Arial" w:cs="Arial" w:eastAsia="Arial" w:hAnsi="Arial"/>
          <w:sz w:val="16"/>
          <w:szCs w:val="16"/>
          <w:color w:val="auto"/>
        </w:rPr>
      </w:pPr>
      <w:r>
        <w:rPr>
          <w:rFonts w:ascii="Arial" w:cs="Arial" w:eastAsia="Arial" w:hAnsi="Arial"/>
          <w:sz w:val="16"/>
          <w:szCs w:val="16"/>
          <w:color w:val="auto"/>
        </w:rPr>
        <w:t>Keep as permanent records minutes of all meetings of its shareholders and the Board, a record of all actions taken by the shareholders or the Board without a meeting, and a record of all actions taken by a committee of the Board exercising the authority of the Board on behalf of the corporation.</w:t>
      </w:r>
    </w:p>
    <w:p>
      <w:pPr>
        <w:spacing w:after="0" w:line="123" w:lineRule="exact"/>
        <w:rPr>
          <w:rFonts w:ascii="Arial" w:cs="Arial" w:eastAsia="Arial" w:hAnsi="Arial"/>
          <w:sz w:val="16"/>
          <w:szCs w:val="16"/>
          <w:color w:val="auto"/>
        </w:rPr>
      </w:pPr>
    </w:p>
    <w:p>
      <w:pPr>
        <w:ind w:left="1040" w:hanging="384"/>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Maintain appropriate accounting records.</w:t>
      </w:r>
    </w:p>
    <w:p>
      <w:pPr>
        <w:spacing w:after="0" w:line="225" w:lineRule="exact"/>
        <w:rPr>
          <w:rFonts w:ascii="Arial" w:cs="Arial" w:eastAsia="Arial" w:hAnsi="Arial"/>
          <w:sz w:val="18"/>
          <w:szCs w:val="18"/>
          <w:color w:val="auto"/>
        </w:rPr>
      </w:pPr>
    </w:p>
    <w:p>
      <w:pPr>
        <w:ind w:right="160" w:firstLine="656"/>
        <w:spacing w:after="0" w:line="264" w:lineRule="auto"/>
        <w:tabs>
          <w:tab w:leader="none" w:pos="1028"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Maintain a record of its shareholders, in a form that permits preparation of a list of the names and addresses of all shareholders in alphabetical order by class of shares, showing the number and class of shares held by each; provided, however, such record may be maintained by an agent of the corporation.</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Maintain its records in written form or in another form capable of conversion into written form within a reasonable time.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Keep a copy of the following records at its principal office: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Articles of Incorporation and all amendments thereto as currently in effect;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Bylaws and all amendments thereto as currently in effect;</w:t>
      </w:r>
    </w:p>
    <w:p>
      <w:pPr>
        <w:spacing w:after="0" w:line="225" w:lineRule="exact"/>
        <w:rPr>
          <w:rFonts w:ascii="Arial" w:cs="Arial" w:eastAsia="Arial" w:hAnsi="Arial"/>
          <w:sz w:val="18"/>
          <w:szCs w:val="18"/>
          <w:color w:val="auto"/>
        </w:rPr>
      </w:pPr>
    </w:p>
    <w:p>
      <w:pPr>
        <w:ind w:left="1960" w:right="320" w:hanging="655"/>
        <w:spacing w:after="0" w:line="277" w:lineRule="auto"/>
        <w:tabs>
          <w:tab w:leader="none" w:pos="19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minutes of all meetings of shareholders and records of all action taken by shareholders without a meeting, for the past three years;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financial statements described in Section 23B.16.200(1) of the Washington Business Corporation Act, for the past three years;</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written communications to shareholders generally within the past three years;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list of the names and business addresses of the current directors and officers;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most recent annual report delivered to the Washington Secretary of State.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ACCOUNTING YEAR</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accounting year of the corporation shall be the calendar year, provided that if a different accounting year is at any time selected by the Board for purposes of federal income taxes or any other purpose, the accounting year shall be the year so selected.</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14</w:t>
      </w:r>
    </w:p>
    <w:p>
      <w:pPr>
        <w:sectPr>
          <w:pgSz w:w="11900" w:h="16838" w:orient="portrait"/>
          <w:cols w:equalWidth="0" w:num="1">
            <w:col w:w="11420"/>
          </w:cols>
          <w:pgMar w:left="240" w:top="801"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SECTION 9. SEAL</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Board may provide for a corporate seal which shall consist of the name of the corporation, the state of its incorporation and the year of its incorporation.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INDEMNIFICATION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Right to Indemnification</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Each person who was, is or is threatened to be made a named party to or is otherwise involved (including, without limitation, as a witness) in any threatened, pending or completed action, suit or proceeding, whether civil, criminal, administrative or investigative and whether formal or informal (hereinafter a "proceeding"), by reason of the fact that he or she is or was a director or officer of the corporation or that, being or having been such a director or officer or an employee of the corporation, he or she is or was serving at the request of an executive officer of the corporation as a director, officer, partner, trustee, employee or agent of another corporation or of a partnership, joint venture, trust, employee benefit plan or other enterprise (hereinafter an "indemnitee"), whether the basis of a proceeding is alleged action in an official capacity as such a director, officer, partner, trustee, employee or agent or in any other capacity while serving as such a director, officer, partner, trustee, employee or agent, shall be indemnified and held harmless by the corporation against all expense, liability and loss (including counsel fees, judgments, fines, ERISA excise taxes or penalties and amounts to be paid in settlement) actually and reasonably incurred or suffered by such indemnitee in connection therewith, and such indemnification shall continue as to an indemnitee who has ceased to be a director, officer, partner, trustee, employee or agent and shall inure to the benefit of the indemnitee's heirs, executors and administrators. Except as provided in Section 10.2 with respect to proceedings seeking to enforce rights to indemnification, the corporation shall indemnify any such indemnitee in connection with a proceeding (or part thereof) initiated by such indemnitee only if a proceeding (or part thereof) was authorized or ratified by the Board. The right to indemnification conferred in this Section 10 shall be a contract right.</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Restrictions on Indemnification</w:t>
      </w:r>
    </w:p>
    <w:p>
      <w:pPr>
        <w:spacing w:after="0" w:line="22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No indemnification shall be provided to any such indemnitee (a) for acts or omissions of the indemnitee finally adjudged to be intentional misconduct or a knowing violation of law, (b) for conduct of the indemnitee finally adjudged to be in violation of Section 23B.08.310 of the Washington Business Corporation Act, for (c) any transaction with respect to which it was finally adjudged that such indemnitee personally received a benefit in money, property or services to which the indemnitee was not legally entitled; or (d) if the corporation is otherwise prohibited by applicable law from paying such indemnification, except that if Section 23B.08.560 or any successor provision of the Washington Business Corporation Act is hereafter amended, the restrictions on indemnification set forth in this Section 10.2 shall be as set forth in such amended statutory provision.</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Advancement of Expenses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right to indemnification conferred in this Section 10 shall include the right to be paid by the corporation the expenses incurred in defending any proceeding in advance of its final disposition (hereinafter an "advancement of expenses"). An advancement of expenses shall be made upon delivery to the corporation of an undertaking (hereinafter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10.3.</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Right of Indemnitee to Bring Suit</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a claim under Section 10.1 or 10.3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also be paid the expense of prosecuting or defending such suit. The indemnitee shall be presumed to be entitled to indemnification under this Section 10 upon submission of a written claim (and, in an action brought to enforce a claim for an advancement of expenses, where the required undertaking has been tendered to the corporation), and thereafter the corporation shall have the burden of proof to overcome the presumption that the indemnitee is so entitled.</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15</w:t>
      </w:r>
    </w:p>
    <w:p>
      <w:pPr>
        <w:sectPr>
          <w:pgSz w:w="11900" w:h="16838" w:orient="portrait"/>
          <w:cols w:equalWidth="0" w:num="1">
            <w:col w:w="11420"/>
          </w:cols>
          <w:pgMar w:left="240" w:top="797" w:right="239" w:bottom="1440" w:gutter="0" w:footer="0" w:header="0"/>
        </w:sectPr>
      </w:pPr>
    </w:p>
    <w:bookmarkStart w:id="184" w:name="page185"/>
    <w:bookmarkEnd w:id="184"/>
    <w:p>
      <w:pPr>
        <w:ind w:left="660"/>
        <w:spacing w:after="0"/>
        <w:tabs>
          <w:tab w:leader="none" w:pos="128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5"/>
          <w:szCs w:val="15"/>
          <w:b w:val="1"/>
          <w:bCs w:val="1"/>
          <w:color w:val="auto"/>
        </w:rPr>
        <w:t>Procedures Exclusive</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Pursuant to Section 23B.08.560(2) or any successor provision of the Washington Business Corporation Act, the procedures for indemnification and advancement of expenses set forth in this Section 10 are in lieu of the procedures required by Section 23B.08.550 or any successor provision of the Washington Business Corporation Act.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color w:val="auto"/>
        </w:rPr>
        <w:t>Nonexclusivity of Rights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right to indemnification and the advancement of expenses conferred in this Section 10 shall not be exclusive of any other right which any person may have or hereafter acquire under any statute, provision of the Articles of Incorporation or Bylaws of the corporation, general or specific action of the Board, contract or otherwise.</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6"/>
          <w:szCs w:val="16"/>
          <w:b w:val="1"/>
          <w:bCs w:val="1"/>
          <w:color w:val="auto"/>
        </w:rPr>
        <w:t>Insurance, Contracts and Funding</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corporation may maintain insurance, at its expense, to protect itself and any director, officer, partner, trustee, employee or agent of the corporation or another corporation, partnership, joint venture, trust or other enterprise against any expense, liability or loss, whether or not the corporation would have the power to indemnify such person against such expense, liability or loss under the Washington Business Corporation Act. The corporation may enter into contracts with any director, officer, partner, trustee, employee or agent of the corporation in furtherance of the provisions of this Section 10 and may create a trust fund, grant a security interest or use other means (including, without limitation, a letter of credit) to ensure the payment of such amounts as may be necessary to effect indemnification as provided in this Section 10.</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6"/>
          <w:szCs w:val="16"/>
          <w:b w:val="1"/>
          <w:bCs w:val="1"/>
          <w:color w:val="auto"/>
        </w:rPr>
        <w:t>Indemnification of Employees and Agents of the Corporation</w:t>
      </w:r>
    </w:p>
    <w:p>
      <w:pPr>
        <w:spacing w:after="0" w:line="229"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The corporation may, by action of the Board, grant rights to indemnification and advancement of expenses to employees and agents or any class or group of employees and agents of the corporation (a) with the same scope and effect as the provisions of this Section 10 with respect to the indemnification and advancement of expenses of directors and officers of the corporation; (b) pursuant to rights granted pursuant to or provided by, the Washington Business Corporation Act; or (c) as are otherwise consistent with law.</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6"/>
          <w:szCs w:val="16"/>
          <w:b w:val="1"/>
          <w:bCs w:val="1"/>
          <w:color w:val="auto"/>
        </w:rPr>
        <w:t>Persons Serving Other Entities</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Any person who, while a director, officer or employee of the corporation, is or was serving (a) as a director or officer of another foreign or domestic corporation of which a majority of the shares entitled to vote in the election of its directors is held by the corporation or (b) as a partner, trustee or otherwise in an executive or management capacity in a partnership, joint venture, trust or other enterprise of which the corporation or a wholly owned subsidiary of the corporation is a general partner or has a majority ownership shall be deemed to be so serving at the request of an executive officer of the corporation and entitled to indemnification and advancement of expenses under Section 10.1 and 10.3.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AMENDMENTS</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These Bylaws may be altered, amended or repealed and new Bylaws may be adopted by the Board, except that the Board may not repeal or amend any Bylaw that the shareholders have expressly provided, in amending or repealing such Bylaw, may not be amended or repealed by the Board. The shareholders may also alter, amend and repeal these Bylaws or adopt new Bylaws; provided, however, that, to be effective, any amendment to change or eliminate a specified vote requirement of shareholders provided for in these Bylaws must be approved by the same vote as the specified vote requirement proposed to be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EXCLUSIVE FORUM</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Superior Court of Spokane County of the State of Washington shall be the sole and exclusive forum for (a) any derivative action or proceeding brought on behalf of the corporation; (b) any action asserting a claim of breach of fiduciary duty owed by any director or officer of the corporation to the corporation or the corporation's shareholders; (c) any action asserting a claim against the corporation arising under or pursuant to, or based on, any provision of the Washington Business Corporation Act or the corporation's Articles of Incorporation or Bylaws; or (d) any action asserting a claim against the corporation governed by the internal affairs doctrine.</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16</w:t>
      </w:r>
    </w:p>
    <w:p>
      <w:pPr>
        <w:sectPr>
          <w:pgSz w:w="11900" w:h="16838" w:orient="portrait"/>
          <w:cols w:equalWidth="0" w:num="1">
            <w:col w:w="11420"/>
          </w:cols>
          <w:pgMar w:left="240" w:top="797" w:right="2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The foregoing Amended and Restated Bylaws were adopted by the Board of Directors on June 27, 2016.</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MariLyn R.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23069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MariLyn R. Hill, Assistant Corporate Secretary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17</w:t>
      </w:r>
    </w:p>
    <w:p>
      <w:pPr>
        <w:sectPr>
          <w:pgSz w:w="11900" w:h="16838" w:orient="portrait"/>
          <w:cols w:equalWidth="0" w:num="1">
            <w:col w:w="11420"/>
          </w:cols>
          <w:pgMar w:left="240" w:top="1233"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Richard J. Christensen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Michel C. Cadieux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de Vere White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L. Deitrich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 Bruce Douglas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Barbara J. Doyle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G. Hrivnak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Sharelynn F.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Simon Pontin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 Mark Schmitz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Shannon M. Votava</w:t>
      </w:r>
    </w:p>
    <w:p>
      <w:pPr>
        <w:sectPr>
          <w:pgSz w:w="11900" w:h="16838" w:orient="portrait"/>
          <w:cols w:equalWidth="0" w:num="1">
            <w:col w:w="11420"/>
          </w:cols>
          <w:pgMar w:left="240" w:top="580"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MariLyn R. Blair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M. Burks,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Michel C. Cadieux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Deitrich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 Bruce Douglas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Barbara J. Doyle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Deloris R. Duquette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Kirby A. Dyess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E. Eliassen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H. Gaylord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S. Glanville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Jerome Lande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Leyden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Mainz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Sharelynn F.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Sharon L.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S. Pelino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Simon Pontin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 W. Porter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E. Pruitt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 Mark Schmitz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Diana Tremblay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Shannon M. Votava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Whitney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Lynda L. Ziegler</w:t>
      </w:r>
    </w:p>
    <w:p>
      <w:pPr>
        <w:sectPr>
          <w:pgSz w:w="11900" w:h="16838" w:orient="portrait"/>
          <w:cols w:equalWidth="0" w:num="1">
            <w:col w:w="11420"/>
          </w:cols>
          <w:pgMar w:left="240" w:top="581" w:right="2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Exhibit 12.1</w:t>
            </w:r>
          </w:p>
        </w:tc>
      </w:tr>
      <w:tr>
        <w:trPr>
          <w:trHeight w:val="676"/>
        </w:trPr>
        <w:tc>
          <w:tcPr>
            <w:tcW w:w="3200" w:type="dxa"/>
            <w:vAlign w:val="bottom"/>
          </w:tcPr>
          <w:p>
            <w:pPr>
              <w:spacing w:after="0"/>
              <w:rPr>
                <w:sz w:val="24"/>
                <w:szCs w:val="24"/>
                <w:color w:val="auto"/>
              </w:rPr>
            </w:pPr>
          </w:p>
        </w:tc>
        <w:tc>
          <w:tcPr>
            <w:tcW w:w="5620" w:type="dxa"/>
            <w:vAlign w:val="bottom"/>
            <w:gridSpan w:val="10"/>
          </w:tcPr>
          <w:p>
            <w:pPr>
              <w:jc w:val="center"/>
              <w:ind w:right="600"/>
              <w:spacing w:after="0"/>
              <w:rPr>
                <w:sz w:val="20"/>
                <w:szCs w:val="20"/>
                <w:color w:val="auto"/>
              </w:rPr>
            </w:pPr>
            <w:r>
              <w:rPr>
                <w:rFonts w:ascii="Arial" w:cs="Arial" w:eastAsia="Arial" w:hAnsi="Arial"/>
                <w:sz w:val="16"/>
                <w:szCs w:val="16"/>
                <w:b w:val="1"/>
                <w:bCs w:val="1"/>
                <w:color w:val="auto"/>
              </w:rPr>
              <w:t xml:space="preserve">COMPUTATION OF RATIO OF EARNINGS TO FIXED CHARGES </w:t>
            </w:r>
            <w:r>
              <w:rPr>
                <w:rFonts w:ascii="Arial" w:cs="Arial" w:eastAsia="Arial" w:hAnsi="Arial"/>
                <w:sz w:val="21"/>
                <w:szCs w:val="21"/>
                <w:b w:val="1"/>
                <w:bCs w:val="1"/>
                <w:color w:val="auto"/>
                <w:vertAlign w:val="superscript"/>
              </w:rPr>
              <w:t>(1)</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1"/>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78"/>
              <w:spacing w:after="0"/>
              <w:rPr>
                <w:sz w:val="20"/>
                <w:szCs w:val="20"/>
                <w:color w:val="auto"/>
              </w:rPr>
            </w:pPr>
            <w:r>
              <w:rPr>
                <w:rFonts w:ascii="Arial" w:cs="Arial" w:eastAsia="Arial" w:hAnsi="Arial"/>
                <w:sz w:val="16"/>
                <w:szCs w:val="16"/>
                <w:b w:val="1"/>
                <w:bCs w:val="1"/>
                <w:color w:val="auto"/>
              </w:rPr>
              <w:t>2011</w:t>
            </w:r>
          </w:p>
        </w:tc>
      </w:tr>
      <w:tr>
        <w:trPr>
          <w:trHeight w:val="33"/>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(in thousands, except ratios)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3"/>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Pre-tax income (loss)</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(503,677)</w:t>
            </w: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w w:val="92"/>
              </w:rPr>
              <w:t>Add: dividends received from equity investees</w:t>
            </w: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307</w:t>
            </w:r>
          </w:p>
        </w:tc>
      </w:tr>
      <w:tr>
        <w:trPr>
          <w:trHeight w:val="33"/>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noncontrolling interest income</w:t>
            </w: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(3,961)</w:t>
            </w: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Less: income from equity investees</w:t>
            </w: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(817)</w:t>
            </w:r>
          </w:p>
        </w:tc>
      </w:tr>
      <w:tr>
        <w:trPr>
          <w:trHeight w:val="33"/>
        </w:trPr>
        <w:tc>
          <w:tcPr>
            <w:tcW w:w="3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3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(19,224)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(508,148)</w:t>
            </w:r>
          </w:p>
        </w:tc>
      </w:tr>
      <w:tr>
        <w:trPr>
          <w:trHeight w:val="297"/>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charges:</w:t>
            </w:r>
            <w:r>
              <w:rPr>
                <w:rFonts w:ascii="Arial" w:cs="Arial" w:eastAsia="Arial" w:hAnsi="Arial"/>
                <w:sz w:val="21"/>
                <w:szCs w:val="21"/>
                <w:color w:val="auto"/>
                <w:vertAlign w:val="superscript"/>
              </w:rPr>
              <w:t>(2)</w:t>
            </w:r>
          </w:p>
        </w:tc>
        <w:tc>
          <w:tcPr>
            <w:tcW w:w="15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Interest expense, gross</w:t>
            </w:r>
            <w:r>
              <w:rPr>
                <w:rFonts w:ascii="Arial" w:cs="Arial" w:eastAsia="Arial" w:hAnsi="Arial"/>
                <w:sz w:val="21"/>
                <w:szCs w:val="21"/>
                <w:color w:val="auto"/>
                <w:vertAlign w:val="superscript"/>
              </w:rPr>
              <w:t>(3)</w:t>
            </w: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12,289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11,602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10,686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10,115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36,794</w:t>
            </w: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portion of rent expense</w:t>
            </w:r>
          </w:p>
        </w:tc>
        <w:tc>
          <w:tcPr>
            <w:tcW w:w="1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6,855</w:t>
            </w:r>
          </w:p>
        </w:tc>
      </w:tr>
      <w:tr>
        <w:trPr>
          <w:trHeight w:val="291"/>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 Fixed charges</w:t>
            </w:r>
          </w:p>
        </w:tc>
        <w:tc>
          <w:tcPr>
            <w:tcW w:w="1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43,649</w:t>
            </w:r>
          </w:p>
        </w:tc>
      </w:tr>
      <w:tr>
        <w:trPr>
          <w:trHeight w:val="291"/>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 Earnings for ratio</w:t>
            </w:r>
            <w:r>
              <w:rPr>
                <w:rFonts w:ascii="Arial" w:cs="Arial" w:eastAsia="Arial" w:hAnsi="Arial"/>
                <w:sz w:val="21"/>
                <w:szCs w:val="21"/>
                <w:color w:val="auto"/>
                <w:vertAlign w:val="superscript"/>
              </w:rPr>
              <w:t>(4)</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52,108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139,876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(464,499)</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Ratios:</w:t>
            </w: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Earnings to fixed charges (b/a)</w:t>
            </w:r>
            <w:r>
              <w:rPr>
                <w:rFonts w:ascii="Arial" w:cs="Arial" w:eastAsia="Arial" w:hAnsi="Arial"/>
                <w:sz w:val="21"/>
                <w:szCs w:val="21"/>
                <w:color w:val="auto"/>
                <w:vertAlign w:val="superscript"/>
              </w:rPr>
              <w:t>(5)</w:t>
            </w: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ind w:left="60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3"/>
                <w:szCs w:val="23"/>
                <w:color w:val="auto"/>
              </w:rPr>
            </w:pP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N/A</w:t>
            </w:r>
          </w:p>
        </w:tc>
      </w:tr>
      <w:tr>
        <w:trPr>
          <w:trHeight w:val="297"/>
        </w:trPr>
        <w:tc>
          <w:tcPr>
            <w:tcW w:w="3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Deficit of earnings to fixed charges</w:t>
            </w: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center"/>
              <w:ind w:left="279"/>
              <w:spacing w:after="0"/>
              <w:rPr>
                <w:sz w:val="20"/>
                <w:szCs w:val="20"/>
                <w:color w:val="auto"/>
              </w:rPr>
            </w:pPr>
            <w:r>
              <w:rPr>
                <w:rFonts w:ascii="Arial" w:cs="Arial" w:eastAsia="Arial" w:hAnsi="Arial"/>
                <w:sz w:val="16"/>
                <w:szCs w:val="16"/>
                <w:color w:val="auto"/>
              </w:rPr>
              <w:t>N/A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(19,224)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(155,866)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520"/>
              <w:spacing w:after="0"/>
              <w:rPr>
                <w:sz w:val="20"/>
                <w:szCs w:val="20"/>
                <w:color w:val="auto"/>
              </w:rPr>
            </w:pPr>
            <w:r>
              <w:rPr>
                <w:rFonts w:ascii="Arial" w:cs="Arial" w:eastAsia="Arial" w:hAnsi="Arial"/>
                <w:sz w:val="16"/>
                <w:szCs w:val="16"/>
                <w:color w:val="auto"/>
              </w:rPr>
              <w:t>N/A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(508,148)</w:t>
            </w:r>
          </w:p>
        </w:tc>
      </w:tr>
    </w:tbl>
    <w:p>
      <w:pPr>
        <w:spacing w:after="0" w:line="235" w:lineRule="exact"/>
        <w:rPr>
          <w:sz w:val="20"/>
          <w:szCs w:val="20"/>
          <w:color w:val="auto"/>
        </w:rPr>
      </w:pPr>
    </w:p>
    <w:p>
      <w:pPr>
        <w:ind w:left="340" w:hanging="332"/>
        <w:spacing w:after="0" w:line="216" w:lineRule="auto"/>
        <w:tabs>
          <w:tab w:leader="none" w:pos="340"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color w:val="auto"/>
        </w:rPr>
        <w:t>We had no preferred stock outstanding for any period presented and accordingly our ratio of earnings to combined fixed charges and preferred stock dividends is the same as our ratio of earnings to fixed charges for all periods presented.</w:t>
      </w:r>
    </w:p>
    <w:p>
      <w:pPr>
        <w:spacing w:after="0" w:line="203"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Fixed charges </w:t>
      </w:r>
      <w:r>
        <w:rPr>
          <w:rFonts w:ascii="Arial" w:cs="Arial" w:eastAsia="Arial" w:hAnsi="Arial"/>
          <w:sz w:val="18"/>
          <w:szCs w:val="18"/>
          <w:color w:val="auto"/>
        </w:rPr>
        <w:t>consist of interest on indebtedness and amortization of debt issuance costs plus that portion of lease rental expense representative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factor.</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i w:val="1"/>
          <w:iCs w:val="1"/>
          <w:color w:val="auto"/>
        </w:rPr>
        <w:t>Interest expense, gross</w:t>
      </w:r>
      <w:r>
        <w:rPr>
          <w:rFonts w:ascii="Arial" w:cs="Arial" w:eastAsia="Arial" w:hAnsi="Arial"/>
          <w:sz w:val="18"/>
          <w:szCs w:val="18"/>
          <w:color w:val="auto"/>
        </w:rPr>
        <w:t>, includes amortization of prepaid debt fees.</w:t>
      </w:r>
    </w:p>
    <w:p>
      <w:pPr>
        <w:spacing w:after="0" w:line="20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for ratio </w:t>
      </w:r>
      <w:r>
        <w:rPr>
          <w:rFonts w:ascii="Arial" w:cs="Arial" w:eastAsia="Arial" w:hAnsi="Arial"/>
          <w:sz w:val="18"/>
          <w:szCs w:val="18"/>
          <w:color w:val="auto"/>
        </w:rPr>
        <w:t>consists of income (loss) from continuing operations before income taxes, plus dividends received from equity method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less income from equity investees, less income attributable to noncontrolling interests.</w:t>
      </w:r>
    </w:p>
    <w:p>
      <w:pPr>
        <w:spacing w:after="0" w:line="192" w:lineRule="exact"/>
        <w:rPr>
          <w:rFonts w:ascii="Arial" w:cs="Arial" w:eastAsia="Arial" w:hAnsi="Arial"/>
          <w:sz w:val="25"/>
          <w:szCs w:val="25"/>
          <w:color w:val="auto"/>
          <w:vertAlign w:val="superscript"/>
        </w:rPr>
      </w:pPr>
    </w:p>
    <w:p>
      <w:pPr>
        <w:ind w:left="180" w:hanging="172"/>
        <w:spacing w:after="0"/>
        <w:tabs>
          <w:tab w:leader="none" w:pos="180" w:val="left"/>
        </w:tabs>
        <w:numPr>
          <w:ilvl w:val="0"/>
          <w:numId w:val="79"/>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Earnings to fixed charges ratio </w:t>
      </w:r>
      <w:r>
        <w:rPr>
          <w:rFonts w:ascii="Arial" w:cs="Arial" w:eastAsia="Arial" w:hAnsi="Arial"/>
          <w:sz w:val="15"/>
          <w:szCs w:val="15"/>
          <w:color w:val="auto"/>
        </w:rPr>
        <w:t>is not calculated for years with a</w:t>
      </w:r>
      <w:r>
        <w:rPr>
          <w:rFonts w:ascii="Arial" w:cs="Arial" w:eastAsia="Arial" w:hAnsi="Arial"/>
          <w:sz w:val="15"/>
          <w:szCs w:val="15"/>
          <w:i w:val="1"/>
          <w:iCs w:val="1"/>
          <w:color w:val="auto"/>
        </w:rPr>
        <w:t xml:space="preserve"> Deficit of earnings to fixed charges </w:t>
      </w:r>
      <w:r>
        <w:rPr>
          <w:rFonts w:ascii="Arial" w:cs="Arial" w:eastAsia="Arial" w:hAnsi="Arial"/>
          <w:sz w:val="15"/>
          <w:szCs w:val="15"/>
          <w:color w:val="auto"/>
        </w:rPr>
        <w:t>amount as the ratio is less than 1:1.</w:t>
      </w:r>
    </w:p>
    <w:p>
      <w:pPr>
        <w:sectPr>
          <w:pgSz w:w="11900" w:h="16838" w:orient="portrait"/>
          <w:cols w:equalWidth="0" w:num="1">
            <w:col w:w="11420"/>
          </w:cols>
          <w:pgMar w:left="240" w:top="121" w:right="2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34"/>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SUBSIDIARIES OF THE REGISTRANT AT DECEMBER 31, 2015</w:t>
            </w:r>
          </w:p>
        </w:tc>
        <w:tc>
          <w:tcPr>
            <w:tcW w:w="7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w w:val="91"/>
              </w:rPr>
              <w:t>Exhibit 21.1</w:t>
            </w:r>
          </w:p>
        </w:tc>
      </w:tr>
      <w:tr>
        <w:trPr>
          <w:trHeight w:val="554"/>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Itron, Inc. Domestic Subsidiaries</w:t>
            </w:r>
          </w:p>
        </w:tc>
        <w:tc>
          <w:tcPr>
            <w:tcW w:w="354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State of Incorporation</w:t>
            </w:r>
          </w:p>
        </w:tc>
        <w:tc>
          <w:tcPr>
            <w:tcW w:w="2800" w:type="dxa"/>
            <w:vAlign w:val="bottom"/>
            <w:gridSpan w:val="2"/>
          </w:tcPr>
          <w:p>
            <w:pPr>
              <w:spacing w:after="0"/>
              <w:rPr>
                <w:sz w:val="24"/>
                <w:szCs w:val="24"/>
                <w:color w:val="auto"/>
              </w:rPr>
            </w:pPr>
          </w:p>
        </w:tc>
      </w:tr>
      <w:tr>
        <w:trPr>
          <w:trHeight w:val="291"/>
        </w:trPr>
        <w:tc>
          <w:tcPr>
            <w:tcW w:w="6060" w:type="dxa"/>
            <w:vAlign w:val="bottom"/>
            <w:gridSpan w:val="3"/>
          </w:tcPr>
          <w:p>
            <w:pPr>
              <w:spacing w:after="0"/>
              <w:rPr>
                <w:sz w:val="20"/>
                <w:szCs w:val="20"/>
                <w:color w:val="auto"/>
              </w:rPr>
            </w:pPr>
            <w:r>
              <w:rPr>
                <w:rFonts w:ascii="Arial" w:cs="Arial" w:eastAsia="Arial" w:hAnsi="Arial"/>
                <w:sz w:val="18"/>
                <w:szCs w:val="18"/>
                <w:color w:val="auto"/>
              </w:rPr>
              <w:t>Itron International, Inc.</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Brazil I, LLC</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Washington</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Brazil II, LLC</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Washington</w:t>
            </w:r>
          </w:p>
        </w:tc>
      </w:tr>
      <w:tr>
        <w:trPr>
          <w:trHeight w:val="554"/>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Itron, Inc. International Subsidiaries</w:t>
            </w:r>
          </w:p>
        </w:tc>
        <w:tc>
          <w:tcPr>
            <w:tcW w:w="5300" w:type="dxa"/>
            <w:vAlign w:val="bottom"/>
            <w:gridSpan w:val="4"/>
          </w:tcPr>
          <w:p>
            <w:pPr>
              <w:ind w:left="780"/>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91"/>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Itron Argentina S.A.</w:t>
            </w:r>
          </w:p>
        </w:tc>
        <w:tc>
          <w:tcPr>
            <w:tcW w:w="3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Argentina</w:t>
            </w:r>
          </w:p>
        </w:tc>
        <w:tc>
          <w:tcPr>
            <w:tcW w:w="1000" w:type="dxa"/>
            <w:vAlign w:val="bottom"/>
          </w:tcPr>
          <w:p>
            <w:pPr>
              <w:spacing w:after="0"/>
              <w:rPr>
                <w:sz w:val="24"/>
                <w:szCs w:val="24"/>
                <w:color w:val="auto"/>
              </w:rPr>
            </w:pP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Australasia Pty Limited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Australia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Austria GmbH</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Austria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Holding Belgium SPRL</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Belgium</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Management Services SA</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Belgium</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Contigea SA</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Belgium</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Sistemas e Tecnologia Ltda</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Brazil</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Soluções para Energia e Àgua Ltda.</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Brazil</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China Gas Holding Co. Ltd. (J.V. Majority)</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British Virgin Islands</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Canada, Inc.</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Canada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Compañía Chilena de Medición S.A.</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Chile</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Metering Systems (Chongqing) Co., Ltd. (J.V. Majority)</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China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Metering Solutions (Suzhou) Co., Ltd.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China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Metering Systems (Suzhou) Co., Ltd.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China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Czech Republic s.r.o.</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Czech Republic</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Asais</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France</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Asais Conseil</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France</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France S.A.S.</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France</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Holding France S.A.S.</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France</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Holding Germany GmbH</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Germany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GmbH</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Germany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Zähler &amp; Systemtechnik GmbH</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Germany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Unterstutzungskasse GmbH</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Germany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Allmess GmbH</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Germany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Unterstutzungseinrichtung GmbH</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Germany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SEWA GmbH</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Germany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Ganz Meter Company Ltd.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Hungary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India Private Limited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India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Metering Solutions India Private Limited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India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PT Mecoindo (J.V.)</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Indonesia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Management Services Ireland, Limited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Ireland</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Temetra Limited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Ireland</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Italia SpA</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Italy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Japan Co., Ltd.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Japan</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Metering Solutions Luxembourg</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Luxembourg</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Luxembourg</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Luxembourg</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Metertek Sdn Bhd (J.V. 100% indirectly owned)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Malaysia</w:t>
            </w:r>
          </w:p>
        </w:tc>
      </w:tr>
    </w:tbl>
    <w:p>
      <w:pPr>
        <w:sectPr>
          <w:pgSz w:w="11900" w:h="16838" w:orient="portrait"/>
          <w:cols w:equalWidth="0" w:num="1">
            <w:col w:w="11360"/>
          </w:cols>
          <w:pgMar w:left="280" w:top="743" w:right="259" w:bottom="1440" w:gutter="0" w:footer="0" w:header="0"/>
        </w:sectPr>
      </w:pPr>
    </w:p>
    <w:bookmarkStart w:id="190" w:name="page191"/>
    <w:bookmarkEnd w:id="1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Itron, Inc. International Subsidiaries</w:t>
            </w:r>
          </w:p>
        </w:tc>
        <w:tc>
          <w:tcPr>
            <w:tcW w:w="4220" w:type="dxa"/>
            <w:vAlign w:val="bottom"/>
            <w:gridSpan w:val="2"/>
          </w:tcPr>
          <w:p>
            <w:pPr>
              <w:ind w:left="700"/>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91"/>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Itron Servicios, S.A. de C.V.</w:t>
            </w:r>
          </w:p>
        </w:tc>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Mexico</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Distribución S.A. de C.V.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Mexico</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Inal-Industria Nacional de Precisão Limitada (J.V.)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Mozambique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Nederland B.V.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Netherlands</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Polska SP ZOO</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Poland</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Portugal, Unipessoal, LDA.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Imobiliaria, Unipessoal, LDA.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Sistemas de Medição Lda.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Middle East LLC</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Qatar</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Measurement and Systems (Proprietary) Limited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Republic of South Africa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Metering Solutions South Africa (Proprietary) Limited (J.V. Majority)</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Republic of South Africa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LLC</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Russia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Arabian Metering Company</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Saudi Arabia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Metering Systems Singapore Pte Ltd.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Singapore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Spain SLU</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Spain</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Sweden AB</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Sweden</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Switzerland S.A.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Switzerland</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Ukraine</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Ukraine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Ukrgas Meters Company (J.V. Majority)</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Ukraine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Metering Solutions UK Ltd.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United Kingdom</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Development UK Ltd.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360"/>
          </w:cols>
          <w:pgMar w:left="280" w:top="729" w:right="125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29" w:lineRule="exact"/>
        <w:rPr>
          <w:sz w:val="20"/>
          <w:szCs w:val="20"/>
          <w:color w:val="auto"/>
        </w:rPr>
      </w:pPr>
    </w:p>
    <w:p>
      <w:pPr>
        <w:ind w:left="820" w:hanging="488"/>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20"/>
          <w:szCs w:val="20"/>
          <w:color w:val="auto"/>
        </w:rPr>
        <w:t>Registration Statement (Form S-8 No. 333-04685) pertaining to the Itron, Inc. 1996 Employee Stock Purchase Plan,</w:t>
      </w:r>
    </w:p>
    <w:p>
      <w:pPr>
        <w:spacing w:after="0" w:line="15" w:lineRule="exact"/>
        <w:rPr>
          <w:rFonts w:ascii="Arial" w:cs="Arial" w:eastAsia="Arial" w:hAnsi="Arial"/>
          <w:sz w:val="18"/>
          <w:szCs w:val="18"/>
          <w:color w:val="auto"/>
        </w:rPr>
      </w:pPr>
    </w:p>
    <w:p>
      <w:pPr>
        <w:ind w:left="820" w:hanging="488"/>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20"/>
          <w:szCs w:val="20"/>
          <w:color w:val="auto"/>
        </w:rPr>
        <w:t>Registration Statement (Form S-8 No. 333-28933) pertaining to the Itron, Inc. 1989 Restated Stock Option Plan,</w:t>
      </w:r>
    </w:p>
    <w:p>
      <w:pPr>
        <w:ind w:left="820" w:hanging="488"/>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20"/>
          <w:szCs w:val="20"/>
          <w:color w:val="auto"/>
        </w:rPr>
        <w:t>Registration Statement (Form S-8 No. 333-63147) pertaining to the Itron, Inc. 1996 Employee Stock Purchase Plan,</w:t>
      </w:r>
    </w:p>
    <w:p>
      <w:pPr>
        <w:ind w:left="820" w:hanging="488"/>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20"/>
          <w:szCs w:val="20"/>
          <w:color w:val="auto"/>
        </w:rPr>
        <w:t>Registration Statement (Form S-8 No. 333-81925) pertaining to the Itron, Inc. 1996 Employee Stock Purchase Plan,</w:t>
      </w:r>
    </w:p>
    <w:p>
      <w:pPr>
        <w:ind w:left="820" w:hanging="488"/>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20"/>
          <w:szCs w:val="20"/>
          <w:color w:val="auto"/>
        </w:rPr>
        <w:t>Registration Statement (Form S-8 No. 333-86581) pertaining to the Nonqualified Stock Option Letter Agreement,</w:t>
      </w:r>
    </w:p>
    <w:p>
      <w:pPr>
        <w:ind w:left="820" w:hanging="488"/>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20"/>
          <w:szCs w:val="20"/>
          <w:color w:val="auto"/>
        </w:rPr>
        <w:t>Registration Statement (Form S-8 No. 333-40356) pertaining to the Itron, Inc. 2000 Stock Incentive Compensation Plan,</w:t>
      </w:r>
    </w:p>
    <w:p>
      <w:pPr>
        <w:ind w:left="820" w:hanging="488"/>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20"/>
          <w:szCs w:val="20"/>
          <w:color w:val="auto"/>
        </w:rPr>
        <w:t>Registration Statement (Form S-8 No. 333-89966) pertaining to the Itron, Inc. 2002 Employee Stock Purchase Plan,</w:t>
      </w:r>
    </w:p>
    <w:p>
      <w:pPr>
        <w:ind w:left="820" w:hanging="488"/>
        <w:spacing w:after="0"/>
        <w:tabs>
          <w:tab w:leader="none" w:pos="820" w:val="left"/>
        </w:tabs>
        <w:numPr>
          <w:ilvl w:val="0"/>
          <w:numId w:val="80"/>
        </w:numPr>
        <w:rPr>
          <w:rFonts w:ascii="Arial" w:cs="Arial" w:eastAsia="Arial" w:hAnsi="Arial"/>
          <w:sz w:val="16"/>
          <w:szCs w:val="16"/>
          <w:color w:val="auto"/>
        </w:rPr>
      </w:pPr>
      <w:r>
        <w:rPr>
          <w:rFonts w:ascii="Arial" w:cs="Arial" w:eastAsia="Arial" w:hAnsi="Arial"/>
          <w:sz w:val="18"/>
          <w:szCs w:val="18"/>
          <w:color w:val="auto"/>
        </w:rPr>
        <w:t>Registration Statement (Form S-8 No. 333-97571) pertaining to the Itron, Inc. Amended and Restated 2000 Stock Incentive Plan,</w:t>
      </w:r>
    </w:p>
    <w:p>
      <w:pPr>
        <w:spacing w:after="0" w:line="22" w:lineRule="exact"/>
        <w:rPr>
          <w:rFonts w:ascii="Arial" w:cs="Arial" w:eastAsia="Arial" w:hAnsi="Arial"/>
          <w:sz w:val="16"/>
          <w:szCs w:val="16"/>
          <w:color w:val="auto"/>
        </w:rPr>
      </w:pPr>
    </w:p>
    <w:p>
      <w:pPr>
        <w:ind w:left="820" w:hanging="488"/>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20"/>
          <w:szCs w:val="20"/>
          <w:color w:val="auto"/>
        </w:rPr>
        <w:t>Registration Statement (Form S-8 No. 333-110703) pertaining to the Itron, Inc. Incentive Savings Plan,</w:t>
      </w:r>
    </w:p>
    <w:p>
      <w:pPr>
        <w:ind w:left="820" w:hanging="488"/>
        <w:spacing w:after="0"/>
        <w:tabs>
          <w:tab w:leader="none" w:pos="820" w:val="left"/>
        </w:tabs>
        <w:numPr>
          <w:ilvl w:val="0"/>
          <w:numId w:val="80"/>
        </w:numPr>
        <w:rPr>
          <w:rFonts w:ascii="Arial" w:cs="Arial" w:eastAsia="Arial" w:hAnsi="Arial"/>
          <w:sz w:val="16"/>
          <w:szCs w:val="16"/>
          <w:color w:val="auto"/>
        </w:rPr>
      </w:pPr>
      <w:r>
        <w:rPr>
          <w:rFonts w:ascii="Arial" w:cs="Arial" w:eastAsia="Arial" w:hAnsi="Arial"/>
          <w:sz w:val="18"/>
          <w:szCs w:val="18"/>
          <w:color w:val="auto"/>
        </w:rPr>
        <w:t>Registration Statement (Form S-8 No. 333-115987) pertaining to the Itron, Inc. Amended and Restated 2000 Stock Incentive Plan,</w:t>
      </w:r>
    </w:p>
    <w:p>
      <w:pPr>
        <w:spacing w:after="0" w:line="22" w:lineRule="exact"/>
        <w:rPr>
          <w:rFonts w:ascii="Arial" w:cs="Arial" w:eastAsia="Arial" w:hAnsi="Arial"/>
          <w:sz w:val="16"/>
          <w:szCs w:val="16"/>
          <w:color w:val="auto"/>
        </w:rPr>
      </w:pPr>
    </w:p>
    <w:p>
      <w:pPr>
        <w:ind w:left="820" w:right="260" w:hanging="488"/>
        <w:spacing w:after="0" w:line="239" w:lineRule="auto"/>
        <w:tabs>
          <w:tab w:leader="none" w:pos="820" w:val="left"/>
        </w:tabs>
        <w:numPr>
          <w:ilvl w:val="0"/>
          <w:numId w:val="80"/>
        </w:numPr>
        <w:rPr>
          <w:rFonts w:ascii="Arial" w:cs="Arial" w:eastAsia="Arial" w:hAnsi="Arial"/>
          <w:sz w:val="18"/>
          <w:szCs w:val="18"/>
          <w:color w:val="auto"/>
        </w:rPr>
      </w:pPr>
      <w:r>
        <w:rPr>
          <w:rFonts w:ascii="Arial" w:cs="Arial" w:eastAsia="Arial" w:hAnsi="Arial"/>
          <w:sz w:val="20"/>
          <w:szCs w:val="20"/>
          <w:color w:val="auto"/>
        </w:rPr>
        <w:t>Registration Statement (Form S-8 No. 333-125461) pertaining to the Itron, Inc. Amended and Restated 2000 Stock Incentive Plan, and the Itron, Inc. Amended and Restated 2002 Employee Stock Purchase Plan,</w:t>
      </w:r>
    </w:p>
    <w:p>
      <w:pPr>
        <w:spacing w:after="0" w:line="1" w:lineRule="exact"/>
        <w:rPr>
          <w:rFonts w:ascii="Arial" w:cs="Arial" w:eastAsia="Arial" w:hAnsi="Arial"/>
          <w:sz w:val="18"/>
          <w:szCs w:val="18"/>
          <w:color w:val="auto"/>
        </w:rPr>
      </w:pPr>
    </w:p>
    <w:p>
      <w:pPr>
        <w:ind w:left="820" w:hanging="488"/>
        <w:spacing w:after="0"/>
        <w:tabs>
          <w:tab w:leader="none" w:pos="820" w:val="left"/>
        </w:tabs>
        <w:numPr>
          <w:ilvl w:val="0"/>
          <w:numId w:val="80"/>
        </w:numPr>
        <w:rPr>
          <w:rFonts w:ascii="Arial" w:cs="Arial" w:eastAsia="Arial" w:hAnsi="Arial"/>
          <w:sz w:val="16"/>
          <w:szCs w:val="16"/>
          <w:color w:val="auto"/>
        </w:rPr>
      </w:pPr>
      <w:r>
        <w:rPr>
          <w:rFonts w:ascii="Arial" w:cs="Arial" w:eastAsia="Arial" w:hAnsi="Arial"/>
          <w:sz w:val="18"/>
          <w:szCs w:val="18"/>
          <w:color w:val="auto"/>
        </w:rPr>
        <w:t>Registration Statement (Form S-8 No. 333-134749) pertaining to the Itron, Inc. Amended and Restated 2000 Stock Incentive Plan,</w:t>
      </w:r>
    </w:p>
    <w:p>
      <w:pPr>
        <w:spacing w:after="0" w:line="22" w:lineRule="exact"/>
        <w:rPr>
          <w:rFonts w:ascii="Arial" w:cs="Arial" w:eastAsia="Arial" w:hAnsi="Arial"/>
          <w:sz w:val="16"/>
          <w:szCs w:val="16"/>
          <w:color w:val="auto"/>
        </w:rPr>
      </w:pPr>
    </w:p>
    <w:p>
      <w:pPr>
        <w:ind w:left="820" w:hanging="488"/>
        <w:spacing w:after="0"/>
        <w:tabs>
          <w:tab w:leader="none" w:pos="820" w:val="left"/>
        </w:tabs>
        <w:numPr>
          <w:ilvl w:val="0"/>
          <w:numId w:val="80"/>
        </w:numPr>
        <w:rPr>
          <w:rFonts w:ascii="Arial" w:cs="Arial" w:eastAsia="Arial" w:hAnsi="Arial"/>
          <w:sz w:val="16"/>
          <w:szCs w:val="16"/>
          <w:color w:val="auto"/>
        </w:rPr>
      </w:pPr>
      <w:r>
        <w:rPr>
          <w:rFonts w:ascii="Arial" w:cs="Arial" w:eastAsia="Arial" w:hAnsi="Arial"/>
          <w:sz w:val="18"/>
          <w:szCs w:val="18"/>
          <w:color w:val="auto"/>
        </w:rPr>
        <w:t>Registration Statement (Form S-8 No. 333-143048) pertaining to the Itron, Inc. Amended and Restated 2000 Stock Incentive Plan,</w:t>
      </w:r>
    </w:p>
    <w:p>
      <w:pPr>
        <w:spacing w:after="0" w:line="22" w:lineRule="exact"/>
        <w:rPr>
          <w:rFonts w:ascii="Arial" w:cs="Arial" w:eastAsia="Arial" w:hAnsi="Arial"/>
          <w:sz w:val="16"/>
          <w:szCs w:val="16"/>
          <w:color w:val="auto"/>
        </w:rPr>
      </w:pPr>
    </w:p>
    <w:p>
      <w:pPr>
        <w:ind w:left="820" w:hanging="488"/>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20"/>
          <w:szCs w:val="20"/>
          <w:color w:val="auto"/>
        </w:rPr>
        <w:t>Registration Statement (Form S-8 No. 333-166601) pertaining to the Itron, Inc. 2010 Stock Incentive Plan,</w:t>
      </w:r>
    </w:p>
    <w:p>
      <w:pPr>
        <w:ind w:left="820" w:hanging="488"/>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20"/>
          <w:szCs w:val="20"/>
          <w:color w:val="auto"/>
        </w:rPr>
        <w:t>Registration Statement (Form S-8 No. 333-181685) pertaining to the Itron, Inc. 2012 Employee Stock Purchase Plan,</w:t>
      </w:r>
    </w:p>
    <w:p>
      <w:pPr>
        <w:ind w:left="820" w:hanging="488"/>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20"/>
          <w:szCs w:val="20"/>
          <w:color w:val="auto"/>
        </w:rPr>
        <w:t>Registration Statement (Form S-8 No. 333-193970) pertaining to the Itron, Inc. 2010 Stock Incentive Plan,</w:t>
      </w:r>
    </w:p>
    <w:p>
      <w:pPr>
        <w:ind w:left="820" w:right="260" w:hanging="488"/>
        <w:spacing w:after="0" w:line="239" w:lineRule="auto"/>
        <w:tabs>
          <w:tab w:leader="none" w:pos="820" w:val="left"/>
        </w:tabs>
        <w:numPr>
          <w:ilvl w:val="0"/>
          <w:numId w:val="80"/>
        </w:numPr>
        <w:rPr>
          <w:rFonts w:ascii="Arial" w:cs="Arial" w:eastAsia="Arial" w:hAnsi="Arial"/>
          <w:sz w:val="18"/>
          <w:szCs w:val="18"/>
          <w:color w:val="auto"/>
        </w:rPr>
      </w:pPr>
      <w:r>
        <w:rPr>
          <w:rFonts w:ascii="Arial" w:cs="Arial" w:eastAsia="Arial" w:hAnsi="Arial"/>
          <w:sz w:val="20"/>
          <w:szCs w:val="20"/>
          <w:color w:val="auto"/>
        </w:rPr>
        <w:t>Registration Statement (Form S-8 No. 333-195633) pertaining to the Itron, Inc. Amended and Restated 2010 Stock Incentive Plan, and</w:t>
      </w:r>
    </w:p>
    <w:p>
      <w:pPr>
        <w:spacing w:after="0" w:line="1" w:lineRule="exact"/>
        <w:rPr>
          <w:rFonts w:ascii="Arial" w:cs="Arial" w:eastAsia="Arial" w:hAnsi="Arial"/>
          <w:sz w:val="18"/>
          <w:szCs w:val="18"/>
          <w:color w:val="auto"/>
        </w:rPr>
      </w:pPr>
    </w:p>
    <w:p>
      <w:pPr>
        <w:ind w:left="820" w:hanging="488"/>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20"/>
          <w:szCs w:val="20"/>
          <w:color w:val="auto"/>
        </w:rPr>
        <w:t>Registration Statement (Form S-3ASR No. 333-206167) of Itron, Inc. and in the related Prospectus;</w:t>
      </w:r>
    </w:p>
    <w:p>
      <w:pPr>
        <w:spacing w:after="0" w:line="200"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of our reports dated June 29, 2016, with respect to the consolidated financial statements and schedule of Itron, Inc. and the effectiveness of internal control over financial reporting of Itron, Inc. included in this Annual Report (Form 10-K) of Itron, Inc. for the year ended December 31, 2015.</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Seattle, Washington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29, 2016</w:t>
      </w:r>
    </w:p>
    <w:p>
      <w:pPr>
        <w:sectPr>
          <w:pgSz w:w="11900" w:h="16838" w:orient="portrait"/>
          <w:cols w:equalWidth="0" w:num="1">
            <w:col w:w="11420"/>
          </w:cols>
          <w:pgMar w:left="240" w:top="580"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171"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7080"/>
        <w:spacing w:after="0"/>
        <w:tabs>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31750</wp:posOffset>
            </wp:positionV>
            <wp:extent cx="24009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3" w:lineRule="exact"/>
        <w:rPr>
          <w:sz w:val="20"/>
          <w:szCs w:val="20"/>
          <w:color w:val="auto"/>
        </w:rPr>
      </w:pPr>
    </w:p>
    <w:p>
      <w:pPr>
        <w:jc w:val="center"/>
        <w:ind w:left="7640"/>
        <w:spacing w:after="0"/>
        <w:rPr>
          <w:sz w:val="20"/>
          <w:szCs w:val="20"/>
          <w:color w:val="auto"/>
        </w:rPr>
      </w:pPr>
      <w:r>
        <w:rPr>
          <w:rFonts w:ascii="Arial" w:cs="Arial" w:eastAsia="Arial" w:hAnsi="Arial"/>
          <w:sz w:val="17"/>
          <w:szCs w:val="17"/>
          <w:b w:val="1"/>
          <w:bCs w:val="1"/>
          <w:color w:val="auto"/>
        </w:rPr>
        <w:t>Philip C. Mezey President and Chief Executive</w:t>
      </w:r>
    </w:p>
    <w:p>
      <w:pPr>
        <w:spacing w:after="0" w:line="39" w:lineRule="exact"/>
        <w:rPr>
          <w:sz w:val="20"/>
          <w:szCs w:val="20"/>
          <w:color w:val="auto"/>
        </w:rPr>
      </w:pPr>
    </w:p>
    <w:p>
      <w:pPr>
        <w:jc w:val="center"/>
        <w:ind w:left="7640"/>
        <w:spacing w:after="0"/>
        <w:rPr>
          <w:sz w:val="20"/>
          <w:szCs w:val="20"/>
          <w:color w:val="auto"/>
        </w:rPr>
      </w:pPr>
      <w:r>
        <w:rPr>
          <w:rFonts w:ascii="Arial" w:cs="Arial" w:eastAsia="Arial" w:hAnsi="Arial"/>
          <w:sz w:val="18"/>
          <w:szCs w:val="18"/>
          <w:b w:val="1"/>
          <w:b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2016</w:t>
      </w:r>
    </w:p>
    <w:p>
      <w:pPr>
        <w:sectPr>
          <w:pgSz w:w="11900" w:h="16838" w:orient="portrait"/>
          <w:cols w:equalWidth="0" w:num="1">
            <w:col w:w="11420"/>
          </w:cols>
          <w:pgMar w:left="240" w:top="581"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 Mark Schmitz, certify that:</w:t>
      </w:r>
    </w:p>
    <w:p>
      <w:pPr>
        <w:spacing w:after="0" w:line="171"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8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W. Mark Schmitz</w:t>
      </w:r>
    </w:p>
    <w:p>
      <w:pPr>
        <w:spacing w:after="0" w:line="27"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2016</w:t>
      </w:r>
    </w:p>
    <w:p>
      <w:pPr>
        <w:sectPr>
          <w:pgSz w:w="11900" w:h="16838" w:orient="portrait"/>
          <w:cols w:equalWidth="0" w:num="1">
            <w:col w:w="11420"/>
          </w:cols>
          <w:pgMar w:left="240" w:top="581"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Annual Report of Itron, Inc. (the Company) on Form 10-K for the year ended December 31, 2015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W. Mark Schmitz, the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June 29, 2016</w:t>
      </w:r>
    </w:p>
    <w:p>
      <w:pPr>
        <w:spacing w:after="0" w:line="31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W. Mark Schmitz</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June 29, 2016</w:t>
      </w:r>
    </w:p>
    <w:sectPr>
      <w:pgSz w:w="11900" w:h="16838" w:orient="portrait"/>
      <w:cols w:equalWidth="0" w:num="1">
        <w:col w:w="11420"/>
      </w:cols>
      <w:pgMar w:left="240" w:top="7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x"/>
      <w:numFmt w:val="bullet"/>
      <w:start w:val="1"/>
    </w:lvl>
  </w:abstractNum>
  <w:abstractNum w:abstractNumId="1">
    <w:nsid w:val="6A2342EC"/>
    <w:multiLevelType w:val="hybridMultilevel"/>
    <w:lvl w:ilvl="0">
      <w:lvlJc w:val="left"/>
      <w:lvlText w:val="o"/>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1)"/>
      <w:numFmt w:val="upperLetter"/>
      <w:start w:val="15"/>
    </w:lvl>
  </w:abstractNum>
  <w:abstractNum w:abstractNumId="5">
    <w:nsid w:val="2CD89A32"/>
    <w:multiLevelType w:val="hybridMultilevel"/>
    <w:lvl w:ilvl="0">
      <w:lvlJc w:val="left"/>
      <w:lvlText w:val="(%1)"/>
      <w:numFmt w:val="upperLetter"/>
      <w:start w:val="12"/>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1)"/>
      <w:numFmt w:val="decimal"/>
      <w:start w:val="1"/>
    </w:lvl>
    <w:lvl w:ilvl="1">
      <w:lvlJc w:val="left"/>
      <w:lvlText w:val="%2:"/>
      <w:numFmt w:val="decimal"/>
      <w:start w:val="8"/>
    </w:lvl>
  </w:abstractNum>
  <w:abstractNum w:abstractNumId="9">
    <w:nsid w:val="542289EC"/>
    <w:multiLevelType w:val="hybridMultilevel"/>
    <w:lvl w:ilvl="0">
      <w:lvlJc w:val="left"/>
      <w:lvlText w:val="(%1)"/>
      <w:numFmt w:val="decimal"/>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1)"/>
      <w:numFmt w:val="decimal"/>
      <w:start w:val="1"/>
    </w:lvl>
  </w:abstractNum>
  <w:abstractNum w:abstractNumId="12">
    <w:nsid w:val="7644A45C"/>
    <w:multiLevelType w:val="hybridMultilevel"/>
    <w:lvl w:ilvl="0">
      <w:lvlJc w:val="left"/>
      <w:lvlText w:val="(%1)"/>
      <w:numFmt w:val="decimal"/>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1)"/>
      <w:numFmt w:val="decimal"/>
      <w:start w:val="1"/>
    </w:lvl>
  </w:abstractNum>
  <w:abstractNum w:abstractNumId="16">
    <w:nsid w:val="749ABB43"/>
    <w:multiLevelType w:val="hybridMultilevel"/>
    <w:lvl w:ilvl="0">
      <w:lvlJc w:val="left"/>
      <w:lvlText w:val="(%1)"/>
      <w:numFmt w:val="decimal"/>
      <w:start w:val="1"/>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1)"/>
      <w:numFmt w:val="decimal"/>
      <w:start w:val="1"/>
    </w:lvl>
  </w:abstractNum>
  <w:abstractNum w:abstractNumId="19">
    <w:nsid w:val="79A1DEAA"/>
    <w:multiLevelType w:val="hybridMultilevel"/>
    <w:lvl w:ilvl="0">
      <w:lvlJc w:val="left"/>
      <w:lvlText w:val="(%1)"/>
      <w:numFmt w:val="decimal"/>
      <w:start w:val="1"/>
    </w:lvl>
  </w:abstractNum>
  <w:abstractNum w:abstractNumId="20">
    <w:nsid w:val="75C6C33A"/>
    <w:multiLevelType w:val="hybridMultilevel"/>
    <w:lvl w:ilvl="0">
      <w:lvlJc w:val="left"/>
      <w:lvlText w:val="(%1)"/>
      <w:numFmt w:val="decimal"/>
      <w:start w:val="1"/>
    </w:lvl>
  </w:abstractNum>
  <w:abstractNum w:abstractNumId="21">
    <w:nsid w:val="12E685FB"/>
    <w:multiLevelType w:val="hybridMultilevel"/>
    <w:lvl w:ilvl="0">
      <w:lvlJc w:val="left"/>
      <w:lvlText w:val="(%1)"/>
      <w:numFmt w:val="decimal"/>
      <w:start w:val="1"/>
    </w:lvl>
  </w:abstractNum>
  <w:abstractNum w:abstractNumId="22">
    <w:nsid w:val="70C6A529"/>
    <w:multiLevelType w:val="hybridMultilevel"/>
    <w:lvl w:ilvl="0">
      <w:lvlJc w:val="left"/>
      <w:lvlText w:val="(%1)"/>
      <w:numFmt w:val="decimal"/>
      <w:start w:val="1"/>
    </w:lvl>
  </w:abstractNum>
  <w:abstractNum w:abstractNumId="23">
    <w:nsid w:val="520EEDD1"/>
    <w:multiLevelType w:val="hybridMultilevel"/>
    <w:lvl w:ilvl="0">
      <w:lvlJc w:val="left"/>
      <w:lvlText w:val="(%1)"/>
      <w:numFmt w:val="lowerRoman"/>
      <w:start w:val="1"/>
    </w:lvl>
    <w:lvl w:ilvl="1">
      <w:lvlJc w:val="left"/>
      <w:lvlText w:val="(%2)"/>
      <w:numFmt w:val="lowerLetter"/>
      <w:start w:val="1"/>
    </w:lvl>
  </w:abstractNum>
  <w:abstractNum w:abstractNumId="24">
    <w:nsid w:val="374A3FE6"/>
    <w:multiLevelType w:val="hybridMultilevel"/>
    <w:lvl w:ilvl="0">
      <w:lvlJc w:val="left"/>
      <w:lvlText w:val="(%1)"/>
      <w:numFmt w:val="lowerLetter"/>
      <w:start w:val="3"/>
    </w:lvl>
    <w:lvl w:ilvl="1">
      <w:lvlJc w:val="left"/>
      <w:lvlText w:val="•"/>
      <w:numFmt w:val="bullet"/>
      <w:start w:val="1"/>
    </w:lvl>
  </w:abstractNum>
  <w:abstractNum w:abstractNumId="25">
    <w:nsid w:val="4F4EF005"/>
    <w:multiLevelType w:val="hybridMultilevel"/>
    <w:lvl w:ilvl="0">
      <w:lvlJc w:val="left"/>
      <w:lvlText w:val="(%1)"/>
      <w:numFmt w:val="lowerLetter"/>
      <w:start w:val="4"/>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1)"/>
      <w:numFmt w:val="decimal"/>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lvl w:ilvl="1">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1"/>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2"/>
      <w:numFmt w:val="bullet"/>
      <w:start w:val="1"/>
    </w:lvl>
  </w:abstractNum>
  <w:abstractNum w:abstractNumId="42">
    <w:nsid w:val="77AE35EB"/>
    <w:multiLevelType w:val="hybridMultilevel"/>
    <w:lvl w:ilvl="0">
      <w:lvlJc w:val="left"/>
      <w:lvlText w:val="(%1)"/>
      <w:numFmt w:val="decimal"/>
      <w:start w:val="2"/>
    </w:lvl>
  </w:abstractNum>
  <w:abstractNum w:abstractNumId="43">
    <w:nsid w:val="579BE4F1"/>
    <w:multiLevelType w:val="hybridMultilevel"/>
    <w:lvl w:ilvl="0">
      <w:lvlJc w:val="left"/>
      <w:lvlText w:val="(%1)"/>
      <w:numFmt w:val="decimal"/>
      <w:start w:val="6"/>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1)"/>
      <w:numFmt w:val="decimal"/>
      <w:start w:val="3"/>
    </w:lvl>
  </w:abstractNum>
  <w:abstractNum w:abstractNumId="46">
    <w:nsid w:val="2F305DEF"/>
    <w:multiLevelType w:val="hybridMultilevel"/>
    <w:lvl w:ilvl="0">
      <w:lvlJc w:val="left"/>
      <w:lvlText w:val="(%1)"/>
      <w:numFmt w:val="decimal"/>
      <w:start w:val="1"/>
    </w:lvl>
  </w:abstractNum>
  <w:abstractNum w:abstractNumId="47">
    <w:nsid w:val="25A70BF7"/>
    <w:multiLevelType w:val="hybridMultilevel"/>
    <w:lvl w:ilvl="0">
      <w:lvlJc w:val="left"/>
      <w:lvlText w:val="(%1)"/>
      <w:numFmt w:val="decimal"/>
      <w:start w:val="2"/>
    </w:lvl>
  </w:abstractNum>
  <w:abstractNum w:abstractNumId="48">
    <w:nsid w:val="1DBABF00"/>
    <w:multiLevelType w:val="hybridMultilevel"/>
    <w:lvl w:ilvl="0">
      <w:lvlJc w:val="left"/>
      <w:lvlText w:val="(%1)"/>
      <w:numFmt w:val="decimal"/>
      <w:start w:val="1"/>
    </w:lvl>
  </w:abstractNum>
  <w:abstractNum w:abstractNumId="49">
    <w:nsid w:val="4AD084E9"/>
    <w:multiLevelType w:val="hybridMultilevel"/>
    <w:lvl w:ilvl="0">
      <w:lvlJc w:val="left"/>
      <w:lvlText w:val="(%1)"/>
      <w:numFmt w:val="decimal"/>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lvl w:ilvl="1">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1)"/>
      <w:numFmt w:val="decimal"/>
      <w:start w:val="1"/>
    </w:lvl>
  </w:abstractNum>
  <w:abstractNum w:abstractNumId="56">
    <w:nsid w:val="5F5E7FD0"/>
    <w:multiLevelType w:val="hybridMultilevel"/>
    <w:lvl w:ilvl="0">
      <w:lvlJc w:val="left"/>
      <w:lvlText w:val="(%1)"/>
      <w:numFmt w:val="decimal"/>
      <w:start w:val="6"/>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1)"/>
      <w:numFmt w:val="decimal"/>
      <w:start w:val="6"/>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1"/>
    </w:lvl>
  </w:abstractNum>
  <w:abstractNum w:abstractNumId="62">
    <w:nsid w:val="1EBA5D23"/>
    <w:multiLevelType w:val="hybridMultilevel"/>
    <w:lvl w:ilvl="0">
      <w:lvlJc w:val="left"/>
      <w:lvlText w:val="(%1)"/>
      <w:numFmt w:val="decimal"/>
      <w:start w:val="2"/>
    </w:lvl>
  </w:abstractNum>
  <w:abstractNum w:abstractNumId="63">
    <w:nsid w:val="661E3F1E"/>
    <w:multiLevelType w:val="hybridMultilevel"/>
    <w:lvl w:ilvl="0">
      <w:lvlJc w:val="left"/>
      <w:lvlText w:val="(%1)"/>
      <w:numFmt w:val="decimal"/>
      <w:start w:val="1"/>
    </w:lvl>
  </w:abstractNum>
  <w:abstractNum w:abstractNumId="64">
    <w:nsid w:val="5DC79EA8"/>
    <w:multiLevelType w:val="hybridMultilevel"/>
    <w:lvl w:ilvl="0">
      <w:lvlJc w:val="left"/>
      <w:lvlText w:val="n"/>
      <w:numFmt w:val="bullet"/>
      <w:start w:val="1"/>
    </w:lvl>
  </w:abstractNum>
  <w:abstractNum w:abstractNumId="65">
    <w:nsid w:val="540A471C"/>
    <w:multiLevelType w:val="hybridMultilevel"/>
    <w:lvl w:ilvl="0">
      <w:lvlJc w:val="left"/>
      <w:lvlText w:val="(%1)"/>
      <w:numFmt w:val="decimal"/>
      <w:start w:val="1"/>
    </w:lvl>
  </w:abstractNum>
  <w:abstractNum w:abstractNumId="66">
    <w:nsid w:val="7BD3EE7B"/>
    <w:multiLevelType w:val="hybridMultilevel"/>
    <w:lvl w:ilvl="0">
      <w:lvlJc w:val="left"/>
      <w:lvlText w:val="(%1)"/>
      <w:numFmt w:val="decimal"/>
      <w:start w:val="6"/>
    </w:lvl>
  </w:abstractNum>
  <w:abstractNum w:abstractNumId="67">
    <w:nsid w:val="51D9C564"/>
    <w:multiLevelType w:val="hybridMultilevel"/>
    <w:lvl w:ilvl="0">
      <w:lvlJc w:val="left"/>
      <w:lvlText w:val="(%1)"/>
      <w:numFmt w:val="decimal"/>
      <w:start w:val="1"/>
    </w:lvl>
  </w:abstractNum>
  <w:abstractNum w:abstractNumId="68">
    <w:nsid w:val="613EFDC5"/>
    <w:multiLevelType w:val="hybridMultilevel"/>
    <w:lvl w:ilvl="0">
      <w:lvlJc w:val="left"/>
      <w:lvlText w:val="(%1)"/>
      <w:numFmt w:val="decimal"/>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1)"/>
      <w:numFmt w:val="lowerLetter"/>
      <w:start w:val="1"/>
    </w:lvl>
    <w:lvl w:ilvl="1">
      <w:lvlJc w:val="left"/>
      <w:lvlText w:val="(%2)"/>
      <w:numFmt w:val="decimal"/>
      <w:start w:val="1"/>
    </w:lvl>
  </w:abstractNum>
  <w:abstractNum w:abstractNumId="71">
    <w:nsid w:val="42963E5A"/>
    <w:multiLevelType w:val="hybridMultilevel"/>
    <w:lvl w:ilvl="0">
      <w:lvlJc w:val="left"/>
      <w:lvlText w:val="(%1)"/>
      <w:numFmt w:val="decimal"/>
      <w:start w:val="2"/>
    </w:lvl>
  </w:abstractNum>
  <w:abstractNum w:abstractNumId="72">
    <w:nsid w:val="A0382C5"/>
    <w:multiLevelType w:val="hybridMultilevel"/>
    <w:lvl w:ilvl="0">
      <w:lvlJc w:val="left"/>
      <w:lvlText w:val="(%1)"/>
      <w:numFmt w:val="lowerLetter"/>
      <w:start w:val="1"/>
    </w:lvl>
  </w:abstractNum>
  <w:abstractNum w:abstractNumId="73">
    <w:nsid w:val="8F2B15E"/>
    <w:multiLevelType w:val="hybridMultilevel"/>
    <w:lvl w:ilvl="0">
      <w:lvlJc w:val="left"/>
      <w:lvlText w:val="(%1)"/>
      <w:numFmt w:val="lowerLetter"/>
      <w:start w:val="1"/>
    </w:lvl>
  </w:abstractNum>
  <w:abstractNum w:abstractNumId="74">
    <w:nsid w:val="1A32234B"/>
    <w:multiLevelType w:val="hybridMultilevel"/>
    <w:lvl w:ilvl="0">
      <w:lvlJc w:val="left"/>
      <w:lvlText w:val="(%1)"/>
      <w:numFmt w:val="lowerLetter"/>
      <w:start w:val="2"/>
    </w:lvl>
  </w:abstractNum>
  <w:abstractNum w:abstractNumId="75">
    <w:nsid w:val="3B0FD379"/>
    <w:multiLevelType w:val="hybridMultilevel"/>
    <w:lvl w:ilvl="0">
      <w:lvlJc w:val="left"/>
      <w:lvlText w:val="(%1)"/>
      <w:numFmt w:val="lowerLetter"/>
      <w:start w:val="1"/>
    </w:lvl>
  </w:abstractNum>
  <w:abstractNum w:abstractNumId="76">
    <w:nsid w:val="68EB2F63"/>
    <w:multiLevelType w:val="hybridMultilevel"/>
    <w:lvl w:ilvl="0">
      <w:lvlJc w:val="left"/>
      <w:lvlText w:val="(%1)"/>
      <w:numFmt w:val="lowerLetter"/>
      <w:start w:val="2"/>
    </w:lvl>
  </w:abstractNum>
  <w:abstractNum w:abstractNumId="77">
    <w:nsid w:val="4962813B"/>
    <w:multiLevelType w:val="hybridMultilevel"/>
    <w:lvl w:ilvl="0">
      <w:lvlJc w:val="left"/>
      <w:lvlText w:val="(%1)"/>
      <w:numFmt w:val="lowerLetter"/>
      <w:start w:val="1"/>
    </w:lvl>
    <w:lvl w:ilvl="1">
      <w:lvlJc w:val="left"/>
      <w:lvlText w:val="%2."/>
      <w:numFmt w:val="decimal"/>
      <w:start w:val="1"/>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decimal"/>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2019-12-29T11:20:05Z</dcterms:created>
  <dcterms:modified xsi:type="dcterms:W3CDTF">2019-12-29T11:20:05Z</dcterms:modified>
</cp:coreProperties>
</file>