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Hooper Joan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16,066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103,512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35,977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139,489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8,033 shares subject to this award were fully vested on the date of grant. The remaining 8,033 shares will vest one-third on the first-year anniversary of the date of grant, and the remaining two-thirds in equal quarterly installments over 24 months thereafter.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earned under a performance-based restricted stock unit award for the 2023-2025 performance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6978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2026-02-20T12:22:45Z</dcterms:created>
  <dcterms:modified xsi:type="dcterms:W3CDTF">2026-02-20T12:22:45Z</dcterms:modified>
</cp:coreProperties>
</file>