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509270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-302895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88" w:lineRule="exact"/>
        <w:rPr>
          <w:sz w:val="24"/>
          <w:szCs w:val="24"/>
          <w:color w:val="auto"/>
        </w:rPr>
      </w:pPr>
    </w:p>
    <w:p>
      <w:pPr>
        <w:ind w:left="660" w:right="2140" w:hanging="625"/>
        <w:spacing w:after="0" w:line="276" w:lineRule="auto"/>
        <w:tabs>
          <w:tab w:leader="none" w:pos="4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855"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855"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855"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855" w:right="239" w:bottom="1440" w:gutter="0" w:footer="0" w:header="0"/>
          <w:type w:val="continuous"/>
        </w:sectPr>
      </w:pPr>
    </w:p>
    <w:p>
      <w:pPr>
        <w:spacing w:after="0" w:line="17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720" w:space="720"/>
            <w:col w:w="2980"/>
          </w:cols>
          <w:pgMar w:left="240" w:top="855" w:right="239" w:bottom="1440" w:gutter="0" w:footer="0" w:header="0"/>
          <w:type w:val="continuous"/>
        </w:sectPr>
      </w:pPr>
    </w:p>
    <w:p>
      <w:pPr>
        <w:ind w:left="204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580" w:space="720"/>
            <w:col w:w="4120"/>
          </w:cols>
          <w:pgMar w:left="240" w:top="855"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5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no par value</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70"/>
        </w:trPr>
        <w:tc>
          <w:tcPr>
            <w:tcW w:w="5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Preferred share purchase rights</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4"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32" w:lineRule="exact"/>
        <w:rPr>
          <w:sz w:val="24"/>
          <w:szCs w:val="24"/>
          <w:color w:val="auto"/>
        </w:rPr>
      </w:pPr>
    </w:p>
    <w:p>
      <w:pPr>
        <w:ind w:right="360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63" w:lineRule="exact"/>
        <w:rPr>
          <w:sz w:val="24"/>
          <w:szCs w:val="24"/>
          <w:color w:val="auto"/>
        </w:rPr>
      </w:pPr>
    </w:p>
    <w:tbl>
      <w:tblPr>
        <w:tblLayout w:type="fixed"/>
        <w:tblInd w:w="580" w:type="dxa"/>
        <w:tblCellMar>
          <w:top w:w="0" w:type="dxa"/>
          <w:left w:w="0" w:type="dxa"/>
          <w:bottom w:w="0" w:type="dxa"/>
          <w:right w:w="0" w:type="dxa"/>
        </w:tblCellMar>
      </w:tblPr>
      <w:tr>
        <w:trPr>
          <w:trHeight w:val="226"/>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c>
          <w:tcPr>
            <w:tcW w:w="6580" w:type="dxa"/>
            <w:vAlign w:val="bottom"/>
          </w:tcPr>
          <w:p>
            <w:pPr>
              <w:ind w:left="44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3"/>
        </w:trPr>
        <w:tc>
          <w:tcPr>
            <w:tcW w:w="170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540" w:type="dxa"/>
            <w:vAlign w:val="bottom"/>
          </w:tcPr>
          <w:p>
            <w:pPr>
              <w:ind w:left="400"/>
              <w:spacing w:after="0"/>
              <w:rPr>
                <w:sz w:val="20"/>
                <w:szCs w:val="20"/>
                <w:color w:val="auto"/>
              </w:rPr>
            </w:pPr>
            <w:r>
              <w:rPr>
                <w:rFonts w:ascii="Arial" w:cs="Arial" w:eastAsia="Arial" w:hAnsi="Arial"/>
                <w:sz w:val="14"/>
                <w:szCs w:val="14"/>
                <w:color w:val="auto"/>
              </w:rPr>
              <w:t>o</w:t>
            </w:r>
          </w:p>
        </w:tc>
        <w:tc>
          <w:tcPr>
            <w:tcW w:w="6580" w:type="dxa"/>
            <w:vAlign w:val="bottom"/>
          </w:tcPr>
          <w:p>
            <w:pPr>
              <w:spacing w:after="0"/>
              <w:rPr>
                <w:sz w:val="20"/>
                <w:szCs w:val="20"/>
                <w:color w:val="auto"/>
              </w:rPr>
            </w:pPr>
            <w:r>
              <w:rPr>
                <w:rFonts w:ascii="Arial" w:cs="Arial" w:eastAsia="Arial" w:hAnsi="Arial"/>
                <w:sz w:val="14"/>
                <w:szCs w:val="14"/>
                <w:color w:val="auto"/>
              </w:rPr>
              <w:t>(Do not check if a smaller reporting company)</w:t>
            </w:r>
          </w:p>
        </w:tc>
        <w:tc>
          <w:tcPr>
            <w:tcW w:w="660" w:type="dxa"/>
            <w:vAlign w:val="bottom"/>
            <w:vMerge w:val="restart"/>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2"/>
        </w:trPr>
        <w:tc>
          <w:tcPr>
            <w:tcW w:w="17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580" w:type="dxa"/>
            <w:vAlign w:val="bottom"/>
          </w:tcPr>
          <w:p>
            <w:pPr>
              <w:ind w:left="4480"/>
              <w:spacing w:after="0"/>
              <w:rPr>
                <w:sz w:val="20"/>
                <w:szCs w:val="20"/>
                <w:color w:val="auto"/>
              </w:rPr>
            </w:pPr>
            <w:r>
              <w:rPr>
                <w:rFonts w:ascii="Arial" w:cs="Arial" w:eastAsia="Arial" w:hAnsi="Arial"/>
                <w:sz w:val="14"/>
                <w:szCs w:val="14"/>
                <w:color w:val="auto"/>
              </w:rPr>
              <w:t>Smaller reporting company</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28, 2013 (the last business day of the registrant’s most recently completed second fiscal quarter), the aggregate market value of the shares of common stock held by non-affiliates of the registrant (based on the closing price for the common stock on the NASDAQ Global Select Market) was $1,648,816,774.</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2014 there were outstanding 39,161,615 shares of the registrant’s common stock, no par value, which is the only class of common stock of the registrant.</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The information called for by Part III is incorporated by reference to the definitive Proxy Statement for the Annual Meeting of Shareholders of the Company to be held on May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14"/>
          </w:tcPr>
          <w:p>
            <w:pPr>
              <w:jc w:val="center"/>
              <w:ind w:right="3520"/>
              <w:spacing w:after="0"/>
              <w:rPr>
                <w:sz w:val="20"/>
                <w:szCs w:val="20"/>
                <w:color w:val="auto"/>
              </w:rPr>
            </w:pPr>
            <w:r>
              <w:rPr>
                <w:rFonts w:ascii="Arial" w:cs="Arial" w:eastAsia="Arial" w:hAnsi="Arial"/>
                <w:sz w:val="18"/>
                <w:szCs w:val="18"/>
                <w:b w:val="1"/>
                <w:bCs w:val="1"/>
                <w:color w:val="auto"/>
                <w:w w:val="96"/>
              </w:rPr>
              <w:t>Itron, Inc.</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15"/>
          </w:tcPr>
          <w:p>
            <w:pPr>
              <w:jc w:val="center"/>
              <w:ind w:right="3380"/>
              <w:spacing w:after="0"/>
              <w:rPr>
                <w:sz w:val="20"/>
                <w:szCs w:val="20"/>
                <w:color w:val="auto"/>
              </w:rPr>
            </w:pPr>
            <w:r>
              <w:rPr>
                <w:rFonts w:ascii="Arial" w:cs="Arial" w:eastAsia="Arial" w:hAnsi="Arial"/>
                <w:sz w:val="18"/>
                <w:szCs w:val="18"/>
                <w:b w:val="1"/>
                <w:bCs w:val="1"/>
                <w:color w:val="auto"/>
                <w:w w:val="89"/>
              </w:rPr>
              <w:t>Table of Contents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w:t>
            </w: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BUSINESS</w:t>
              </w:r>
            </w:hyperlink>
          </w:p>
        </w:tc>
        <w:tc>
          <w:tcPr>
            <w:tcW w:w="6920" w:type="dxa"/>
            <w:vAlign w:val="bottom"/>
            <w:gridSpan w:val="28"/>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1A:</w:t>
            </w:r>
          </w:p>
        </w:tc>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RISK FACTORS</w:t>
              </w:r>
            </w:hyperlink>
          </w:p>
        </w:tc>
        <w:tc>
          <w:tcPr>
            <w:tcW w:w="6520" w:type="dxa"/>
            <w:vAlign w:val="bottom"/>
            <w:gridSpan w:val="26"/>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1B:</w:t>
            </w:r>
          </w:p>
        </w:tc>
        <w:tc>
          <w:tcPr>
            <w:tcW w:w="2820" w:type="dxa"/>
            <w:vAlign w:val="bottom"/>
            <w:gridSpan w:val="12"/>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UNRESOLVED STAFF COMMENTS</w:t>
              </w:r>
            </w:hyperlink>
          </w:p>
        </w:tc>
        <w:tc>
          <w:tcPr>
            <w:tcW w:w="4960" w:type="dxa"/>
            <w:vAlign w:val="bottom"/>
            <w:gridSpan w:val="17"/>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2:</w:t>
            </w:r>
          </w:p>
        </w:tc>
        <w:tc>
          <w:tcPr>
            <w:tcW w:w="1060" w:type="dxa"/>
            <w:vAlign w:val="bottom"/>
            <w:gridSpan w:val="2"/>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PROPERTIES</w:t>
              </w:r>
            </w:hyperlink>
          </w:p>
        </w:tc>
        <w:tc>
          <w:tcPr>
            <w:tcW w:w="1760" w:type="dxa"/>
            <w:vAlign w:val="bottom"/>
            <w:gridSpan w:val="10"/>
          </w:tcPr>
          <w:p>
            <w:pPr>
              <w:spacing w:after="0"/>
              <w:rPr>
                <w:sz w:val="21"/>
                <w:szCs w:val="21"/>
                <w:color w:val="auto"/>
              </w:rPr>
            </w:pPr>
          </w:p>
        </w:tc>
        <w:tc>
          <w:tcPr>
            <w:tcW w:w="4960" w:type="dxa"/>
            <w:vAlign w:val="bottom"/>
            <w:gridSpan w:val="17"/>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3:</w:t>
            </w:r>
          </w:p>
        </w:tc>
        <w:tc>
          <w:tcPr>
            <w:tcW w:w="7780" w:type="dxa"/>
            <w:vAlign w:val="bottom"/>
            <w:gridSpan w:val="2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4:</w:t>
            </w:r>
          </w:p>
        </w:tc>
        <w:tc>
          <w:tcPr>
            <w:tcW w:w="7780" w:type="dxa"/>
            <w:vAlign w:val="bottom"/>
            <w:gridSpan w:val="2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5:</w:t>
            </w:r>
          </w:p>
        </w:tc>
        <w:tc>
          <w:tcPr>
            <w:tcW w:w="7780" w:type="dxa"/>
            <w:vAlign w:val="bottom"/>
            <w:gridSpan w:val="29"/>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MARKET FOR REGISTRANT’S COMMON EQUITY, RELATED STOCKHOLDER MATTERS AND</w:t>
              </w:r>
            </w:hyperlink>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ISSUER PURCHASES OF EQUITY SECURITIES</w:t>
              </w:r>
            </w:hyperlink>
          </w:p>
        </w:tc>
        <w:tc>
          <w:tcPr>
            <w:tcW w:w="180" w:type="dxa"/>
            <w:vAlign w:val="bottom"/>
            <w:gridSpan w:val="2"/>
          </w:tcPr>
          <w:p>
            <w:pPr>
              <w:spacing w:after="0"/>
              <w:rPr>
                <w:sz w:val="17"/>
                <w:szCs w:val="17"/>
                <w:color w:val="auto"/>
              </w:rPr>
            </w:pPr>
          </w:p>
        </w:tc>
        <w:tc>
          <w:tcPr>
            <w:tcW w:w="740" w:type="dxa"/>
            <w:vAlign w:val="bottom"/>
            <w:gridSpan w:val="2"/>
          </w:tcPr>
          <w:p>
            <w:pPr>
              <w:jc w:val="center"/>
              <w:ind w:left="470"/>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6:</w:t>
            </w:r>
          </w:p>
        </w:tc>
        <w:tc>
          <w:tcPr>
            <w:tcW w:w="7780" w:type="dxa"/>
            <w:vAlign w:val="bottom"/>
            <w:gridSpan w:val="2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SELECTED CONSOLIDATED FINANCIAL DATA</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7:</w:t>
            </w:r>
          </w:p>
        </w:tc>
        <w:tc>
          <w:tcPr>
            <w:tcW w:w="7780" w:type="dxa"/>
            <w:vAlign w:val="bottom"/>
            <w:gridSpan w:val="2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w:t>
              </w:r>
            </w:hyperlink>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5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OF OPERATIONS</w:t>
              </w:r>
            </w:hyperlink>
          </w:p>
        </w:tc>
        <w:tc>
          <w:tcPr>
            <w:tcW w:w="280" w:type="dxa"/>
            <w:vAlign w:val="bottom"/>
            <w:gridSpan w:val="3"/>
          </w:tcPr>
          <w:p>
            <w:pPr>
              <w:spacing w:after="0"/>
              <w:rPr>
                <w:sz w:val="17"/>
                <w:szCs w:val="17"/>
                <w:color w:val="auto"/>
              </w:rPr>
            </w:pPr>
          </w:p>
        </w:tc>
        <w:tc>
          <w:tcPr>
            <w:tcW w:w="740" w:type="dxa"/>
            <w:vAlign w:val="bottom"/>
            <w:gridSpan w:val="2"/>
          </w:tcPr>
          <w:p>
            <w:pPr>
              <w:jc w:val="center"/>
              <w:ind w:left="470"/>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7A:</w:t>
            </w:r>
          </w:p>
        </w:tc>
        <w:tc>
          <w:tcPr>
            <w:tcW w:w="7780" w:type="dxa"/>
            <w:vAlign w:val="bottom"/>
            <w:gridSpan w:val="2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8:</w:t>
            </w:r>
          </w:p>
        </w:tc>
        <w:tc>
          <w:tcPr>
            <w:tcW w:w="6140" w:type="dxa"/>
            <w:vAlign w:val="bottom"/>
            <w:gridSpan w:val="2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1640" w:type="dxa"/>
            <w:vAlign w:val="bottom"/>
            <w:gridSpan w:val="6"/>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6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Statements of Operations</w:t>
              </w:r>
            </w:hyperlink>
          </w:p>
        </w:tc>
        <w:tc>
          <w:tcPr>
            <w:tcW w:w="3120" w:type="dxa"/>
            <w:vAlign w:val="bottom"/>
            <w:gridSpan w:val="8"/>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60" w:type="dxa"/>
            <w:vAlign w:val="bottom"/>
            <w:gridSpan w:val="20"/>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Comprehensive Income (Loss)</w:t>
              </w:r>
            </w:hyperlink>
          </w:p>
        </w:tc>
        <w:tc>
          <w:tcPr>
            <w:tcW w:w="3520" w:type="dxa"/>
            <w:vAlign w:val="bottom"/>
            <w:gridSpan w:val="9"/>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00" w:type="dxa"/>
            <w:vAlign w:val="bottom"/>
            <w:gridSpan w:val="7"/>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Consolidated Balance Sheets</w:t>
              </w:r>
            </w:hyperlink>
          </w:p>
        </w:tc>
        <w:tc>
          <w:tcPr>
            <w:tcW w:w="2160" w:type="dxa"/>
            <w:vAlign w:val="bottom"/>
            <w:gridSpan w:val="13"/>
          </w:tcPr>
          <w:p>
            <w:pPr>
              <w:spacing w:after="0"/>
              <w:rPr>
                <w:sz w:val="21"/>
                <w:szCs w:val="21"/>
                <w:color w:val="auto"/>
              </w:rPr>
            </w:pPr>
          </w:p>
        </w:tc>
        <w:tc>
          <w:tcPr>
            <w:tcW w:w="3520" w:type="dxa"/>
            <w:vAlign w:val="bottom"/>
            <w:gridSpan w:val="9"/>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60" w:type="dxa"/>
            <w:vAlign w:val="bottom"/>
            <w:gridSpan w:val="10"/>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Consolidated Statements of Equity</w:t>
              </w:r>
            </w:hyperlink>
          </w:p>
        </w:tc>
        <w:tc>
          <w:tcPr>
            <w:tcW w:w="5320" w:type="dxa"/>
            <w:vAlign w:val="bottom"/>
            <w:gridSpan w:val="19"/>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80" w:type="dxa"/>
            <w:vAlign w:val="bottom"/>
            <w:gridSpan w:val="13"/>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Cash Flows</w:t>
              </w:r>
            </w:hyperlink>
          </w:p>
        </w:tc>
        <w:tc>
          <w:tcPr>
            <w:tcW w:w="4900" w:type="dxa"/>
            <w:vAlign w:val="bottom"/>
            <w:gridSpan w:val="16"/>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160" w:type="dxa"/>
            <w:vAlign w:val="bottom"/>
            <w:gridSpan w:val="15"/>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Notes to Consolidated Financial Statements</w:t>
              </w:r>
            </w:hyperlink>
          </w:p>
        </w:tc>
        <w:tc>
          <w:tcPr>
            <w:tcW w:w="4620" w:type="dxa"/>
            <w:vAlign w:val="bottom"/>
            <w:gridSpan w:val="14"/>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9:</w:t>
            </w:r>
          </w:p>
        </w:tc>
        <w:tc>
          <w:tcPr>
            <w:tcW w:w="6940" w:type="dxa"/>
            <w:vAlign w:val="bottom"/>
            <w:tcBorders>
              <w:bottom w:val="single" w:sz="8" w:color="0000EE"/>
            </w:tcBorders>
            <w:gridSpan w:val="24"/>
          </w:tcPr>
          <w:p>
            <w:pPr>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CHANGES IN AND DISAGREEMENTS WITH ACCOUNTANTS ON ACCOUNTING AND</w:t>
              </w:r>
            </w:hyperlink>
          </w:p>
        </w:tc>
        <w:tc>
          <w:tcPr>
            <w:tcW w:w="840" w:type="dxa"/>
            <w:vAlign w:val="bottom"/>
            <w:gridSpan w:val="5"/>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40" w:type="dxa"/>
            <w:vAlign w:val="bottom"/>
            <w:gridSpan w:val="8"/>
          </w:tcPr>
          <w:p>
            <w:pPr>
              <w:spacing w:after="0" w:line="196" w:lineRule="exact"/>
              <w:rPr>
                <w:rFonts w:ascii="Arial" w:cs="Arial" w:eastAsia="Arial" w:hAnsi="Arial"/>
                <w:sz w:val="18"/>
                <w:szCs w:val="18"/>
                <w:color w:val="0000EE"/>
                <w:w w:val="98"/>
              </w:rPr>
            </w:pPr>
            <w:hyperlink w:anchor="page89">
              <w:r>
                <w:rPr>
                  <w:rFonts w:ascii="Arial" w:cs="Arial" w:eastAsia="Arial" w:hAnsi="Arial"/>
                  <w:sz w:val="18"/>
                  <w:szCs w:val="18"/>
                  <w:color w:val="0000EE"/>
                  <w:w w:val="98"/>
                </w:rPr>
                <w:t>FINANCIAL DISCLOSURE</w:t>
              </w:r>
            </w:hyperlink>
          </w:p>
        </w:tc>
        <w:tc>
          <w:tcPr>
            <w:tcW w:w="5640" w:type="dxa"/>
            <w:vAlign w:val="bottom"/>
            <w:gridSpan w:val="21"/>
          </w:tcPr>
          <w:p>
            <w:pPr>
              <w:spacing w:after="0"/>
              <w:rPr>
                <w:sz w:val="17"/>
                <w:szCs w:val="17"/>
                <w:color w:val="auto"/>
              </w:rPr>
            </w:pPr>
          </w:p>
        </w:tc>
        <w:tc>
          <w:tcPr>
            <w:tcW w:w="740" w:type="dxa"/>
            <w:vAlign w:val="bottom"/>
            <w:gridSpan w:val="2"/>
          </w:tcPr>
          <w:p>
            <w:pPr>
              <w:jc w:val="center"/>
              <w:ind w:left="470"/>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87</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9A:</w:t>
            </w:r>
          </w:p>
        </w:tc>
        <w:tc>
          <w:tcPr>
            <w:tcW w:w="7780" w:type="dxa"/>
            <w:vAlign w:val="bottom"/>
            <w:gridSpan w:val="2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CONTROLS AND PROCEDURES</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87</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9B:</w:t>
            </w:r>
          </w:p>
        </w:tc>
        <w:tc>
          <w:tcPr>
            <w:tcW w:w="2600" w:type="dxa"/>
            <w:vAlign w:val="bottom"/>
            <w:gridSpan w:val="11"/>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OTHER INFORMATION</w:t>
              </w:r>
            </w:hyperlink>
          </w:p>
        </w:tc>
        <w:tc>
          <w:tcPr>
            <w:tcW w:w="5180" w:type="dxa"/>
            <w:vAlign w:val="bottom"/>
            <w:gridSpan w:val="18"/>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88</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PART III</w:t>
            </w: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10:</w:t>
            </w:r>
          </w:p>
        </w:tc>
        <w:tc>
          <w:tcPr>
            <w:tcW w:w="7780" w:type="dxa"/>
            <w:vAlign w:val="bottom"/>
            <w:gridSpan w:val="2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DIRECTORS, EXECUTIVE OFFICERS AND CORPORATE GOVERNANCE</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89</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11:</w:t>
            </w:r>
          </w:p>
        </w:tc>
        <w:tc>
          <w:tcPr>
            <w:tcW w:w="2460" w:type="dxa"/>
            <w:vAlign w:val="bottom"/>
            <w:gridSpan w:val="10"/>
          </w:tcPr>
          <w:p>
            <w:pPr>
              <w:spacing w:after="0"/>
              <w:rPr>
                <w:rFonts w:ascii="Arial" w:cs="Arial" w:eastAsia="Arial" w:hAnsi="Arial"/>
                <w:sz w:val="18"/>
                <w:szCs w:val="18"/>
                <w:color w:val="0000EE"/>
                <w:w w:val="95"/>
              </w:rPr>
            </w:pPr>
            <w:hyperlink w:anchor="page92">
              <w:r>
                <w:rPr>
                  <w:rFonts w:ascii="Arial" w:cs="Arial" w:eastAsia="Arial" w:hAnsi="Arial"/>
                  <w:sz w:val="18"/>
                  <w:szCs w:val="18"/>
                  <w:color w:val="0000EE"/>
                  <w:w w:val="95"/>
                </w:rPr>
                <w:t>EXECUTIVE COMPENSATION</w:t>
              </w:r>
            </w:hyperlink>
          </w:p>
        </w:tc>
        <w:tc>
          <w:tcPr>
            <w:tcW w:w="3340" w:type="dxa"/>
            <w:vAlign w:val="bottom"/>
            <w:gridSpan w:val="12"/>
          </w:tcPr>
          <w:p>
            <w:pPr>
              <w:spacing w:after="0"/>
              <w:rPr>
                <w:sz w:val="21"/>
                <w:szCs w:val="21"/>
                <w:color w:val="auto"/>
              </w:rPr>
            </w:pPr>
          </w:p>
        </w:tc>
        <w:tc>
          <w:tcPr>
            <w:tcW w:w="1980" w:type="dxa"/>
            <w:vAlign w:val="bottom"/>
            <w:gridSpan w:val="7"/>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89</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12:</w:t>
            </w:r>
          </w:p>
        </w:tc>
        <w:tc>
          <w:tcPr>
            <w:tcW w:w="718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92">
              <w:r>
                <w:rPr>
                  <w:rFonts w:ascii="Arial" w:cs="Arial" w:eastAsia="Arial" w:hAnsi="Arial"/>
                  <w:sz w:val="18"/>
                  <w:szCs w:val="18"/>
                  <w:color w:val="0000EE"/>
                  <w:w w:val="97"/>
                </w:rPr>
                <w:t>SECURITY OWNERSHIP OF CERTAIN BENEFICIAL OWNERS AND MANAGEMENT AND</w:t>
              </w:r>
            </w:hyperlink>
          </w:p>
        </w:tc>
        <w:tc>
          <w:tcPr>
            <w:tcW w:w="600" w:type="dxa"/>
            <w:vAlign w:val="bottom"/>
            <w:gridSpan w:val="4"/>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40" w:type="dxa"/>
            <w:vAlign w:val="bottom"/>
            <w:gridSpan w:val="14"/>
          </w:tcPr>
          <w:p>
            <w:pPr>
              <w:spacing w:after="0" w:line="196" w:lineRule="exact"/>
              <w:rPr>
                <w:rFonts w:ascii="Arial" w:cs="Arial" w:eastAsia="Arial" w:hAnsi="Arial"/>
                <w:sz w:val="18"/>
                <w:szCs w:val="18"/>
                <w:color w:val="0000EE"/>
                <w:w w:val="95"/>
              </w:rPr>
            </w:pPr>
            <w:hyperlink w:anchor="page92">
              <w:r>
                <w:rPr>
                  <w:rFonts w:ascii="Arial" w:cs="Arial" w:eastAsia="Arial" w:hAnsi="Arial"/>
                  <w:sz w:val="18"/>
                  <w:szCs w:val="18"/>
                  <w:color w:val="0000EE"/>
                  <w:w w:val="95"/>
                </w:rPr>
                <w:t>RELATED STOCKHOLDER MATTERS</w:t>
              </w:r>
            </w:hyperlink>
          </w:p>
        </w:tc>
        <w:tc>
          <w:tcPr>
            <w:tcW w:w="4740" w:type="dxa"/>
            <w:vAlign w:val="bottom"/>
            <w:gridSpan w:val="15"/>
          </w:tcPr>
          <w:p>
            <w:pPr>
              <w:spacing w:after="0"/>
              <w:rPr>
                <w:sz w:val="17"/>
                <w:szCs w:val="17"/>
                <w:color w:val="auto"/>
              </w:rPr>
            </w:pPr>
          </w:p>
        </w:tc>
        <w:tc>
          <w:tcPr>
            <w:tcW w:w="740" w:type="dxa"/>
            <w:vAlign w:val="bottom"/>
            <w:gridSpan w:val="2"/>
          </w:tcPr>
          <w:p>
            <w:pPr>
              <w:jc w:val="center"/>
              <w:ind w:left="470"/>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89</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40" w:type="dxa"/>
            <w:vAlign w:val="bottom"/>
            <w:gridSpan w:val="14"/>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13:</w:t>
            </w:r>
          </w:p>
        </w:tc>
        <w:tc>
          <w:tcPr>
            <w:tcW w:w="7780" w:type="dxa"/>
            <w:vAlign w:val="bottom"/>
            <w:gridSpan w:val="29"/>
          </w:tcPr>
          <w:p>
            <w:pPr>
              <w:spacing w:after="0"/>
              <w:rPr>
                <w:rFonts w:ascii="Arial" w:cs="Arial" w:eastAsia="Arial" w:hAnsi="Arial"/>
                <w:sz w:val="18"/>
                <w:szCs w:val="18"/>
                <w:color w:val="0000EE"/>
                <w:w w:val="96"/>
              </w:rPr>
            </w:pPr>
            <w:hyperlink w:anchor="page92">
              <w:r>
                <w:rPr>
                  <w:rFonts w:ascii="Arial" w:cs="Arial" w:eastAsia="Arial" w:hAnsi="Arial"/>
                  <w:sz w:val="18"/>
                  <w:szCs w:val="18"/>
                  <w:color w:val="0000EE"/>
                  <w:w w:val="96"/>
                </w:rPr>
                <w:t>CERTAIN RELATIONSHIPS AND RELATED TRANSACTIONS, AND DIRECTOR INDEPENDENCE</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89</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gridSpan w:val="16"/>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14:</w:t>
            </w:r>
          </w:p>
        </w:tc>
        <w:tc>
          <w:tcPr>
            <w:tcW w:w="7700" w:type="dxa"/>
            <w:vAlign w:val="bottom"/>
            <w:gridSpan w:val="2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PRINCIPAL ACCOUNTING FEES AND SERVICES</w:t>
              </w:r>
            </w:hyperlink>
          </w:p>
        </w:tc>
        <w:tc>
          <w:tcPr>
            <w:tcW w:w="80" w:type="dxa"/>
            <w:vAlign w:val="bottom"/>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90</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15:</w:t>
            </w:r>
          </w:p>
        </w:tc>
        <w:tc>
          <w:tcPr>
            <w:tcW w:w="3960" w:type="dxa"/>
            <w:vAlign w:val="bottom"/>
            <w:gridSpan w:val="19"/>
          </w:tcPr>
          <w:p>
            <w:pPr>
              <w:spacing w:after="0"/>
              <w:rPr>
                <w:rFonts w:ascii="Arial" w:cs="Arial" w:eastAsia="Arial" w:hAnsi="Arial"/>
                <w:sz w:val="18"/>
                <w:szCs w:val="18"/>
                <w:color w:val="0000EE"/>
                <w:w w:val="97"/>
              </w:rPr>
            </w:pPr>
            <w:hyperlink w:anchor="page94">
              <w:r>
                <w:rPr>
                  <w:rFonts w:ascii="Arial" w:cs="Arial" w:eastAsia="Arial" w:hAnsi="Arial"/>
                  <w:sz w:val="18"/>
                  <w:szCs w:val="18"/>
                  <w:color w:val="0000EE"/>
                  <w:w w:val="97"/>
                </w:rPr>
                <w:t>EXHIBITS, FINANCIAL STATEMENT SCHEDULE</w:t>
              </w:r>
            </w:hyperlink>
          </w:p>
        </w:tc>
        <w:tc>
          <w:tcPr>
            <w:tcW w:w="3820" w:type="dxa"/>
            <w:vAlign w:val="bottom"/>
            <w:gridSpan w:val="10"/>
          </w:tcPr>
          <w:p>
            <w:pPr>
              <w:spacing w:after="0"/>
              <w:rPr>
                <w:sz w:val="19"/>
                <w:szCs w:val="19"/>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91</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20" w:type="dxa"/>
            <w:vAlign w:val="bottom"/>
            <w:gridSpan w:val="3"/>
            <w:vMerge w:val="restart"/>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SIGNATURES</w:t>
              </w:r>
            </w:hyperlink>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0" w:type="dxa"/>
            <w:vAlign w:val="bottom"/>
          </w:tcPr>
          <w:p>
            <w:pPr>
              <w:spacing w:after="0"/>
              <w:rPr>
                <w:sz w:val="24"/>
                <w:szCs w:val="24"/>
                <w:color w:val="auto"/>
              </w:rPr>
            </w:pPr>
          </w:p>
        </w:tc>
        <w:tc>
          <w:tcPr>
            <w:tcW w:w="162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center"/>
              <w:ind w:left="470"/>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94</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gridSpan w:val="16"/>
          </w:tcPr>
          <w:p>
            <w:pPr>
              <w:spacing w:after="0" w:line="20" w:lineRule="exact"/>
              <w:rPr>
                <w:sz w:val="1"/>
                <w:szCs w:val="1"/>
                <w:color w:val="auto"/>
              </w:rPr>
            </w:pPr>
          </w:p>
        </w:tc>
        <w:tc>
          <w:tcPr>
            <w:tcW w:w="4160" w:type="dxa"/>
            <w:vAlign w:val="bottom"/>
            <w:gridSpan w:val="1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SCHEDULE II:</w:t>
            </w:r>
          </w:p>
        </w:tc>
        <w:tc>
          <w:tcPr>
            <w:tcW w:w="7780" w:type="dxa"/>
            <w:vAlign w:val="bottom"/>
            <w:gridSpan w:val="2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VALUATION AND QUALIFYING ACCOUNTS</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95</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240" w:top="108" w:right="5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Annual Report on Form 10-K.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and/or litigation, 4) our dependence on customers’ acceptance of new products and their performance,</w:t>
      </w:r>
    </w:p>
    <w:p>
      <w:pPr>
        <w:spacing w:after="0" w:line="3" w:lineRule="exact"/>
        <w:rPr>
          <w:sz w:val="20"/>
          <w:szCs w:val="20"/>
          <w:color w:val="auto"/>
        </w:rPr>
      </w:pPr>
    </w:p>
    <w:p>
      <w:pPr>
        <w:jc w:val="both"/>
        <w:ind w:firstLine="8"/>
        <w:spacing w:after="0" w:line="253" w:lineRule="auto"/>
        <w:tabs>
          <w:tab w:leader="none" w:pos="234"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6) changes in domestic and international laws and regulations, 7) changes in foreign currency exchange rates and interest rates, 8) international business risks, 9) our own and our customers’ or suppliers’ access to and cost of capital, 10) future business combinations, and 11) other factors. You should not solely rely on these forward-looking statements as they are only valid as of the date of this Annual Report on Form 10-K. We do not have any obligation to publicly update or revise any forward-looking statement in this document. For a more complete description of these and other risks, refer to Item 1A: “Risk Factors” included in this Annual Report on Form 10-K.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Documents we provide to the Securities and Exchange Commission (SEC) are available free of charge under the Investors section of our website at </w:t>
      </w:r>
      <w:r>
        <w:rPr>
          <w:rFonts w:ascii="Arial" w:cs="Arial" w:eastAsia="Arial" w:hAnsi="Arial"/>
          <w:sz w:val="17"/>
          <w:szCs w:val="17"/>
          <w:i w:val="1"/>
          <w:iCs w:val="1"/>
          <w:color w:val="auto"/>
        </w:rPr>
        <w:t xml:space="preserve">www.itron.com </w:t>
      </w:r>
      <w:r>
        <w:rPr>
          <w:rFonts w:ascii="Arial" w:cs="Arial" w:eastAsia="Arial" w:hAnsi="Arial"/>
          <w:sz w:val="17"/>
          <w:szCs w:val="17"/>
          <w:color w:val="auto"/>
        </w:rPr>
        <w:t>as soon as practicable after they are filed with or furnished to the SEC. In addition, these documents are available at the SEC’s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(http://</w:t>
      </w:r>
      <w:r>
        <w:rPr>
          <w:rFonts w:ascii="Arial" w:cs="Arial" w:eastAsia="Arial" w:hAnsi="Arial"/>
          <w:sz w:val="17"/>
          <w:szCs w:val="17"/>
          <w:i w:val="1"/>
          <w:iCs w:val="1"/>
          <w:color w:val="auto"/>
        </w:rPr>
        <w:t>www.sec.gov</w:t>
      </w:r>
      <w:r>
        <w:rPr>
          <w:rFonts w:ascii="Arial" w:cs="Arial" w:eastAsia="Arial" w:hAnsi="Arial"/>
          <w:sz w:val="17"/>
          <w:szCs w:val="17"/>
          <w:color w:val="auto"/>
        </w:rPr>
        <w:t>) and at the SEC’s Headquarters at 100 F Street, NE, Washington, DC 20549, or by calling 1-800-SEC-0330.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Itron is a technology company and one of the leading global suppliers of a broad range of standard, advanced, and smart meters and meter communication systems, including networks and communication modules, software, and services. Our communications network platform supports robust and standards-based internet protocol, power-line-carrier (PLC), and cellular network protocols according to our customers' needs around the world. Our software provides mobile and networked meter reading, customer care, billing, distribution design and analysis, forecasting, and load research. Our wide range of services includes delivery solutions and managed services on-site or through private cloud solutions.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were incorporated in 1977 with a focus on meter reading technology. In 2004, we entered the electricity meter manufacturing business with the acquisition of Schlumberger Electricity Metering. In 2007, we expanded our presence in global meter manufacturing and systems with the acquisition of Actaris Metering Systems SA (Actaris).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discussion of our major products, our markets, and our operating segments. Refer to Item 7: “Management’s Discussion and Analysis of Financial Condition and Results of Operations” included in this Annual Report on Form 10-K for specific segment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offer solutions that enable electric and gas utilities to build smart grids to manage assets, secure revenue, lower operational costs, improve customer service, and enable demand response. Our solutions include standard meters and next-generation advanced and smart metering products, systems, and services, which ultimately empower and benefit consumers.</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supply comprehensive solutions to address the unique challenges facing the water industry, including increasing customer demand and resource scarcity. We offer a complete product portfolio, including standard meters and next-generation advanced and smart metering products, systems, and services, for applications in the residential and commercial industrial markets for water and heat.</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classify metering systems into three categories: standard metering, advanced metering systems and technology, and smart metering systems and technology. These categories are described in more detail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 Metering</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A standard meter measures electricity, natural gas, water, or thermal energy by mechanical, electromechanical, or electronic means, with no built-in remote-reading communication capability. Standard meters require manual reading, which is typically performed by a utility representative or meter reading service provider. Worldwide, we produce standard residential, commercial and industrial (C&amp;I), and transmission and distribution (T&amp;D) electricity, natural gas, water, and heat meters.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Metering Systems and Technology</w:t>
      </w:r>
    </w:p>
    <w:p>
      <w:pPr>
        <w:spacing w:after="0" w:line="23" w:lineRule="exact"/>
        <w:rPr>
          <w:sz w:val="20"/>
          <w:szCs w:val="20"/>
          <w:color w:val="auto"/>
        </w:rPr>
      </w:pPr>
    </w:p>
    <w:p>
      <w:pPr>
        <w:jc w:val="both"/>
        <w:ind w:left="420"/>
        <w:spacing w:after="0" w:line="295" w:lineRule="auto"/>
        <w:rPr>
          <w:sz w:val="20"/>
          <w:szCs w:val="20"/>
          <w:color w:val="auto"/>
        </w:rPr>
      </w:pPr>
      <w:r>
        <w:rPr>
          <w:rFonts w:ascii="Arial" w:cs="Arial" w:eastAsia="Arial" w:hAnsi="Arial"/>
          <w:sz w:val="16"/>
          <w:szCs w:val="16"/>
          <w:color w:val="auto"/>
        </w:rPr>
        <w:t>Advanced metering uses a one-way communication module embedded in or attached to the meter to collect and store meter data, which is transmitted to handheld computers, mobile units, and/or fixed networks. This allows utilities to collect meter data for billing systems and analyze the data for more efficient resource management and operations. Worldwide, we produce electricity, natural gas, and water advanced metering systems and technology. Communication technologies can vary by region and country and include telephone, RF (radio frequency), cellular, PLC, and Ethernet devices.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Metering Systems and Technology</w:t>
      </w:r>
    </w:p>
    <w:p>
      <w:pPr>
        <w:spacing w:after="0" w:line="23" w:lineRule="exact"/>
        <w:rPr>
          <w:sz w:val="20"/>
          <w:szCs w:val="20"/>
          <w:color w:val="auto"/>
        </w:rPr>
      </w:pPr>
    </w:p>
    <w:p>
      <w:pPr>
        <w:jc w:val="both"/>
        <w:ind w:left="420"/>
        <w:spacing w:after="0" w:line="253" w:lineRule="auto"/>
        <w:rPr>
          <w:sz w:val="20"/>
          <w:szCs w:val="20"/>
          <w:color w:val="auto"/>
        </w:rPr>
      </w:pPr>
      <w:r>
        <w:rPr>
          <w:rFonts w:ascii="Arial" w:cs="Arial" w:eastAsia="Arial" w:hAnsi="Arial"/>
          <w:sz w:val="18"/>
          <w:szCs w:val="18"/>
          <w:color w:val="auto"/>
        </w:rPr>
        <w:t>Smart meters have two-way communication capability to automatically and regularly collect and transmit meter data to support various applications beyond monthly billings. Our smart metering solutions have substantially more features and functions than our advanced metering systems and technology. Smart meters are capable of collecting and storing interval data, remotely connecting and disconnecting, sending detailed information, receiving commands, and may interface with other devices, such as in-home displays, smart thermostats and appliances, home area networks, and advanced control systems.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 of Orders</w:t>
      </w:r>
    </w:p>
    <w:p>
      <w:pPr>
        <w:spacing w:after="0" w:line="23" w:lineRule="exact"/>
        <w:rPr>
          <w:sz w:val="20"/>
          <w:szCs w:val="20"/>
          <w:color w:val="auto"/>
        </w:rPr>
      </w:pPr>
    </w:p>
    <w:p>
      <w:pPr>
        <w:jc w:val="both"/>
        <w:ind w:left="420"/>
        <w:spacing w:after="0" w:line="269"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 Ended</w:t>
            </w:r>
          </w:p>
        </w:tc>
        <w:tc>
          <w:tcPr>
            <w:tcW w:w="280" w:type="dxa"/>
            <w:vAlign w:val="bottom"/>
          </w:tcPr>
          <w:p>
            <w:pPr>
              <w:spacing w:after="0"/>
              <w:rPr>
                <w:sz w:val="20"/>
                <w:szCs w:val="20"/>
                <w:color w:val="auto"/>
              </w:rPr>
            </w:pPr>
          </w:p>
        </w:tc>
        <w:tc>
          <w:tcPr>
            <w:tcW w:w="192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Annual Bookings</w:t>
            </w:r>
          </w:p>
        </w:tc>
        <w:tc>
          <w:tcPr>
            <w:tcW w:w="440" w:type="dxa"/>
            <w:vAlign w:val="bottom"/>
          </w:tcPr>
          <w:p>
            <w:pPr>
              <w:spacing w:after="0"/>
              <w:rPr>
                <w:sz w:val="20"/>
                <w:szCs w:val="20"/>
                <w:color w:val="auto"/>
              </w:rPr>
            </w:pPr>
          </w:p>
        </w:tc>
        <w:tc>
          <w:tcPr>
            <w:tcW w:w="186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 Backlog</w:t>
            </w:r>
          </w:p>
        </w:tc>
        <w:tc>
          <w:tcPr>
            <w:tcW w:w="340" w:type="dxa"/>
            <w:vAlign w:val="bottom"/>
          </w:tcPr>
          <w:p>
            <w:pPr>
              <w:spacing w:after="0"/>
              <w:rPr>
                <w:sz w:val="20"/>
                <w:szCs w:val="20"/>
                <w:color w:val="auto"/>
              </w:rPr>
            </w:pPr>
          </w:p>
        </w:tc>
        <w:tc>
          <w:tcPr>
            <w:tcW w:w="19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12-Month Backlog</w:t>
            </w:r>
          </w:p>
        </w:tc>
      </w:tr>
      <w:tr>
        <w:trPr>
          <w:trHeight w:val="27"/>
        </w:trPr>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jc w:val="right"/>
              <w:ind w:right="55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December 31, 2012</w:t>
            </w:r>
          </w:p>
        </w:tc>
        <w:tc>
          <w:tcPr>
            <w:tcW w:w="28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1,861</w:t>
            </w:r>
          </w:p>
        </w:tc>
        <w:tc>
          <w:tcPr>
            <w:tcW w:w="44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2011</w:t>
            </w:r>
          </w:p>
        </w:tc>
        <w:tc>
          <w:tcPr>
            <w:tcW w:w="2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2,120</w:t>
            </w:r>
          </w:p>
        </w:tc>
        <w:tc>
          <w:tcPr>
            <w:tcW w:w="4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r>
      <w:tr>
        <w:trPr>
          <w:trHeight w:val="338"/>
        </w:trPr>
        <w:tc>
          <w:tcPr>
            <w:tcW w:w="6340" w:type="dxa"/>
            <w:vAlign w:val="bottom"/>
            <w:gridSpan w:val="4"/>
          </w:tcPr>
          <w:p>
            <w:pPr>
              <w:jc w:val="right"/>
              <w:ind w:right="1110"/>
              <w:spacing w:after="0"/>
              <w:rPr>
                <w:sz w:val="20"/>
                <w:szCs w:val="20"/>
                <w:color w:val="auto"/>
              </w:rPr>
            </w:pPr>
            <w:r>
              <w:rPr>
                <w:rFonts w:ascii="Arial" w:cs="Arial" w:eastAsia="Arial" w:hAnsi="Arial"/>
                <w:sz w:val="18"/>
                <w:szCs w:val="18"/>
                <w:color w:val="auto"/>
                <w:w w:val="98"/>
              </w:rPr>
              <w:t>Information on bookings by our operating segments is as follows:</w:t>
            </w: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20"/>
                <w:szCs w:val="20"/>
                <w:color w:val="auto"/>
              </w:rPr>
            </w:pPr>
          </w:p>
        </w:tc>
        <w:tc>
          <w:tcPr>
            <w:tcW w:w="18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Total Bookings</w:t>
            </w:r>
          </w:p>
        </w:tc>
        <w:tc>
          <w:tcPr>
            <w:tcW w:w="460" w:type="dxa"/>
            <w:vAlign w:val="bottom"/>
          </w:tcPr>
          <w:p>
            <w:pPr>
              <w:spacing w:after="0"/>
              <w:rPr>
                <w:sz w:val="20"/>
                <w:szCs w:val="20"/>
                <w:color w:val="auto"/>
              </w:rPr>
            </w:pPr>
          </w:p>
        </w:tc>
        <w:tc>
          <w:tcPr>
            <w:tcW w:w="1720" w:type="dxa"/>
            <w:vAlign w:val="bottom"/>
          </w:tcPr>
          <w:p>
            <w:pPr>
              <w:ind w:left="280"/>
              <w:spacing w:after="0"/>
              <w:rPr>
                <w:sz w:val="20"/>
                <w:szCs w:val="20"/>
                <w:color w:val="auto"/>
              </w:rPr>
            </w:pPr>
            <w:r>
              <w:rPr>
                <w:rFonts w:ascii="Arial" w:cs="Arial" w:eastAsia="Arial" w:hAnsi="Arial"/>
                <w:sz w:val="18"/>
                <w:szCs w:val="18"/>
                <w:b w:val="1"/>
                <w:bCs w:val="1"/>
                <w:color w:val="auto"/>
              </w:rPr>
              <w:t>Electricity</w:t>
            </w:r>
          </w:p>
        </w:tc>
        <w:tc>
          <w:tcPr>
            <w:tcW w:w="760" w:type="dxa"/>
            <w:vAlign w:val="bottom"/>
          </w:tcPr>
          <w:p>
            <w:pPr>
              <w:spacing w:after="0"/>
              <w:rPr>
                <w:sz w:val="20"/>
                <w:szCs w:val="20"/>
                <w:color w:val="auto"/>
              </w:rPr>
            </w:pPr>
          </w:p>
        </w:tc>
        <w:tc>
          <w:tcPr>
            <w:tcW w:w="1440" w:type="dxa"/>
            <w:vAlign w:val="bottom"/>
          </w:tcPr>
          <w:p>
            <w:pPr>
              <w:jc w:val="right"/>
              <w:ind w:right="830"/>
              <w:spacing w:after="0"/>
              <w:rPr>
                <w:sz w:val="20"/>
                <w:szCs w:val="20"/>
                <w:color w:val="auto"/>
              </w:rPr>
            </w:pPr>
            <w:r>
              <w:rPr>
                <w:rFonts w:ascii="Arial" w:cs="Arial" w:eastAsia="Arial" w:hAnsi="Arial"/>
                <w:sz w:val="18"/>
                <w:szCs w:val="18"/>
                <w:b w:val="1"/>
                <w:bCs w:val="1"/>
                <w:color w:val="auto"/>
              </w:rPr>
              <w:t>Gas</w:t>
            </w:r>
          </w:p>
        </w:tc>
        <w:tc>
          <w:tcPr>
            <w:tcW w:w="540" w:type="dxa"/>
            <w:vAlign w:val="bottom"/>
          </w:tcPr>
          <w:p>
            <w:pPr>
              <w:spacing w:after="0"/>
              <w:rPr>
                <w:sz w:val="20"/>
                <w:szCs w:val="20"/>
                <w:color w:val="auto"/>
              </w:rPr>
            </w:pPr>
          </w:p>
        </w:tc>
        <w:tc>
          <w:tcPr>
            <w:tcW w:w="1620" w:type="dxa"/>
            <w:vAlign w:val="bottom"/>
          </w:tcPr>
          <w:p>
            <w:pPr>
              <w:jc w:val="right"/>
              <w:ind w:right="710"/>
              <w:spacing w:after="0"/>
              <w:rPr>
                <w:sz w:val="20"/>
                <w:szCs w:val="20"/>
                <w:color w:val="auto"/>
              </w:rPr>
            </w:pPr>
            <w:r>
              <w:rPr>
                <w:rFonts w:ascii="Arial" w:cs="Arial" w:eastAsia="Arial" w:hAnsi="Arial"/>
                <w:sz w:val="18"/>
                <w:szCs w:val="18"/>
                <w:b w:val="1"/>
                <w:bCs w:val="1"/>
                <w:color w:val="auto"/>
              </w:rPr>
              <w:t>Water</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gridSpan w:val="2"/>
          </w:tcPr>
          <w:p>
            <w:pPr>
              <w:ind w:left="1320"/>
              <w:spacing w:after="0"/>
              <w:rPr>
                <w:sz w:val="20"/>
                <w:szCs w:val="20"/>
                <w:color w:val="auto"/>
              </w:rPr>
            </w:pPr>
            <w:r>
              <w:rPr>
                <w:rFonts w:ascii="Arial" w:cs="Arial" w:eastAsia="Arial" w:hAnsi="Arial"/>
                <w:sz w:val="18"/>
                <w:szCs w:val="18"/>
                <w:b w:val="1"/>
                <w:bCs w:val="1"/>
                <w:color w:val="auto"/>
              </w:rPr>
              <w:t>(in millions)</w:t>
            </w: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786</w:t>
            </w:r>
          </w:p>
        </w:tc>
        <w:tc>
          <w:tcPr>
            <w:tcW w:w="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r>
      <w:tr>
        <w:trPr>
          <w:trHeight w:val="243"/>
        </w:trPr>
        <w:tc>
          <w:tcPr>
            <w:tcW w:w="2260" w:type="dxa"/>
            <w:vAlign w:val="bottom"/>
            <w:gridSpan w:val="2"/>
          </w:tcPr>
          <w:p>
            <w:pPr>
              <w:ind w:left="40"/>
              <w:spacing w:after="0"/>
              <w:rPr>
                <w:sz w:val="20"/>
                <w:szCs w:val="20"/>
                <w:color w:val="auto"/>
              </w:rPr>
            </w:pPr>
            <w:r>
              <w:rPr>
                <w:rFonts w:ascii="Arial" w:cs="Arial" w:eastAsia="Arial" w:hAnsi="Arial"/>
                <w:sz w:val="18"/>
                <w:szCs w:val="18"/>
                <w:color w:val="auto"/>
              </w:rPr>
              <w:t>December 31, 2012</w:t>
            </w:r>
          </w:p>
        </w:tc>
        <w:tc>
          <w:tcPr>
            <w:tcW w:w="3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1,861</w:t>
            </w:r>
          </w:p>
        </w:tc>
        <w:tc>
          <w:tcPr>
            <w:tcW w:w="460" w:type="dxa"/>
            <w:vAlign w:val="bottom"/>
          </w:tcPr>
          <w:p>
            <w:pPr>
              <w:spacing w:after="0"/>
              <w:rPr>
                <w:sz w:val="21"/>
                <w:szCs w:val="21"/>
                <w:color w:val="auto"/>
              </w:rPr>
            </w:pPr>
          </w:p>
        </w:tc>
        <w:tc>
          <w:tcPr>
            <w:tcW w:w="1720" w:type="dxa"/>
            <w:vAlign w:val="bottom"/>
          </w:tcPr>
          <w:p>
            <w:pPr>
              <w:ind w:left="1340"/>
              <w:spacing w:after="0"/>
              <w:rPr>
                <w:sz w:val="20"/>
                <w:szCs w:val="20"/>
                <w:color w:val="auto"/>
              </w:rPr>
            </w:pPr>
            <w:r>
              <w:rPr>
                <w:rFonts w:ascii="Arial" w:cs="Arial" w:eastAsia="Arial" w:hAnsi="Arial"/>
                <w:sz w:val="18"/>
                <w:szCs w:val="18"/>
                <w:color w:val="auto"/>
              </w:rPr>
              <w:t>797</w:t>
            </w:r>
          </w:p>
        </w:tc>
        <w:tc>
          <w:tcPr>
            <w:tcW w:w="7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5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2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2011</w:t>
            </w:r>
          </w:p>
        </w:tc>
        <w:tc>
          <w:tcPr>
            <w:tcW w:w="3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2,120</w:t>
            </w:r>
          </w:p>
        </w:tc>
        <w:tc>
          <w:tcPr>
            <w:tcW w:w="460" w:type="dxa"/>
            <w:vAlign w:val="bottom"/>
            <w:shd w:val="clear" w:color="auto" w:fill="CCEEFF"/>
          </w:tcPr>
          <w:p>
            <w:pPr>
              <w:spacing w:after="0"/>
              <w:rPr>
                <w:sz w:val="21"/>
                <w:szCs w:val="21"/>
                <w:color w:val="auto"/>
              </w:rPr>
            </w:pPr>
          </w:p>
        </w:tc>
        <w:tc>
          <w:tcPr>
            <w:tcW w:w="17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956</w:t>
            </w:r>
          </w:p>
        </w:tc>
        <w:tc>
          <w:tcPr>
            <w:tcW w:w="7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54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Segments</w:t>
      </w:r>
    </w:p>
    <w:p>
      <w:pPr>
        <w:spacing w:after="0" w:line="23" w:lineRule="exact"/>
        <w:rPr>
          <w:sz w:val="20"/>
          <w:szCs w:val="20"/>
          <w:color w:val="auto"/>
        </w:rPr>
      </w:pPr>
    </w:p>
    <w:p>
      <w:pPr>
        <w:jc w:val="both"/>
        <w:ind w:left="420"/>
        <w:spacing w:after="0" w:line="268" w:lineRule="auto"/>
        <w:rPr>
          <w:sz w:val="20"/>
          <w:szCs w:val="20"/>
          <w:color w:val="auto"/>
        </w:rPr>
      </w:pPr>
      <w:r>
        <w:rPr>
          <w:rFonts w:ascii="Arial" w:cs="Arial" w:eastAsia="Arial" w:hAnsi="Arial"/>
          <w:sz w:val="17"/>
          <w:szCs w:val="17"/>
          <w:color w:val="auto"/>
        </w:rPr>
        <w:t>We operate under the Itron brand worldwide and manage and report under three operating segments, Electricity, Gas, and Water. In March 2013, we separated the management of our Energy operating segment into Electricity and Gas to allow each business line to develop its own go-to-market strategy, prioritize its marketing and product development requirements, and focus on its strategic investments. Our sales, marketing, and delivery functions are managed under the three business lines - Electricity, Gas, and Water. Our product development and manufacturing operations are now managed on a worldwide basis to promote a global perspective in our operations and processes and still maintain alignment with the business lines. The transition to the new organizational structure, including changes to operations and financial reporting systems, was completed in the fourth quarter of 2013. The segment discussions in Management's Discussion and Analysis of Financial Condition and Results of Operations (MD&amp;A) and our consolidated financial statements have been revised to reflect our new operating segments. Refer to Item 7: "Management's Discussion and Analysis of Financial Condition and Results 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Operations" and Item 8: "Financial Statements and Supplementary Data," both of which are included in this Annual Report on Form 10-K.</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Water operating segment includes both our global water and heat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pacing w:after="0" w:line="23" w:lineRule="exact"/>
        <w:rPr>
          <w:sz w:val="20"/>
          <w:szCs w:val="20"/>
          <w:color w:val="auto"/>
        </w:rPr>
      </w:pPr>
    </w:p>
    <w:p>
      <w:pPr>
        <w:jc w:val="both"/>
        <w:ind w:left="420"/>
        <w:spacing w:after="0" w:line="255" w:lineRule="auto"/>
        <w:rPr>
          <w:sz w:val="20"/>
          <w:szCs w:val="20"/>
          <w:color w:val="auto"/>
        </w:rPr>
      </w:pPr>
      <w:r>
        <w:rPr>
          <w:rFonts w:ascii="Arial" w:cs="Arial" w:eastAsia="Arial" w:hAnsi="Arial"/>
          <w:sz w:val="18"/>
          <w:szCs w:val="18"/>
          <w:color w:val="auto"/>
        </w:rPr>
        <w:t>We use a combination of direct and indirect sales channels in our operating segments. A direct sales force is utilized for the largest electric, natural gas, and water utilities, with which we have long-established relationships. For smaller utilities, we typically use an indirect sales force that consists of distributors, sales representatives, partners, and meter manufacturer representatives.</w:t>
      </w:r>
    </w:p>
    <w:p>
      <w:pPr>
        <w:spacing w:after="0" w:line="136" w:lineRule="exact"/>
        <w:rPr>
          <w:sz w:val="20"/>
          <w:szCs w:val="20"/>
          <w:color w:val="auto"/>
        </w:rPr>
      </w:pPr>
    </w:p>
    <w:p>
      <w:pPr>
        <w:jc w:val="both"/>
        <w:ind w:left="420"/>
        <w:spacing w:after="0" w:line="342" w:lineRule="auto"/>
        <w:rPr>
          <w:sz w:val="20"/>
          <w:szCs w:val="20"/>
          <w:color w:val="auto"/>
        </w:rPr>
      </w:pPr>
      <w:r>
        <w:rPr>
          <w:rFonts w:ascii="Arial" w:cs="Arial" w:eastAsia="Arial" w:hAnsi="Arial"/>
          <w:sz w:val="16"/>
          <w:szCs w:val="16"/>
          <w:color w:val="auto"/>
        </w:rPr>
        <w:t>No single customer represented more than 10% of total revenues for the years ended December 31, 2013, 2012, and 2011. Our 10 largest customers in each of the years ended December 31, 2013, 2012, and 2011, accounted for approximately 28%, 27%, and 33% of total revenues,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Materials</w:t>
      </w:r>
    </w:p>
    <w:p>
      <w:pPr>
        <w:spacing w:after="0" w:line="23" w:lineRule="exact"/>
        <w:rPr>
          <w:sz w:val="20"/>
          <w:szCs w:val="20"/>
          <w:color w:val="auto"/>
        </w:rPr>
      </w:pPr>
    </w:p>
    <w:p>
      <w:pPr>
        <w:jc w:val="both"/>
        <w:ind w:left="420"/>
        <w:spacing w:after="0" w:line="270" w:lineRule="auto"/>
        <w:rPr>
          <w:sz w:val="20"/>
          <w:szCs w:val="20"/>
          <w:color w:val="auto"/>
        </w:rPr>
      </w:pPr>
      <w:r>
        <w:rPr>
          <w:rFonts w:ascii="Arial" w:cs="Arial" w:eastAsia="Arial" w:hAnsi="Arial"/>
          <w:sz w:val="17"/>
          <w:szCs w:val="17"/>
          <w:color w:val="auto"/>
        </w:rPr>
        <w:t>Our products require a wide variety of components and materials, which are subject to price and supply fluctuations. We enter into standard purchase orders in the ordinary course of business, which can vary in terms and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most of our material requirements, certain components and raw materials are supplied by sole-source vendors, and our ability to perform certain contracts depends on the availability of these materials. Refer to Item 1A: “Risk Factors”, included in this Annual Report on Form 10-K, for further discussion related to supply risks.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Our product development is focused on both improving existing technology and developing innovative new technology for electricity, natural gas, water, and heat meters, sensing and control devices, data collection software, communication technologies, data warehousing, and knowledge application solutions. We spent approximately $176 million, $179 million, and $161 million on product development in 2013, 2012 and 2011, which represented 9%, 8%, and 7% of total revenues,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w:t>
      </w:r>
    </w:p>
    <w:p>
      <w:pPr>
        <w:spacing w:after="0" w:line="23" w:lineRule="exact"/>
        <w:rPr>
          <w:sz w:val="20"/>
          <w:szCs w:val="20"/>
          <w:color w:val="auto"/>
        </w:rPr>
      </w:pPr>
    </w:p>
    <w:p>
      <w:pPr>
        <w:jc w:val="both"/>
        <w:ind w:left="420"/>
        <w:spacing w:after="0" w:line="261" w:lineRule="auto"/>
        <w:rPr>
          <w:sz w:val="20"/>
          <w:szCs w:val="20"/>
          <w:color w:val="auto"/>
        </w:rPr>
      </w:pPr>
      <w:r>
        <w:rPr>
          <w:rFonts w:ascii="Arial" w:cs="Arial" w:eastAsia="Arial" w:hAnsi="Arial"/>
          <w:sz w:val="18"/>
          <w:szCs w:val="18"/>
          <w:color w:val="auto"/>
        </w:rPr>
        <w:t>As of December 31, 2013, we had approximately 8,200 people in our workforce, including permanent and temporary employees and contractors. We have not experienced significant work stoppages and consider our employee relations to be good.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3" w:lineRule="exact"/>
        <w:rPr>
          <w:sz w:val="20"/>
          <w:szCs w:val="20"/>
          <w:color w:val="auto"/>
        </w:rPr>
      </w:pPr>
    </w:p>
    <w:p>
      <w:pPr>
        <w:jc w:val="both"/>
        <w:ind w:left="420"/>
        <w:spacing w:after="0" w:line="287" w:lineRule="auto"/>
        <w:rPr>
          <w:sz w:val="20"/>
          <w:szCs w:val="20"/>
          <w:color w:val="auto"/>
        </w:rPr>
      </w:pPr>
      <w:r>
        <w:rPr>
          <w:rFonts w:ascii="Arial" w:cs="Arial" w:eastAsia="Arial" w:hAnsi="Arial"/>
          <w:sz w:val="16"/>
          <w:szCs w:val="16"/>
          <w:color w:val="auto"/>
        </w:rPr>
        <w:t>We provide a broad portfolio of products, solutions, software, and services to electric, gas, and water utility customers globally and, consequently, operate within a large and complex competitive landscape. Some of our competitors have diversified product portfolios and operate in multiple geographic markets, while others focus on specific regional markets and/or certain types of products, including some low-cost suppliers based in China and India that have significant market share for standard meter sales in their respective home/regional markets. Some of our competitors are part of multinational conglomerates. Our primary competitors for each operating segment are discussed below. We believe that our competitive advantage is based on our in-depth knowledge of the utility industry, our capacity to innovate, our ability to address customer concerns by providing complete end-to-end integrated solutions (including metering, network communications, data collection systems, meter data management software, and other metering software applications), our established customer relationships, and our track record of delivering reliable, accurate, and long-lived products and services. Refer to Item 1A: “Risk Factors” included in this Annual Report on Form 10-K for a discussion of the competitive pressures we face.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Electricity</w:t>
      </w:r>
    </w:p>
    <w:p>
      <w:pPr>
        <w:spacing w:after="0" w:line="23" w:lineRule="exact"/>
        <w:rPr>
          <w:sz w:val="20"/>
          <w:szCs w:val="20"/>
          <w:color w:val="auto"/>
        </w:rPr>
      </w:pPr>
    </w:p>
    <w:p>
      <w:pPr>
        <w:jc w:val="both"/>
        <w:ind w:left="420"/>
        <w:spacing w:after="0" w:line="290" w:lineRule="auto"/>
        <w:rPr>
          <w:sz w:val="20"/>
          <w:szCs w:val="20"/>
          <w:color w:val="auto"/>
        </w:rPr>
      </w:pPr>
      <w:r>
        <w:rPr>
          <w:rFonts w:ascii="Arial" w:cs="Arial" w:eastAsia="Arial" w:hAnsi="Arial"/>
          <w:sz w:val="16"/>
          <w:szCs w:val="16"/>
          <w:color w:val="auto"/>
        </w:rPr>
        <w:t>We are among the leading global suppliers of electricity metering products, including standard meters, communication and network technologies, and other advanced and smart metering systems and technologies. Within the electricity business line, our primary global competitors include Landis+Gyr (Toshiba) and Elster (Melrose PLC). On a regional basis, other major competitors in the electricity product market include Sensus (The Resolute Fund, L.P.) GE Digital Energy (General Electric Company), and Echelon. Each of these companies offers some form of advanced/smart meter technology as well as standard meters. In addition, we compete, on a regional basis, with companies that specialize in communication and network technologies that are used with third-party standard meters, including Aclara (ESCO Technologies), Trilliant Networks, and Silver Spring Networks.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Gas</w:t>
      </w:r>
    </w:p>
    <w:p>
      <w:pPr>
        <w:spacing w:after="0" w:line="23" w:lineRule="exact"/>
        <w:rPr>
          <w:sz w:val="20"/>
          <w:szCs w:val="20"/>
          <w:color w:val="auto"/>
        </w:rPr>
      </w:pPr>
    </w:p>
    <w:p>
      <w:pPr>
        <w:jc w:val="both"/>
        <w:ind w:left="420"/>
        <w:spacing w:after="0" w:line="253" w:lineRule="auto"/>
        <w:rPr>
          <w:sz w:val="20"/>
          <w:szCs w:val="20"/>
          <w:color w:val="auto"/>
        </w:rPr>
      </w:pPr>
      <w:r>
        <w:rPr>
          <w:rFonts w:ascii="Arial" w:cs="Arial" w:eastAsia="Arial" w:hAnsi="Arial"/>
          <w:sz w:val="18"/>
          <w:szCs w:val="18"/>
          <w:color w:val="auto"/>
        </w:rPr>
        <w:t>We are among the leading global suppliers of gas metering products, including standard meters, communication and network technologies, and other advanced and smart metering systems and technologies. Our primary global competitor is Elster. On a regional basis, other major competitors in the gas product market include Sensus and Landis+Gyr. Each of these companies offer some form of advanced/smart meter technology as well as standard meters. In addition, we compete, on a regional basis, with companies that specialize in communication and network technologies that are used with third-party standard meters, including Aclara.</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Water</w:t>
      </w:r>
    </w:p>
    <w:p>
      <w:pPr>
        <w:spacing w:after="0" w:line="23" w:lineRule="exact"/>
        <w:rPr>
          <w:sz w:val="20"/>
          <w:szCs w:val="20"/>
          <w:color w:val="auto"/>
        </w:rPr>
      </w:pPr>
    </w:p>
    <w:p>
      <w:pPr>
        <w:jc w:val="both"/>
        <w:ind w:left="420"/>
        <w:spacing w:after="0" w:line="253" w:lineRule="auto"/>
        <w:rPr>
          <w:sz w:val="20"/>
          <w:szCs w:val="20"/>
          <w:color w:val="auto"/>
        </w:rPr>
      </w:pPr>
      <w:r>
        <w:rPr>
          <w:rFonts w:ascii="Arial" w:cs="Arial" w:eastAsia="Arial" w:hAnsi="Arial"/>
          <w:sz w:val="18"/>
          <w:szCs w:val="18"/>
          <w:color w:val="auto"/>
        </w:rPr>
        <w:t>We are one of the leading global suppliers of standard and advanced water meters and communication modules. Our primary global competitors include Elster, Sensus, and Diehl Metering (Diehl Stifung &amp; Co. KG). On a regional basis, other major competitors in the water product market include Neptune Technologies (Roper Industries) and Badger. Each of these companies offers some form of advanced meter technology as well as standard meters. In addition, we compete, on a regional basis, with companies that specialize in communication and network technologies that are used with third-party standard meters, including Aclara.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Alliances</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product development, joint sales and marketing, or access to new geographic markets. Refer to Item 1A: “Risk Factors” included in this Annual Report on Form 10-K for a discussion of risks associated with strategic alliances.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3" w:lineRule="exact"/>
        <w:rPr>
          <w:sz w:val="20"/>
          <w:szCs w:val="20"/>
          <w:color w:val="auto"/>
        </w:rPr>
      </w:pPr>
    </w:p>
    <w:p>
      <w:pPr>
        <w:jc w:val="both"/>
        <w:ind w:left="420"/>
        <w:spacing w:after="0" w:line="255" w:lineRule="auto"/>
        <w:rPr>
          <w:sz w:val="20"/>
          <w:szCs w:val="20"/>
          <w:color w:val="auto"/>
        </w:rPr>
      </w:pPr>
      <w:r>
        <w:rPr>
          <w:rFonts w:ascii="Arial" w:cs="Arial" w:eastAsia="Arial" w:hAnsi="Arial"/>
          <w:sz w:val="18"/>
          <w:szCs w:val="18"/>
          <w:color w:val="auto"/>
        </w:rPr>
        <w:t>Our patents and patent applications cover a range of technologies, which relate to standard metering, advanced metering systems and technology, smart metering systems and technology, meter data management software, and knowledge application solutions. We also rely on a combination of copyrights and trade secrets to protect our products and technologies.</w:t>
      </w:r>
    </w:p>
    <w:p>
      <w:pPr>
        <w:spacing w:after="0" w:line="136" w:lineRule="exact"/>
        <w:rPr>
          <w:sz w:val="20"/>
          <w:szCs w:val="20"/>
          <w:color w:val="auto"/>
        </w:rPr>
      </w:pPr>
    </w:p>
    <w:p>
      <w:pPr>
        <w:jc w:val="both"/>
        <w:ind w:left="420"/>
        <w:spacing w:after="0" w:line="312" w:lineRule="auto"/>
        <w:rPr>
          <w:sz w:val="20"/>
          <w:szCs w:val="20"/>
          <w:color w:val="auto"/>
        </w:rPr>
      </w:pPr>
      <w:r>
        <w:rPr>
          <w:rFonts w:ascii="Arial" w:cs="Arial" w:eastAsia="Arial" w:hAnsi="Arial"/>
          <w:sz w:val="16"/>
          <w:szCs w:val="16"/>
          <w:color w:val="auto"/>
        </w:rPr>
        <w:t>Disputes over the ownership, registration, and enforcement of intellectual property rights arise in the ordinary course of our business. While we believe patents and trademarks are important to our operations and in the aggregate constitute valuable assets, no single patent or trademark, or group of patents or trademarks, is critical to the success of our business. We license some of our technology to other companies, some of which are our competitors.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3" w:lineRule="exact"/>
        <w:rPr>
          <w:sz w:val="20"/>
          <w:szCs w:val="20"/>
          <w:color w:val="auto"/>
        </w:rPr>
      </w:pPr>
    </w:p>
    <w:p>
      <w:pPr>
        <w:jc w:val="both"/>
        <w:ind w:left="420"/>
        <w:spacing w:after="0" w:line="261" w:lineRule="auto"/>
        <w:rPr>
          <w:sz w:val="20"/>
          <w:szCs w:val="20"/>
          <w:color w:val="auto"/>
        </w:rPr>
      </w:pPr>
      <w:r>
        <w:rPr>
          <w:rFonts w:ascii="Arial" w:cs="Arial" w:eastAsia="Arial" w:hAnsi="Arial"/>
          <w:sz w:val="18"/>
          <w:szCs w:val="18"/>
          <w:color w:val="auto"/>
        </w:rPr>
        <w:t>In the ordinary course of our business we use metals, solvents, and similar materials that are stored on-site. We believe we are in compliance with environmental laws, rules, and regulations applicable to the operation of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February 25,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3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Philip C. Mezey</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Steven M. Helmbrecht</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John W. Holleran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Michel C. Cadieux</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Senior Vice President, Human Resources</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Russell E. Vanos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Senior Vice President, Strategy and Business Development</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Shannon M. Votava</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Vice President, General Counsel and Corporate Secretary</w:t>
            </w:r>
          </w:p>
        </w:tc>
      </w:tr>
    </w:tbl>
    <w:p>
      <w:pPr>
        <w:spacing w:after="0" w:line="3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Philip C. Mezey </w:t>
      </w:r>
      <w:r>
        <w:rPr>
          <w:rFonts w:ascii="Arial" w:cs="Arial" w:eastAsia="Arial" w:hAnsi="Arial"/>
          <w:sz w:val="18"/>
          <w:szCs w:val="18"/>
          <w:color w:val="auto"/>
        </w:rPr>
        <w:t>is President and Chief Executive Officer, and a member of our Board of Directors. Mr. Mezey was appointed to his current position and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in January 2013. Mr. Mezey joined Itron in March 2003 as Managing Director of Software Development for Itron’s Energy Management Solutions Group as part of Itron’s acquisition of Silicon Energy Corp. Mr. Mezey was promoted to Group Vice President and Manager of Software Solutions in 2004. In 2005, Mr. Mezey became Sr. Vice President, Software Solutions, and in 2007 Mr. Mezey became Sr. Vice President and Chief Operating Officer, Itron North America. Mostly recently, Mr. Mezey served as President and Chief Operating Officer, Energy from March 2011 through December 2012.</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Steven M. Helmbrecht </w:t>
      </w:r>
      <w:r>
        <w:rPr>
          <w:rFonts w:ascii="Arial" w:cs="Arial" w:eastAsia="Arial" w:hAnsi="Arial"/>
          <w:sz w:val="18"/>
          <w:szCs w:val="18"/>
          <w:color w:val="auto"/>
        </w:rPr>
        <w:t>is Executive Vice President and Chief Financial Officer. Mr. Helmbrecht joined Itron in 2002 as Vice President and General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and was named Sr. Vice President and Chief Financial Officer in 2005. Previously, Mr. Helmbrecht was Chief Financial Officer of LineSoft Corporation, which was acquired by Itron in 2002.</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John W. Holleran </w:t>
      </w:r>
      <w:r>
        <w:rPr>
          <w:rFonts w:ascii="Arial" w:cs="Arial" w:eastAsia="Arial" w:hAnsi="Arial"/>
          <w:sz w:val="18"/>
          <w:szCs w:val="18"/>
          <w:color w:val="auto"/>
        </w:rPr>
        <w:t>is Executive Vice President and Chief Operating Officer. Mr. Holleran has held this role since January 2013. Mr. Holleran joined Itron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2007 as Sr. Vice President, General Counsel, and Corporate Secretary. Beginning in January 2012, Mr. Holleran served as Itron's Sr. Vice President, Special Projects, and Corporate Secretary.</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Michel C. Cadieux </w:t>
      </w:r>
      <w:r>
        <w:rPr>
          <w:rFonts w:ascii="Arial" w:cs="Arial" w:eastAsia="Arial" w:hAnsi="Arial"/>
          <w:sz w:val="18"/>
          <w:szCs w:val="18"/>
          <w:color w:val="auto"/>
        </w:rPr>
        <w:t>is Senior Vice President, Human Resources, effective February 17, 2014. Before joining Itron, Mr. Cadieux was Senior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Resources and Security at Freescale Semiconductor, Inc. (Freescale) from 2008 to 2012. Mr. Cadieux worked at Advanced Micro Devices from 2000 to 2008, where he was Senior Vice President of Human Resources and Chief Talent Officer.</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Russell E. Vanos </w:t>
      </w:r>
      <w:r>
        <w:rPr>
          <w:rFonts w:ascii="Arial" w:cs="Arial" w:eastAsia="Arial" w:hAnsi="Arial"/>
          <w:sz w:val="16"/>
          <w:szCs w:val="16"/>
          <w:color w:val="auto"/>
        </w:rPr>
        <w:t>is Senior Vice President, Strategy and Business Development. Mr. Vanos has served in this role since January 2013. Mr. Vanos joined Itron</w:t>
      </w:r>
      <w:r>
        <w:rPr>
          <w:rFonts w:ascii="Arial" w:cs="Arial" w:eastAsia="Arial" w:hAnsi="Arial"/>
          <w:sz w:val="16"/>
          <w:szCs w:val="16"/>
          <w:b w:val="1"/>
          <w:bCs w:val="1"/>
          <w:color w:val="auto"/>
        </w:rPr>
        <w:t xml:space="preserve"> </w:t>
      </w:r>
      <w:r>
        <w:rPr>
          <w:rFonts w:ascii="Arial" w:cs="Arial" w:eastAsia="Arial" w:hAnsi="Arial"/>
          <w:sz w:val="16"/>
          <w:szCs w:val="16"/>
          <w:color w:val="auto"/>
        </w:rPr>
        <w:t>in 1980 and since then has held various positions in sales, marketing, and operations. Most recently Mr. Vanos served as Vice President, Global Smart Grid Solutions and Business Development from November 2011 through December 2012. Prior to this role Mr. Vanos served as Vice President and General Manager, Sales and Marketing from January 2011 to November 2011 and as Vice President, Marketing from January 2007 through December 2010.</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Shannon M. Votava </w:t>
      </w:r>
      <w:r>
        <w:rPr>
          <w:rFonts w:ascii="Arial" w:cs="Arial" w:eastAsia="Arial" w:hAnsi="Arial"/>
          <w:sz w:val="18"/>
          <w:szCs w:val="18"/>
          <w:color w:val="auto"/>
        </w:rPr>
        <w:t>is Vice President, General Counsel and Corporate Secretary. Ms. Votava joined Itron in May 2010 as Assistant General Counsel and was</w:t>
      </w:r>
      <w:r>
        <w:rPr>
          <w:rFonts w:ascii="Arial" w:cs="Arial" w:eastAsia="Arial" w:hAnsi="Arial"/>
          <w:sz w:val="18"/>
          <w:szCs w:val="18"/>
          <w:b w:val="1"/>
          <w:bCs w:val="1"/>
          <w:color w:val="auto"/>
        </w:rPr>
        <w:t xml:space="preserve"> </w:t>
      </w:r>
      <w:r>
        <w:rPr>
          <w:rFonts w:ascii="Arial" w:cs="Arial" w:eastAsia="Arial" w:hAnsi="Arial"/>
          <w:sz w:val="18"/>
          <w:szCs w:val="18"/>
          <w:color w:val="auto"/>
        </w:rPr>
        <w:t>promoted to Vice President and General Counsel in January 2012, and she assumed the responsibilities of Corporate Secretary in January 2013. Before joining Itron, Ms. Votava was Associate General Counsel, Commercial at Cooper Industries plc from October 2008 to April 2010 and General Counsel at Honeywell Electronic Materials, Inc. from 2003 to October 2008.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the utility industry, which has experienced volatility in capital spending.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upon acceptable terms, the timing and availability of government subsidies or other incentives, utility specific financial circumstances, mergers and acquisitions, regulatory decisions, weather conditions, and fluctuating interest rates. We have experienced, and may in the future experience, variability in operating results on an annual and a quarterly basis as a result of these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sales cycles can be lengthy and unpredictable.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utility industry is subject to substantial government regulation. Regulations have often influenced the frequency of meter replacements. Sales cycles for standalone meter products have typically been based on annual or biennial bid-based agreements. Utilities place purchase orders against these agreements as their inventories decline, which can create fluctuations in our sales volumes.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cycles for advanced and smart metering systems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of the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1252 of the U.S. Energy Policy Act of 2005 requires electric utilities to consider offering their customers time-based rates. The Act also directs these utilities and state utility commissions to study and evaluate methods for implementing demand response, to shift consumption away from peak hours, and to improve power generation.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European Union has issued the EU Energy Package, which includes directives and regulations intended to strengthen consumer rights and protection in the EU energy market. The EU’s 20-20-20 goals include a 20% increase in energy efficiency, a 20% reduction of carbon dioxide emissions compared with 1990 levels, and producing 20% of its energy from renewable sources by 2020. The package sets targets for EU Member States to ensure the implementation of smart metering systems and outlines deployment by 2022, with 80% of electric consumers equipped with smart metering systems by 2020.</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believe these initiatives will provide opportunities for sales of our products, the pace at which these markets will grow is unknown due to the timing of legislation, regulatory approvals related to the deployment of new technology, capital budgets of utilities, and purchasing decisions by our customers.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 is generated with a limited number of customers.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revenues have been concentrated with a limited number of customers, which change over time. Our largest single customer represented 4% of total revenues for the year ended December 31, 2013. We are often a party to large, multi-year contracts that are subject to cancellation or rescheduling by our customers due to many factors, such as extreme, unexpected weather conditions that cause our customers to redeploy resources, convenience, regulatory issues, or acts of terrorism. Cancellation or postponement of one or more of these significant contracts could have a material adverse effect on our financial and operating results. In addition, if a large customer contract is not replaced upon its expiration with new business of similar magnitude, our financial and operating results would be adversely affected.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we enter into agreements related to the deployment of smart metering systems and technology, the value of certain contracts can be substantially larger than contracts we have had with our customers in the past. These deployments last several years and can exceed the length of prior deployment agreements. The terms and conditions of these smart metering system agreements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related to testing, contractual liabilities, warranties, performance, and indemnities can be substantially different than the terms and conditions associated with our previous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results may fluctuate substantially due to several additional factors.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experienced variability in quarterly results, including losses, and believe our quarterly results will continue to fluctuate as a result of many factors, including those risks and events included throughout this section. Additional factors that may cause the price of our common stock to decline include:</w:t>
      </w:r>
    </w:p>
    <w:p>
      <w:pPr>
        <w:spacing w:after="0" w:line="9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higher proportion of products sold with fewer features and functionality, resulting in lower revenues and gross margins;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shift in sales channel mix, which could impact the revenue received and commissions paid;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sales volumes, which could result in lower gross margins as driven by lower absorption of manufacturing costs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in accounting standards or practices that may impact us to a greater degree than other companies due to our product mix, which would impact revenue recognition, or our borrowing structure;</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change in existing taxation rules or practices due to our specific operating structure that may not be comparable to other companies;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shortfall in sales without a proportional decrease in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product-failure exposure.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are complex and may contain defects or experience failures due to any number of issues in design, materials, deployment and/or use. If any of our products contain a defect, compatibility or interoperability issue or other error, we may have to devote significant time and resources to find and correct the issue. We provide product warranties for varying lengths of time and establish allowances in anticipation of warranty expenses. In addition, we record contingent liabilities for additional product-failure related costs. These warranty and related product-failure allowances may be inadequate due to product defects,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and other third-party vendors; result in the loss of business to competitors; or result in litigation against us. We may incur additional warranty and related expenses in the future with respect to new or established products, which could materially and adversely affect our operations and financial position.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customer contracts may contain provisions that could cause us to incur penalties, be liable for damages, and/or incur unanticipated expenses with respect to the functionality, deployment, operation, and availability of our products and services.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and availability of our products and services.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Further, we could be required to recognize a current-period expense related to a specific component of a customer contract at the time we determine the products and/or services to be delivered under that component would result in a loss due to expected revenues estimated to be less than expected costs. Depending on the amounts of the associated revenues (if any) and the costs, this charge could be material to our results of operations in the period it is recognized.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develop new competitive products.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success will depend, in part, on our ability to continue to design and manufacture new competitive products and to enhance and sustain our existing products, keep pace with technological advances and changing customer requirements, gain international market acceptance, and manage other factors in the markets in which we sell our products. Product development will require continued investment in order to maintain our competitive position, and the periods in which we incur significant product development costs may drive variability in our quarterly results.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In addition, we may not meet our product development schedules. New products often require certifications or regulatory approvals before the products can be used and we cannot be certain that our new products will be approved in a timely manner. Finally, we may not achieve market acceptance of our new products and services.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the availability and regulation of radio spectrum and interference with the radio spectrum that we use.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number of our products use radio spectrum, which are subject to regulation by the Federal Communications Commission (FCC) in the United States.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In the United States, our advanced and smart metering systems are typically Part 15 devices that transmit information to (and receive information from, if applicable) handheld, mobile, or fixed network systems pursuant to these rules.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FCC proposed a rulemaking proceeding in which it is considering adopting “spectrum etiquette” requirements for unlicensed Part 15 devices operating in the 902-928 MHz band, which many of our advanced and smart metering systems utilize. The outcome of the proceeding may require us to make material changes to our equipment.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advanced and smart metering systems typically transmit to (and receive information from, if applicable) handheld, mobile, or fixed network reading devices in unlicensed bands pursuant to rules regulating such use. Generally, we use the unlicensed Industrial, Scientific, and Medical (ISM) bands with the various reading devices in our solutions. In Europe, we generally use the 433 MHz and 868 MHz bands. In the rest of the world, we primarily use the 433 MHz and 2.4000-2.4835 GHz bands, as well as other local unlicensed bands. To the extent we introduce new products designed for use in the United States or another country into a new market, such products may require significant modification or redesign in order to meet frequency requirements and other regulatory specifications. In some countries, limitations on frequency availability or the cost of making necessary modifications may preclude us from selling our products in those countries. In addition, new consumer products may create interference with the performance of our products, which could lead to claims against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facing increasing competition.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Some competitors may enter markets we serve and sell products at lower prices in order to gain or grow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Other companies may also drive technological innovation and develop products that are equal in quality and performance or superior to our products, which could put pressure on our market position, reduce our overall sales, and require us to invest additional funds in new technology development. In addition, there is a risk that low-cost providers will expand their presence in our markets, improve their quality, or form alliances or cooperative relationships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our competitors, thereby contributing to future price erosion. Some of our products and services may become commoditized, and we may have to adjust the prices of some of our products to stay competitive. Further, some utilities may purchase meters separately from the communication devices. The specifications for the meters would require interchangeability, which could lead to further commoditization of the meter, driving prices lower and reducing margins. Should we fail to compete successfully with current or future competitors, we could experience material adverse effects on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acquisitions of and investments in third parties have risks.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complete additional acquisitions or make investments in the future, both within and outside of the United States. In order to finance future acquisitions, we may need to raise additional funds through public or private financings, and there are no assurances that such financing would be available at acceptable terms. Acquisitions and investments involve numerous risks such as the diversion of senior management’s attention; unsuccessful integration of the acquired entity’s personnel, operations, technologies, and products; incurrence of significant expenses to meet an acquiree's customer contractual commitments; lack of market acceptance of new services and technologies; or difficulties in operating businesses in international legal jurisdictions. Failure to properly or adequately address these issues could result in the diversion of management’s attention and resources and materially and adversely impact our ability to manage our business. In addition, acquisitions and investments in third parties may involve the assumption of obligations, significant write-offs, or other charges associated with the acquisition. Impairment of an investment, goodwill, or an intangible asset may result if these risks were to materialize. For investments in entities that are not wholly owned by Itron, such as joint ventures, a loss of control as defined by U.S. generally accepted accounting principles (GAAP) could result in a significant change in accounting treatment and a change in the carrying value of the entity. There can be no assurances that an acquired business will perform as expected, accomplish our strategic objectives, or generate significant revenues, profits,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adverse publicity, consumer or political opposition, or liability associated with our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safety and security of the power grid, the accuracy and protection of the data collected by meters and transmitted via the smart grid, concerns about the safety and perceived health risks of using radio frequency communications, and privacy concerns of monitoring home appliance energy usage have been the focus of recent adverse publicity. Negative publicity and consumer opposition may cause utilities or their regulators to delay or modify planned smart grid initiatives. Smart grid projects may be, or may be perceived as, unsuccessful.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subject to claims that there are adverse health effects from the radio frequencies utilized in connection with our products. If these claims prevail, our customers could suspend implementation or purchase substitute products, which could cause a loss of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tax laws, valuation allowances, and unanticipated tax liabilities could adversely affect our effective income tax rate and profitability.</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all of these matters to determine the adequacy of our tax provision, which is subject to significant judgment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Disruption and turmoil in global credit and financial markets, which may be exacerbated by the inability of certain countries to continue to service their sovereign debt obligations, and the possible negative implications of such events for the global economy, may negatively impact our business, liquidity, operating results, and financial condition.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economic conditions, including volatility in the availability of credit and foreign exchange rates and extended economic slowdowns, have contributed to the instability in some global credit and financial markets. Additionally, at-risk financial institutions in certain countries may, without forewarning, seize a portion of depositors' account balances. The seized funds would be used to recapitalize the at-risk financial institution and would no longer be available for the depositors' use. If such seizure were to occur at financial institutions where we have funds on deposit, it could have a significant impact on our overall liquidity. While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ultimate outcome of these events cannot be predicted, it is possible that such events may have a negative impact on the global economy and our business, liquidity, operating results,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 obstacles to the repatriation of earnings, and foreign currency fluctuations.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substantial portion of our revenues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currency exchange rate fluctuations, and adverse tax burdens. Lack of availability of qualified third-party financing, generally longer receivable collection periods than those commonly practiced in the United States, trade restrictions, changes in tariffs, labor disruptions, 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 all present additional risk to our international operations. Fluctuations in the value of international currencies may impact our operating results due to the translation to the U.S. dollar as well as our ability to compete in international markets.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There can be no assurance that these factors will not have a material adverse effect on our future international sales and, consequently,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certain key vendors and components.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products, subassemblies, and system components are procured from limited sources. Our reliance on such limited sources involves certain risks, including the possibility of shortages and reduced control over delivery schedules, quality, costs, and our vendors’ access to capital upon acceptable terms. Any adverse change in the supply, or price, of these components could adversely affect our business, financial condition, and results of operations. In addition, we depend on a small number of contract manufacturing vendors for a large portion of our low-volume manufacturing business and all of our repair services for our domestic handheld meter reading units. Should any of these vendors become unable to perform up to their responsibilities, our operations could be materially disrupted.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interruptions could adversely affect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worldwide operations could be subject to hurricanes, tornadoes, earthquakes, floods, fires, extreme weather conditions, medical epidemics or pandemics, or other natural or man-made disasters or business interruptions. The occurrence of any of these business disruptions could seriously harm our business, financial condition,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could result in significant changes that would adversely impact our future operating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significant intangible assets, long-lived assets, goodwill, and deferred tax assets that are susceptible to valuation adjustments as a result of changes in various factors or conditions.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impairment of amortizable intangible and long-lived assets whenever events or changes in circumstances indicate that the carrying value may not be recoverable. Factors that could trigger an impairment of such assets include the following:</w:t>
      </w:r>
    </w:p>
    <w:p>
      <w:pPr>
        <w:spacing w:after="0" w:line="14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underperformance relative to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manner or use of the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 in our stock price for a sustained period or decline in our market capitalization below net book value; and</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the potential impairment of goodwill each year as of October 1. We also assess the potential impairment of goodwill whenever events or changes in circumstances indicate that the carrying value may not be recoverable. Adverse changes in economic conditions or our operations could affect the assumptions we use to calculate the fair value, which in turn could result in an impairment charge in future periods that would impact our results of operations and financial position in that period.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realization of our deferred tax assets is supported in part by projections of future taxable income. 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Realization is not assured, and the amount of deferred tax assets considered realizable could be reduced in the near term if estimates of future taxable income during the carryforward periods are reduced or current tax planning strategies are not implemented.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losses associated with alleged unauthorized use of third party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intellectual property.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believe that our patents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of our intellectual property,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a variety of litigation that could adversely affect our results of operations and financial condition.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are involved in litigation that arises from our business. Litigation may, for example, relate to alleged infringements of intellectual property rights of others. Non-practicing entities may also make infringement claims in order to reach a settlement with us. In addition, these entities may bring claims against our customers, which, in some instances, could result in an indemnification of the customer. Litigation may also relate to, among other things, product failure or product liability claims, contractual disputes, employment matters, or securities litigation. Litigation can be expensive to defend and can divert the attention of management and other personnel for long periods of time, regardless of the ultimate outcome. We may be required to pay damage awards or settlements or become subject to equitable remedies that could adversely affect our financial condition and results of operations. While we currently maintain insurance coverage, such insurance may not provide adequate coverage against potential claims.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We have pension benefit obligations, which could have a material impact on our earnings, liabilities, and shareholders' equity and could have significant adverse impacts in future periods.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success depends in large part on the efforts of our highly qualified technical and management personnel and highly skilled individuals in all disciplines.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loss of one or more of these employees and the inability to attract and retain qualified replacements could have a material adverse effect on our business.</w:t>
      </w:r>
    </w:p>
    <w:p>
      <w:pPr>
        <w:spacing w:after="0" w:line="2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are unable to protect our information technology infrastructure and network against data corruption, cyber-based attacks or network security breaches, we could be exposed to customer liability and reputational risk.</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course of our operations, we rely on interconnected technology systems for the operation of our products, managed services on behalf of our customers, accounting and other administrative processes, and compliance with various regulations. There are various risks associated with technology systems such as hardware or software failure, communications failure, data distortion or destruction, unauthorized access to data, misuse of proprietary or confidential data, unauthorized control through electronic means, programming mistakes, and other deliberate or inadvertent human errors. In particular, cyber attacks, terrorism, or other malicious acts could damage, destroy, or disrupt these systems. Any failure of technology systems could result in a loss of revenues, an increase in operating expenses, and costs to repair or replace damaged assets. Any of the above could also result in the loss or release of confidential customer information or other proprietary data that could adversely affect our reputation and result in costly litigation. As these potential cyber attacks become more common and sophisticated, we could be required to incur costs to strengthen our systems and respond to emerging concerns.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realize the expected benefits from strategic alliances.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several strategic alliances with large and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product development or experience other operational difficulties.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information technology systems.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completing a phased upgrade of our primary enterprise resource planning (ERP) systems to allow for greater depth and breadth of functionality worldwide. System conversions are expensive and time consuming undertakings that impact all areas of the Company. While successful implementations of each phase will provide many benefits to us, an unsuccessful or delayed implementation of any particular phase may cost us significant time and resources.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credit facility limits our ability and the ability of many of our subsidiaries to take certain 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places restrictions on our ability, and the ability of many of our subsidiaries to, among other things: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incur more debt;</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w w:val="91"/>
              </w:rPr>
              <w:t>•  pay dividends, make distributions, and repurchase capital stock;</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make certain investments;</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create liens;</w:t>
            </w:r>
          </w:p>
        </w:tc>
      </w:tr>
      <w:tr>
        <w:trPr>
          <w:trHeight w:val="270"/>
        </w:trPr>
        <w:tc>
          <w:tcPr>
            <w:tcW w:w="3760" w:type="dxa"/>
            <w:vAlign w:val="bottom"/>
            <w:gridSpan w:val="2"/>
          </w:tcPr>
          <w:p>
            <w:pPr>
              <w:spacing w:after="0"/>
              <w:rPr>
                <w:sz w:val="20"/>
                <w:szCs w:val="20"/>
                <w:color w:val="auto"/>
              </w:rPr>
            </w:pPr>
            <w:r>
              <w:rPr>
                <w:rFonts w:ascii="Arial" w:cs="Arial" w:eastAsia="Arial" w:hAnsi="Arial"/>
                <w:sz w:val="18"/>
                <w:szCs w:val="18"/>
                <w:color w:val="auto"/>
              </w:rPr>
              <w:t>•  enter into transactions with affiliates;</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rPr>
              <w:t>•  enter into sale lease-back transactions;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merge or consolidate;</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transfer or sell assets.</w:t>
            </w:r>
          </w:p>
        </w:tc>
      </w:tr>
    </w:tbl>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credit facility contains other customary covenants, including the requirement to meet specified financial ratios. Our ability to borrow under our credit facility will depend on the satisfaction of these covenants. Events beyond our control can affect our ability to meet those covenants. Our failure to comply with obligations under our borrowing arrangements may result in declaration of an event of default. An event of default, if not cured or waived, may permit acceleration of required payments against such indebtedness. We cannot be certain we will be able to remedy any such defaults. If our required payments are accelerated, we cannot be certain that we will have sufficient funds available to pay the indebtedness or that we will have the ability to raise sufficient capital to replace the indebtedness on terms favorable to us or at all. In addition, in the case of an event of default under our secured indebtedness such as our credit facility, the lenders may be permitted to foreclose on our assets securing that indebtedness.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is sensitive to interest rate fluctuations that could impact our financial position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service our indebtedness is dependent on our ability to generate cash, which is influenced by many factors beyond our control.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payments on or refinance our indebtedness, fund planned capital expenditures, and continue research and development will depend on our ability to generate cash in the future. This is dependent on the degree to which we succeed in executing our business plans, which is influenced, in part, by general economic, financial, competitive, legislative, regulatory, counterparty, and other risks that are beyond our control. We may need to refinance all or a portion of our indebtedness on or before maturity. We cannot provide assurance that we will be able to refinance any of our indebtedness on commercially reasonable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counterparty default risks with our financial institutions and insurance providers.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lenders of our credit facility consist of several participating financial institutions. Our revolving line of credit allows us to provide letters of credit in support of our obligations for customer contracts and provides additional liquidity. If our lenders are not 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fail to maintain an effective system of internal controls, we may not be able to accurately report our financial results, prevent fraud, or maintain investor confidence.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design and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We cannot be certain that these measures will ensure that we design, implement, and maintain adequate controls over our financial processes and reporting in the future, especially for acquisition targets that may not have been required to be in compliance with Section 404 of the Sarbanes-Oxley Act at the date of acquisition. Any failure to implement required new or improved controls, difficulties encountered in their implementation or operation, or difficulties in the assimilation of acquired businesses into our control system could harm our operating results or cause it to fail to meet our financial reporting obligations. Inadequate internal controls could also cause investors to lose confidence in our reported financial information, which could have a negative effect on the trading price of our stock and our access to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regulatory compliance.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governmental regulations in all of the jurisdictions in which we conduct business.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environmental regulations, violations of such regulations, or future environmental liabilities could cause us to incur significant costs and could adversely affect our operations.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Foreign Corrupt Practices Act in the United States requires United States companies to comply with an extensive legal framework to prevent bribery of foreign officials. The laws are complex and require that we closely monitor local practices of our overseas offices. The United States Department of Justice has recently heightened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of the United Kingdom. The costs for complying with these and similar laws may be significant and could require significant management time and focus. Any violation of these or similar laws, intentional or unintentional, could have a material adverse effect on our business, financial condition, or results of operations.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New regulations related to “conflict minerals” may force us to incur additional expenses, may result in damage to our business reputation, and may adversely impact our ability to conduct our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2012, under the Dodd-Frank Wall Street Reform and Consumer Protection Act of 2010, the SEC adopted new requirements for companies that use certain minerals and derivative metals (referred to as “conflict minerals,” regardless of their actual country of origin) in their products. Some of these metals are commonly used in electronic equipment and devices, including our products. These new requirements now require companies to investigate, disclose and report whether or not such metals originated from the Democratic Republic of Congo or adjoining countries and required due diligence efforts beginning fiscal 2013, with initial disclosure requirements beginning in May 2014. There may be increased costs associated with complying with these disclosure requirements, including for diligence to determine the sources of conflict minerals used in our products and other potential changes to products, processes or sources of supply as a consequence of such verification activities. The implementation of these rules could adversely affect the sourcing, supply, and pricing of materials used in our products.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number of manufacturing facilities, service and distribution locations, and offices by region.</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2720" w:type="dxa"/>
            <w:vAlign w:val="bottom"/>
            <w:gridSpan w:val="4"/>
          </w:tcPr>
          <w:p>
            <w:pPr>
              <w:ind w:left="980"/>
              <w:spacing w:after="0"/>
              <w:rPr>
                <w:sz w:val="20"/>
                <w:szCs w:val="20"/>
                <w:color w:val="auto"/>
              </w:rPr>
            </w:pPr>
            <w:r>
              <w:rPr>
                <w:rFonts w:ascii="Arial" w:cs="Arial" w:eastAsia="Arial" w:hAnsi="Arial"/>
                <w:sz w:val="18"/>
                <w:szCs w:val="18"/>
                <w:b w:val="1"/>
                <w:bCs w:val="1"/>
                <w:color w:val="auto"/>
              </w:rPr>
              <w:t>Manufacturing</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ind w:left="620"/>
              <w:spacing w:after="0"/>
              <w:rPr>
                <w:sz w:val="20"/>
                <w:szCs w:val="20"/>
                <w:color w:val="auto"/>
              </w:rPr>
            </w:pPr>
            <w:r>
              <w:rPr>
                <w:rFonts w:ascii="Arial" w:cs="Arial" w:eastAsia="Arial" w:hAnsi="Arial"/>
                <w:sz w:val="18"/>
                <w:szCs w:val="18"/>
                <w:b w:val="1"/>
                <w:bCs w:val="1"/>
                <w:color w:val="auto"/>
                <w:w w:val="99"/>
              </w:rPr>
              <w:t>Service and Distribution</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b w:val="1"/>
                <w:bCs w:val="1"/>
                <w:color w:val="auto"/>
              </w:rPr>
              <w:t>Offices</w:t>
            </w:r>
          </w:p>
        </w:tc>
        <w:tc>
          <w:tcPr>
            <w:tcW w:w="1120" w:type="dxa"/>
            <w:vAlign w:val="bottom"/>
          </w:tcPr>
          <w:p>
            <w:pPr>
              <w:spacing w:after="0"/>
              <w:rPr>
                <w:sz w:val="20"/>
                <w:szCs w:val="20"/>
                <w:color w:val="auto"/>
              </w:rPr>
            </w:pPr>
          </w:p>
        </w:tc>
      </w:tr>
      <w:tr>
        <w:trPr>
          <w:trHeight w:val="27"/>
        </w:trPr>
        <w:tc>
          <w:tcPr>
            <w:tcW w:w="19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spacing w:after="0"/>
              <w:rPr>
                <w:sz w:val="20"/>
                <w:szCs w:val="20"/>
                <w:color w:val="auto"/>
              </w:rPr>
            </w:pPr>
          </w:p>
        </w:tc>
        <w:tc>
          <w:tcPr>
            <w:tcW w:w="1100" w:type="dxa"/>
            <w:vAlign w:val="bottom"/>
          </w:tcPr>
          <w:p>
            <w:pPr>
              <w:ind w:left="480"/>
              <w:spacing w:after="0"/>
              <w:rPr>
                <w:sz w:val="20"/>
                <w:szCs w:val="20"/>
                <w:color w:val="auto"/>
              </w:rPr>
            </w:pPr>
            <w:r>
              <w:rPr>
                <w:rFonts w:ascii="Arial" w:cs="Arial" w:eastAsia="Arial" w:hAnsi="Arial"/>
                <w:sz w:val="18"/>
                <w:szCs w:val="18"/>
                <w:b w:val="1"/>
                <w:bCs w:val="1"/>
                <w:color w:val="auto"/>
                <w:w w:val="99"/>
              </w:rPr>
              <w:t>Owned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Arial" w:cs="Arial" w:eastAsia="Arial" w:hAnsi="Arial"/>
                <w:sz w:val="18"/>
                <w:szCs w:val="18"/>
                <w:b w:val="1"/>
                <w:bCs w:val="1"/>
                <w:color w:val="auto"/>
                <w:w w:val="99"/>
              </w:rPr>
              <w:t>Leased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Arial" w:cs="Arial" w:eastAsia="Arial" w:hAnsi="Arial"/>
                <w:sz w:val="18"/>
                <w:szCs w:val="18"/>
                <w:b w:val="1"/>
                <w:bCs w:val="1"/>
                <w:color w:val="auto"/>
              </w:rPr>
              <w:t>Owned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480"/>
              <w:spacing w:after="0"/>
              <w:rPr>
                <w:sz w:val="20"/>
                <w:szCs w:val="20"/>
                <w:color w:val="auto"/>
              </w:rPr>
            </w:pPr>
            <w:r>
              <w:rPr>
                <w:rFonts w:ascii="Arial" w:cs="Arial" w:eastAsia="Arial" w:hAnsi="Arial"/>
                <w:sz w:val="18"/>
                <w:szCs w:val="18"/>
                <w:b w:val="1"/>
                <w:bCs w:val="1"/>
                <w:color w:val="auto"/>
                <w:w w:val="96"/>
              </w:rPr>
              <w:t>Leased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Arial" w:cs="Arial" w:eastAsia="Arial" w:hAnsi="Arial"/>
                <w:sz w:val="18"/>
                <w:szCs w:val="18"/>
                <w:b w:val="1"/>
                <w:bCs w:val="1"/>
                <w:color w:val="auto"/>
              </w:rPr>
              <w:t>Owned</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Leased</w:t>
            </w:r>
          </w:p>
        </w:tc>
      </w:tr>
      <w:tr>
        <w:trPr>
          <w:trHeight w:val="27"/>
        </w:trPr>
        <w:tc>
          <w:tcPr>
            <w:tcW w:w="1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43"/>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gridSpan w:val="3"/>
          </w:tcPr>
          <w:p>
            <w:pPr>
              <w:jc w:val="right"/>
              <w:ind w:right="12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7"/>
        </w:trPr>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43"/>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1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major manufacturing facilities are owned, while smaller factories are typically leased. Our service and distribution locations primarily consist of assembly, localization, service, and/or distribution, and some also include product development and administrative functions. Localization typically includes modifying finished products from other Itron manufacturing locations to meet local specifications. Based on this, four facilities were reclassified from the manufacturing category to the service and distribution category for the current presentation. Our office locations consist primarily of sales and administration functions, and some also include product development functions. Our Electricity and Gas manufacturing facilities are located throughout the world, and our Water manufacturing facilities are located primarily in Asia/Pacific and Europe, with the rest primarily in South America. We own our headquarters facility, which is located in Liberty Lake, Washington. Our principal properties are owned and in good condition, and we believe our current facilities are sufficient to support our operations.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2011 and September 2013, we announced projects to restructure our operations in order to increase efficiency and reduce our costs. As part of the restructuring in Asia/Pacific, one owned manufacturing facility was vacated during 2013 with operations transferred to a leased facility. The owned manufacturing facility is not included in the list above because it does not currently contribute to our operations, and we expect to sell it during the first quarter of 2014. In 2013, we sold one of our European Gas manufacturing facilities, in which we ceased manufacturing operations in 2012. It was classified as an office location as of December 31, 2012.</w:t>
      </w:r>
    </w:p>
    <w:p>
      <w:pPr>
        <w:spacing w:after="0" w:line="23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pending legal proceedings, as defined by Item 103 of Regulation S-K, at December 31, 2013. Refer to Item 8: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Supplementary Data, Note 12: Commitments and Contingencies" included in this Annual Report on Form 10-K.</w:t>
      </w:r>
    </w:p>
    <w:p>
      <w:pPr>
        <w:spacing w:after="0" w:line="26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90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is traded on the NASDAQ Global Select Market. The following table reflects the range of high and low common stock sales prices for the four quarters of 2013 and 2012 as reported by the NASDAQ Global Select Market.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72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60" w:type="dxa"/>
            <w:vAlign w:val="bottom"/>
            <w:gridSpan w:val="2"/>
          </w:tcPr>
          <w:p>
            <w:pPr>
              <w:ind w:left="420"/>
              <w:spacing w:after="0"/>
              <w:rPr>
                <w:sz w:val="20"/>
                <w:szCs w:val="20"/>
                <w:color w:val="auto"/>
              </w:rPr>
            </w:pPr>
            <w:r>
              <w:rPr>
                <w:rFonts w:ascii="Arial" w:cs="Arial" w:eastAsia="Arial" w:hAnsi="Arial"/>
                <w:sz w:val="18"/>
                <w:szCs w:val="18"/>
                <w:b w:val="1"/>
                <w:bCs w:val="1"/>
                <w:color w:val="auto"/>
              </w:rPr>
              <w:t>High</w:t>
            </w:r>
          </w:p>
        </w:tc>
        <w:tc>
          <w:tcPr>
            <w:tcW w:w="540" w:type="dxa"/>
            <w:vAlign w:val="bottom"/>
          </w:tcPr>
          <w:p>
            <w:pPr>
              <w:spacing w:after="0"/>
              <w:rPr>
                <w:sz w:val="20"/>
                <w:szCs w:val="20"/>
                <w:color w:val="auto"/>
              </w:rPr>
            </w:pPr>
          </w:p>
        </w:tc>
        <w:tc>
          <w:tcPr>
            <w:tcW w:w="1840" w:type="dxa"/>
            <w:vAlign w:val="bottom"/>
            <w:gridSpan w:val="2"/>
          </w:tcPr>
          <w:p>
            <w:pPr>
              <w:ind w:left="420"/>
              <w:spacing w:after="0"/>
              <w:rPr>
                <w:sz w:val="20"/>
                <w:szCs w:val="20"/>
                <w:color w:val="auto"/>
              </w:rPr>
            </w:pPr>
            <w:r>
              <w:rPr>
                <w:rFonts w:ascii="Arial" w:cs="Arial" w:eastAsia="Arial" w:hAnsi="Arial"/>
                <w:sz w:val="18"/>
                <w:szCs w:val="18"/>
                <w:b w:val="1"/>
                <w:bCs w:val="1"/>
                <w:color w:val="auto"/>
              </w:rPr>
              <w:t>Low</w:t>
            </w:r>
          </w:p>
        </w:tc>
        <w:tc>
          <w:tcPr>
            <w:tcW w:w="540" w:type="dxa"/>
            <w:vAlign w:val="bottom"/>
          </w:tcPr>
          <w:p>
            <w:pPr>
              <w:spacing w:after="0"/>
              <w:rPr>
                <w:sz w:val="20"/>
                <w:szCs w:val="20"/>
                <w:color w:val="auto"/>
              </w:rPr>
            </w:pPr>
          </w:p>
        </w:tc>
        <w:tc>
          <w:tcPr>
            <w:tcW w:w="1860" w:type="dxa"/>
            <w:vAlign w:val="bottom"/>
            <w:gridSpan w:val="2"/>
          </w:tcPr>
          <w:p>
            <w:pPr>
              <w:ind w:left="420"/>
              <w:spacing w:after="0"/>
              <w:rPr>
                <w:sz w:val="20"/>
                <w:szCs w:val="20"/>
                <w:color w:val="auto"/>
              </w:rPr>
            </w:pPr>
            <w:r>
              <w:rPr>
                <w:rFonts w:ascii="Arial" w:cs="Arial" w:eastAsia="Arial" w:hAnsi="Arial"/>
                <w:sz w:val="18"/>
                <w:szCs w:val="18"/>
                <w:b w:val="1"/>
                <w:bCs w:val="1"/>
                <w:color w:val="auto"/>
              </w:rPr>
              <w:t>High</w:t>
            </w:r>
          </w:p>
        </w:tc>
        <w:tc>
          <w:tcPr>
            <w:tcW w:w="560" w:type="dxa"/>
            <w:vAlign w:val="bottom"/>
          </w:tcPr>
          <w:p>
            <w:pPr>
              <w:spacing w:after="0"/>
              <w:rPr>
                <w:sz w:val="20"/>
                <w:szCs w:val="20"/>
                <w:color w:val="auto"/>
              </w:rPr>
            </w:pPr>
          </w:p>
        </w:tc>
        <w:tc>
          <w:tcPr>
            <w:tcW w:w="1720" w:type="dxa"/>
            <w:vAlign w:val="bottom"/>
          </w:tcPr>
          <w:p>
            <w:pPr>
              <w:jc w:val="right"/>
              <w:ind w:right="890"/>
              <w:spacing w:after="0"/>
              <w:rPr>
                <w:sz w:val="20"/>
                <w:szCs w:val="20"/>
                <w:color w:val="auto"/>
              </w:rPr>
            </w:pPr>
            <w:r>
              <w:rPr>
                <w:rFonts w:ascii="Arial" w:cs="Arial" w:eastAsia="Arial" w:hAnsi="Arial"/>
                <w:sz w:val="18"/>
                <w:szCs w:val="18"/>
                <w:b w:val="1"/>
                <w:bCs w:val="1"/>
                <w:color w:val="auto"/>
              </w:rPr>
              <w:t>Low</w:t>
            </w:r>
          </w:p>
        </w:tc>
      </w:tr>
      <w:tr>
        <w:trPr>
          <w:trHeight w:val="27"/>
        </w:trPr>
        <w:tc>
          <w:tcPr>
            <w:tcW w:w="19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36.60</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33.50</w:t>
            </w:r>
          </w:p>
        </w:tc>
      </w:tr>
      <w:tr>
        <w:trPr>
          <w:trHeight w:val="27"/>
        </w:trPr>
        <w:tc>
          <w:tcPr>
            <w:tcW w:w="1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38.28</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45.76</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45.26</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38.71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our peer group of companies used for the year ended December 31, 2013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83185</wp:posOffset>
            </wp:positionV>
            <wp:extent cx="5711190" cy="3198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119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80" w:right="4560"/>
        <w:spacing w:after="0" w:line="277" w:lineRule="auto"/>
        <w:tabs>
          <w:tab w:leader="none" w:pos="1115"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invested on 12/31/08 in stock or index, including investment of dividends. Fiscal years ending December 31.</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presentation assumes $100 invested on December 31, 2008 in the common stock of Itron, Inc., the peer group, and the NASDAQ Composite Index, with all dividends reinvested. With respect to companies in the peer group, the returns of each such corporation have been weighted to reflect relative stock market capitalization at the beginning of each annual period plotted. The stock prices shown above for our common stock are historical and not necessarily indicative of future price performance.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year, we reassess our peer group to identify global companies that are either direct competitors or have similar industry and business operating characteristics. Our 2013 peer group includes the following publicly traded companies: Badger Meter, Inc., Echelon Corporation, ESCO Technologies Inc., National Instruments Corporation, Roper Industries, Inc., and Silver Spring Networks, Inc. We added Silver Spring Networks, Inc. to our peer group in 2013, as it became a publicly traded company during 2013. However, we have not included the company in the cumulative total return graph above, as there is no impact to the cumulative total return in 2013, given that Silver Spring Networks, Inc. was not publicly traded at the beginning of 2013. In 2014, we will show both our old and new (including Silver Spring Networks, Inc.) peer groups.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information about the Company's purchases of its shares of common stock, based on settlement date, during the quarterly period ended December 31, 2013.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 Price Paid per</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Purchased Under the</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(2)</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October 1 through October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26,434</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November 1 through November 30</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26,434</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 through December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86,392</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39.48</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86,392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23,023</w:t>
            </w:r>
          </w:p>
        </w:tc>
      </w:tr>
      <w:tr>
        <w:trPr>
          <w:trHeight w:val="244"/>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86,392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39.48</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86,392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line="229" w:lineRule="auto"/>
        <w:tabs>
          <w:tab w:leader="none" w:pos="34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On March 8, 2013, our Board of Directors authorized a twelve-month repurchase program of up to $50 million of Itron's common stock. Repurchases are made in the open market or in privately negotiated transactions, and in accordance with applicable securities laws. No shares were purchased outside of this plan.</w:t>
      </w:r>
    </w:p>
    <w:p>
      <w:pPr>
        <w:spacing w:after="0" w:line="98" w:lineRule="exact"/>
        <w:rPr>
          <w:rFonts w:ascii="Arial" w:cs="Arial" w:eastAsia="Arial" w:hAnsi="Arial"/>
          <w:sz w:val="21"/>
          <w:szCs w:val="21"/>
          <w:color w:val="auto"/>
          <w:vertAlign w:val="superscript"/>
        </w:rPr>
      </w:pP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Includes commissions.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December 31, 2013 and through February 25, 2014, we repurchased 75,203 shares of our common stock under the stock repurchase program authorized by the Board of Directors on March 8, 2013. The average price paid per share was $39.20.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on February 7, 2014, Itron's Board of Directors authorized a new repurchase program of up to $50 million of our common stock over a 12-month period, which will take effect following the expiration of the current stock repurchase program on March 7, 2014. Repurchases are made in the open market or in privately negotiated transactions and in accordance with applicable securities 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2014, there were 259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tab/>
        <w:t>SELECTED CONSOLIDATED FINANCIAL DATA</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selected consolidated financial data below is derived from our consolidated financial statements, which have been audited by an independent registered public accounting firm. These selected consolidated financial and other data represent portions of our financial statements. You should read this information together with Item 7: “Management’s Discussion and Analysis of Financial Condition and Results of Operations” and Item 8: “Financial Statements and Supplementary Data” included in this Annual Report on Form 10-K. Historical results are not necessarily indicative of future performance.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r>
              <w:rPr>
                <w:rFonts w:ascii="Arial" w:cs="Arial" w:eastAsia="Arial" w:hAnsi="Arial"/>
                <w:sz w:val="21"/>
                <w:szCs w:val="21"/>
                <w:b w:val="1"/>
                <w:bCs w:val="1"/>
                <w:color w:val="auto"/>
                <w:vertAlign w:val="superscript"/>
              </w:rPr>
              <w:t>(4)</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2011</w:t>
            </w:r>
            <w:r>
              <w:rPr>
                <w:rFonts w:ascii="Arial" w:cs="Arial" w:eastAsia="Arial" w:hAnsi="Arial"/>
                <w:sz w:val="21"/>
                <w:szCs w:val="21"/>
                <w:b w:val="1"/>
                <w:bCs w:val="1"/>
                <w:color w:val="auto"/>
                <w:vertAlign w:val="superscript"/>
              </w:rPr>
              <w:t>(2)</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2010</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 share data)</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1,948,728</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2,178,178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2,434,124</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2,259,271</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1,687,447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1,334,195</w:t>
            </w:r>
          </w:p>
        </w:tc>
        <w:tc>
          <w:tcPr>
            <w:tcW w:w="3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1,463,031</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1,687,666</w:t>
            </w:r>
          </w:p>
        </w:tc>
        <w:tc>
          <w:tcPr>
            <w:tcW w:w="3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1,558,596</w:t>
            </w: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1,147,484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614,533</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715,147</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746,458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700,675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539,963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(135,181)</w:t>
            </w:r>
          </w:p>
        </w:tc>
        <w:tc>
          <w:tcPr>
            <w:tcW w:w="3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151,126</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(459,183)</w:t>
            </w:r>
          </w:p>
        </w:tc>
        <w:tc>
          <w:tcPr>
            <w:tcW w:w="3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184,197</w:t>
            </w: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45,027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(146,809)</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108,275</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(510,157)</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104,770</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Earnings (loss) per common share -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(3.74)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2.73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(12.56)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2.60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39,281</w:t>
            </w:r>
          </w:p>
        </w:tc>
        <w:tc>
          <w:tcPr>
            <w:tcW w:w="3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39,625</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40,612</w:t>
            </w:r>
          </w:p>
        </w:tc>
        <w:tc>
          <w:tcPr>
            <w:tcW w:w="3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40,337</w:t>
            </w: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38,539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39,281</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39,934</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40,612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40,947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38,539</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Balance Sheets Data</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4700" w:type="dxa"/>
            <w:vAlign w:val="bottom"/>
          </w:tcPr>
          <w:p>
            <w:pPr>
              <w:ind w:left="40"/>
              <w:spacing w:after="0"/>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(1)</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ind w:right="79"/>
              <w:spacing w:after="0"/>
              <w:rPr>
                <w:sz w:val="20"/>
                <w:szCs w:val="20"/>
                <w:color w:val="auto"/>
              </w:rPr>
            </w:pPr>
            <w:r>
              <w:rPr>
                <w:rFonts w:ascii="Arial" w:cs="Arial" w:eastAsia="Arial" w:hAnsi="Arial"/>
                <w:sz w:val="16"/>
                <w:szCs w:val="16"/>
                <w:color w:val="auto"/>
              </w:rPr>
              <w:t>344,354</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color w:val="auto"/>
              </w:rPr>
              <w:t>353,577</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color w:val="auto"/>
              </w:rPr>
              <w:t>329,632</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59"/>
              <w:spacing w:after="0"/>
              <w:rPr>
                <w:sz w:val="20"/>
                <w:szCs w:val="20"/>
                <w:color w:val="auto"/>
              </w:rPr>
            </w:pPr>
            <w:r>
              <w:rPr>
                <w:rFonts w:ascii="Arial" w:cs="Arial" w:eastAsia="Arial" w:hAnsi="Arial"/>
                <w:sz w:val="16"/>
                <w:szCs w:val="16"/>
                <w:color w:val="auto"/>
              </w:rPr>
              <w:t>178,483</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282,532</w:t>
            </w:r>
          </w:p>
        </w:tc>
        <w:tc>
          <w:tcPr>
            <w:tcW w:w="0" w:type="dxa"/>
            <w:vAlign w:val="bottom"/>
          </w:tcPr>
          <w:p>
            <w:pPr>
              <w:spacing w:after="0"/>
              <w:rPr>
                <w:sz w:val="1"/>
                <w:szCs w:val="1"/>
                <w:color w:val="auto"/>
              </w:rPr>
            </w:pPr>
          </w:p>
        </w:tc>
      </w:tr>
      <w:tr>
        <w:trPr>
          <w:trHeight w:val="61"/>
        </w:trPr>
        <w:tc>
          <w:tcPr>
            <w:tcW w:w="47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1,882,511</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2,089,441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2,064,282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2,745,797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2,854,621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378,750</w:t>
            </w:r>
          </w:p>
        </w:tc>
        <w:tc>
          <w:tcPr>
            <w:tcW w:w="3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417,500</w:t>
            </w:r>
          </w:p>
        </w:tc>
        <w:tc>
          <w:tcPr>
            <w:tcW w:w="34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452,502</w:t>
            </w:r>
          </w:p>
        </w:tc>
        <w:tc>
          <w:tcPr>
            <w:tcW w:w="3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610,941</w:t>
            </w:r>
          </w:p>
        </w:tc>
        <w:tc>
          <w:tcPr>
            <w:tcW w:w="3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781,764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Itron, Inc.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855,236</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992,967</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906,925</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1,428,295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1,400,514</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Financial Data</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Cash provided by operating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105,421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205,090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252,358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254,591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140,787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investing activities</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(56,771)</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(125,445)</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(78,741)</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(56,274)</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Cash used in financing activities</w:t>
            </w:r>
          </w:p>
        </w:tc>
        <w:tc>
          <w:tcPr>
            <w:tcW w:w="26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(57,438)</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(77,528)</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(209,453)</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(148,637)</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(114,121)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(60,020)</w:t>
            </w: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(50,543)</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(60,076)</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(62,822)</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(52,906)</w:t>
            </w:r>
          </w:p>
        </w:tc>
        <w:tc>
          <w:tcPr>
            <w:tcW w:w="0" w:type="dxa"/>
            <w:vAlign w:val="bottom"/>
          </w:tcPr>
          <w:p>
            <w:pPr>
              <w:spacing w:after="0"/>
              <w:rPr>
                <w:sz w:val="1"/>
                <w:szCs w:val="1"/>
                <w:color w:val="auto"/>
              </w:rPr>
            </w:pPr>
          </w:p>
        </w:tc>
      </w:tr>
      <w:tr>
        <w:trPr>
          <w:trHeight w:val="33"/>
        </w:trPr>
        <w:tc>
          <w:tcPr>
            <w:tcW w:w="4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Working capital represents current assets less current liabilities.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During 2011, we incurred a goodwill impairment charge of $584.8 million. In addition, restructuring projects were approved and commenced to increase efficiency and lower our cost of manufacturing, for which we incurred costs of $68.1 million in 2011.</w:t>
      </w:r>
    </w:p>
    <w:p>
      <w:pPr>
        <w:spacing w:after="0" w:line="180"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On May 1, 2012, we completed our acquisition of SmartSynch, Inc. for $77.7 million in cash (net of $6.7 million of cash and cash equivalents acquired).</w:t>
      </w:r>
    </w:p>
    <w:p>
      <w:pPr>
        <w:spacing w:after="0" w:line="201" w:lineRule="exact"/>
        <w:rPr>
          <w:rFonts w:ascii="Arial" w:cs="Arial" w:eastAsia="Arial" w:hAnsi="Arial"/>
          <w:sz w:val="22"/>
          <w:szCs w:val="22"/>
          <w:color w:val="auto"/>
          <w:vertAlign w:val="superscript"/>
        </w:rPr>
      </w:pPr>
    </w:p>
    <w:p>
      <w:pPr>
        <w:ind w:left="340" w:hanging="332"/>
        <w:spacing w:after="0" w:line="268" w:lineRule="auto"/>
        <w:tabs>
          <w:tab w:leader="none" w:pos="194"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During 2013, we incurred a goodwill impairment charge of $173.2 million. In addition, we incurred costs of $35.5 million in 2013 related to restructuring projects to increase efficiency. Refer to Item 8: "Financial Statements and Supplementary Data, Note 5: Goodwill" and "Financial Statements and Supplementary Data, Note 13: Restructuring" included in this Annual Report on Form 10-K for further disclosures regarding the goodwill impairment and restructuring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and analysis should be read in conjunction with 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install, implement, operate, and maintain their systems.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2013, we separated the management of our Energy operating segment into Electricity and Gas to allow each business line to develop its own go-to-market strategy, prioritize its marketing and product development requirements, and focus on its strategic investments. Our sales, marketing, and delivery functions are managed under three business lines - Electricity, Gas, and Water. Our product development and manufacturing operations are now managed on a worldwide basis to promote a global perspective in our operations and processes and still maintain alignment with the business lines. The transition to the new organizational structure, including changes to operations and financial reporting systems, was completed in the fourth quarter of 2013. Our historical segment information for the years ended December 31, 2012 and 2011 has been recast to reflect our new operating segments.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Water operating segment includes both our global water and heat solutions.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other income (expense), and income tax provision (benefit) are not allocated to the segments, nor included in the measure of segment profit or loss.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decreased 11% in 2013, compared with 2012. The revenue decrease was due primarily to the completion of several large OpenWay® projects in the Electricity segment in 2012, partially offset by a $15.2 million increase in revenues in the Water segment. Revenues decreased 11% in 2012, compared with 2011. Similar to 2013, the 2012 revenue decline was the result of our large OpenWay projects nearing completion in the Electricity and Gas segments, while our Water operating segment increased $4.9 million, or 1%, from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Total backlog was $1.1 billion, and twelve-month backlog was $549.0 million at December 31, 2013.</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Total company gross margin decreased 130 basis points in 2013, compared with 2012. Gross margin decline in 2013 over the prior year was primarily driven by decreased volumes in our Electricity and Gas segments and less favorable product mix within all three segments. Additionally, we recognized a charge for increased costs associated with specific contract components with an OpenWay project in North America. Total company gross margin increased 210 basis points in 2012, compared with 2011, primarily due to lower warranty charges in the Electricity and Water operating segments. Additionally, benefits from our restructuring actions and manufacturing efficiencies partially offset the impact of decreased volumes.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2013 in conjunction with our annual goodwill impairment test, which is performed as of October 1, we recognized a goodwill impairment of $173.2 million in our Electricity reporting unit as the result of delays in global smart grid projects and lower volumes and pricing pressures in certain regions in Europe and Asia/Pacific. The revised forecast for the Electricity business drove a decrease in the fair value of the reporting unit. A portion of the goodwill impairment was deductible for income tax purposes, resulting in an associated income tax benefit of $11.8 million. The goodwill impairment charge is a non-cash expense that does not adversely affect the debt covenants under our existing credit facility. There were no goodwill impairments in the Gas and Water reporting units.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income tax (benefit)/provisions of $(3.6) million, $26.0 million, and $4.4 million for the years ended December 31, 2013, 2012, and 2011. In 2013, our actual tax rate differed from the 35% U.S. federal statutory tax rate due to the following items which decreased the tax benefit: (1) nondeductible portion of the goodwill impairment; (2) increase in valuation allowance related to deferred tax assets in France for which we do not anticipate future realization; and (3) disallowed deductions due to a change in foreign legislation. The following items increased our tax benefit: (1) recognition of research and experimentation credits for 2012 and 2013 due to the signing of The American Relief Act of 2012 on January 2, 2013; (2) earnings of our subsidiaries outside of the U.S. in jurisdictions where our statutory tax rate is lower than in the U.S.; (3) the benefit of certain interest expense deductions; and (4) benefits of certain acquisition related elections for tax purposes. Our tax provisions for 2012 and 2011 reflect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benefits of lower statutory tax rates on foreign earnings as compared with our U.S. federal statutory rate, foreign interest expense deductions and the benefits of certain acquisition related elections for tax purposes. During 2012 we recognized a benefit related to the release of certain reserves for uncertain tax positions. No foreign tax benefit was recorded for the goodwill impairment charge in 2011.</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September 2013, we announced restructuring projects (the 2013 Projects) to restructure our operations to improve profitability and increase efficiencies. The 2013 Projects will reduce headcount and close or consolidate several manufacturing and office facilities. Overall we expect to reduce our workforce by 9%, and we are approximately 50% complete as of December 31, 2013. We expect to substantially complete the 2013 Projects by the end of 2014. We have begun to realize savings from our 2013 Projects during 2013, and we expect full realization of the savings of the 2013 Projects by the end of 2014 and into 2015. Under the 2013 Projects, we recognized $31.1 million in restructuring expenses, primarily related to severance, since these projects were announced in September 2013. Our 2011 projects were substantially complete as of June 30, 2013. Under the 2011 Projects, we incurred $74.1 million in costs, including $4.4 million in 2013. This was a reduction in the restructuring expense of approximately $3.7 million from the expected total expense of $77.8 at December 31, 2012. Restructuring expenses of $1.7 million were recognized in 2012, associated with severance accruals and other facility exit costs, offset by a $5.4 million correction to the goodwill impairment. For further details regarding the correction of the goodwill impairment, refer to Item 8: "Financial Statements and Supplementary Data, Note 5: Goodwill." The remaining expense of $68 million associated with the 2011 Projects was incurred in 2011. Revenues and net operating income from the activities we have exited or will exit under the restructuring plan are not material to our operating segments or consolidated results.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7, 2014, Itron's Board of Directors authorized a new repurchase program of up to $50 million of our common stock over a 12-month period, which will take effect following the expiration of the current stock repurchase program on March 7, 2014. Repurchases are made in the open market or in privately negotiated transactions and in accordance with applicable securities laws. Refer to Part II, Item 5: "Market for Registrant's Common Equity, Related Stockholder Matters and Issuer Purchases of Equity Securities" for additional information related to our current share repurchase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365" w:lineRule="exact"/>
        <w:rPr>
          <w:sz w:val="20"/>
          <w:szCs w:val="20"/>
          <w:color w:val="auto"/>
        </w:rPr>
      </w:pPr>
    </w:p>
    <w:p>
      <w:pPr>
        <w:ind w:left="62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37465</wp:posOffset>
            </wp:positionV>
            <wp:extent cx="5385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 Change</w:t>
            </w:r>
          </w:p>
        </w:tc>
        <w:tc>
          <w:tcPr>
            <w:tcW w:w="22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680" w:type="dxa"/>
            <w:vAlign w:val="bottom"/>
            <w:gridSpan w:val="2"/>
          </w:tcPr>
          <w:p>
            <w:pPr>
              <w:ind w:left="420"/>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2011</w:t>
            </w:r>
          </w:p>
        </w:tc>
      </w:tr>
      <w:tr>
        <w:trPr>
          <w:trHeight w:val="33"/>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w w:val="96"/>
              </w:rPr>
              <w:t>(in thousands)</w:t>
            </w:r>
          </w:p>
        </w:tc>
      </w:tr>
      <w:tr>
        <w:trPr>
          <w:trHeight w:val="33"/>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1,948,728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2,178,178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2,434,124</w:t>
            </w: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614,533</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8"/>
              </w:rPr>
              <w:t>(14)%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715,147</w:t>
            </w:r>
          </w:p>
        </w:tc>
        <w:tc>
          <w:tcPr>
            <w:tcW w:w="120" w:type="dxa"/>
            <w:vAlign w:val="bottom"/>
          </w:tcPr>
          <w:p>
            <w:pPr>
              <w:spacing w:after="0"/>
              <w:rPr>
                <w:sz w:val="20"/>
                <w:szCs w:val="20"/>
                <w:color w:val="auto"/>
              </w:rPr>
            </w:pPr>
          </w:p>
        </w:tc>
        <w:tc>
          <w:tcPr>
            <w:tcW w:w="1580" w:type="dxa"/>
            <w:vAlign w:val="bottom"/>
          </w:tcPr>
          <w:p>
            <w:pPr>
              <w:jc w:val="right"/>
              <w:ind w:right="55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746,458</w:t>
            </w:r>
          </w:p>
        </w:tc>
      </w:tr>
      <w:tr>
        <w:trPr>
          <w:trHeight w:val="33"/>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33"/>
        </w:trPr>
        <w:tc>
          <w:tcPr>
            <w:tcW w:w="2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Year Ended December 31,</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3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8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67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79"/>
              <w:spacing w:after="0"/>
              <w:rPr>
                <w:sz w:val="20"/>
                <w:szCs w:val="20"/>
                <w:color w:val="auto"/>
              </w:rPr>
            </w:pPr>
            <w:r>
              <w:rPr>
                <w:rFonts w:ascii="Arial" w:cs="Arial" w:eastAsia="Arial" w:hAnsi="Arial"/>
                <w:sz w:val="16"/>
                <w:szCs w:val="16"/>
                <w:b w:val="1"/>
                <w:bCs w:val="1"/>
                <w:color w:val="auto"/>
              </w:rPr>
              <w:t>2011</w:t>
            </w:r>
          </w:p>
        </w:tc>
      </w:tr>
      <w:tr>
        <w:trPr>
          <w:trHeight w:val="33"/>
        </w:trPr>
        <w:tc>
          <w:tcPr>
            <w:tcW w:w="3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6"/>
                <w:szCs w:val="16"/>
                <w:color w:val="auto"/>
              </w:rPr>
              <w:t>Revenues by region</w:t>
            </w:r>
          </w:p>
        </w:tc>
        <w:tc>
          <w:tcPr>
            <w:tcW w:w="1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33"/>
        </w:trPr>
        <w:tc>
          <w:tcPr>
            <w:tcW w:w="3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 and Canada</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851,295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1,014,739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1,182,775</w:t>
            </w:r>
          </w:p>
        </w:tc>
      </w:tr>
      <w:tr>
        <w:trPr>
          <w:trHeight w:val="237"/>
        </w:trPr>
        <w:tc>
          <w:tcPr>
            <w:tcW w:w="3860" w:type="dxa"/>
            <w:vAlign w:val="bottom"/>
          </w:tcPr>
          <w:p>
            <w:pPr>
              <w:ind w:left="380"/>
              <w:spacing w:after="0"/>
              <w:rPr>
                <w:sz w:val="20"/>
                <w:szCs w:val="20"/>
                <w:color w:val="auto"/>
              </w:rPr>
            </w:pPr>
            <w:r>
              <w:rPr>
                <w:rFonts w:ascii="Arial" w:cs="Arial" w:eastAsia="Arial" w:hAnsi="Arial"/>
                <w:sz w:val="16"/>
                <w:szCs w:val="16"/>
                <w:color w:val="auto"/>
              </w:rPr>
              <w:t>Europe, Middle East, and Africa (EMEA)</w:t>
            </w:r>
          </w:p>
        </w:tc>
        <w:tc>
          <w:tcPr>
            <w:tcW w:w="10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858,026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878,615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899,642</w:t>
            </w:r>
          </w:p>
        </w:tc>
      </w:tr>
      <w:tr>
        <w:trPr>
          <w:trHeight w:val="33"/>
        </w:trPr>
        <w:tc>
          <w:tcPr>
            <w:tcW w:w="3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239,407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284,824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351,707</w:t>
            </w:r>
          </w:p>
        </w:tc>
      </w:tr>
      <w:tr>
        <w:trPr>
          <w:trHeight w:val="244"/>
        </w:trPr>
        <w:tc>
          <w:tcPr>
            <w:tcW w:w="38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7"/>
              </w:rPr>
              <w:t>1,948,728</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2,178,178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2,434,124</w:t>
            </w:r>
          </w:p>
        </w:tc>
      </w:tr>
      <w:tr>
        <w:trPr>
          <w:trHeight w:val="20"/>
        </w:trPr>
        <w:tc>
          <w:tcPr>
            <w:tcW w:w="3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Smart metering – two-way communication including remote meter configuration and upgrade (consisting primarily of our OpenWay technology)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addition, advanced and smart meter communication modules can be sold separately from the meter.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2860" w:type="dxa"/>
            <w:vAlign w:val="bottom"/>
            <w:gridSpan w:val="5"/>
          </w:tcPr>
          <w:p>
            <w:pPr>
              <w:jc w:val="center"/>
              <w:ind w:left="779"/>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Pr>
          <w:p>
            <w:pPr>
              <w:spacing w:after="0"/>
              <w:rPr>
                <w:sz w:val="18"/>
                <w:szCs w:val="18"/>
                <w:color w:val="auto"/>
              </w:rPr>
            </w:pPr>
          </w:p>
        </w:tc>
      </w:tr>
      <w:tr>
        <w:trPr>
          <w:trHeight w:val="33"/>
        </w:trPr>
        <w:tc>
          <w:tcPr>
            <w:tcW w:w="4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200" w:type="dxa"/>
            <w:vAlign w:val="bottom"/>
          </w:tcPr>
          <w:p>
            <w:pPr>
              <w:spacing w:after="0"/>
              <w:rPr>
                <w:sz w:val="20"/>
                <w:szCs w:val="20"/>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2011</w:t>
            </w:r>
          </w:p>
        </w:tc>
      </w:tr>
      <w:tr>
        <w:trPr>
          <w:trHeight w:val="33"/>
        </w:trPr>
        <w:tc>
          <w:tcPr>
            <w:tcW w:w="4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4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8"/>
              </w:rPr>
              <w:t>(units in thousands)</w:t>
            </w:r>
          </w:p>
        </w:tc>
        <w:tc>
          <w:tcPr>
            <w:tcW w:w="840" w:type="dxa"/>
            <w:vAlign w:val="bottom"/>
          </w:tcPr>
          <w:p>
            <w:pPr>
              <w:spacing w:after="0"/>
              <w:rPr>
                <w:sz w:val="18"/>
                <w:szCs w:val="18"/>
                <w:color w:val="auto"/>
              </w:rPr>
            </w:pPr>
          </w:p>
        </w:tc>
      </w:tr>
      <w:tr>
        <w:trPr>
          <w:trHeight w:val="270"/>
        </w:trPr>
        <w:tc>
          <w:tcPr>
            <w:tcW w:w="4200" w:type="dxa"/>
            <w:vAlign w:val="bottom"/>
          </w:tcPr>
          <w:p>
            <w:pPr>
              <w:ind w:left="40"/>
              <w:spacing w:after="0"/>
              <w:rPr>
                <w:sz w:val="20"/>
                <w:szCs w:val="20"/>
                <w:color w:val="auto"/>
              </w:rPr>
            </w:pPr>
            <w:r>
              <w:rPr>
                <w:rFonts w:ascii="Arial" w:cs="Arial" w:eastAsia="Arial" w:hAnsi="Arial"/>
                <w:sz w:val="16"/>
                <w:szCs w:val="16"/>
                <w:color w:val="auto"/>
              </w:rPr>
              <w:t>Meters</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3"/>
        </w:trPr>
        <w:tc>
          <w:tcPr>
            <w:tcW w:w="4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17,850</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17,920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19,570</w:t>
            </w:r>
          </w:p>
        </w:tc>
      </w:tr>
      <w:tr>
        <w:trPr>
          <w:trHeight w:val="237"/>
        </w:trPr>
        <w:tc>
          <w:tcPr>
            <w:tcW w:w="4200" w:type="dxa"/>
            <w:vAlign w:val="bottom"/>
          </w:tcPr>
          <w:p>
            <w:pPr>
              <w:ind w:left="380"/>
              <w:spacing w:after="0"/>
              <w:rPr>
                <w:sz w:val="20"/>
                <w:szCs w:val="20"/>
                <w:color w:val="auto"/>
              </w:rPr>
            </w:pPr>
            <w:r>
              <w:rPr>
                <w:rFonts w:ascii="Arial" w:cs="Arial" w:eastAsia="Arial" w:hAnsi="Arial"/>
                <w:sz w:val="16"/>
                <w:szCs w:val="16"/>
                <w:color w:val="auto"/>
              </w:rPr>
              <w:t>Advanced and smart</w:t>
            </w:r>
          </w:p>
        </w:tc>
        <w:tc>
          <w:tcPr>
            <w:tcW w:w="1160" w:type="dxa"/>
            <w:vAlign w:val="bottom"/>
          </w:tcPr>
          <w:p>
            <w:pPr>
              <w:jc w:val="right"/>
              <w:spacing w:after="0"/>
              <w:rPr>
                <w:sz w:val="20"/>
                <w:szCs w:val="20"/>
                <w:color w:val="auto"/>
              </w:rPr>
            </w:pPr>
            <w:r>
              <w:rPr>
                <w:rFonts w:ascii="Arial" w:cs="Arial" w:eastAsia="Arial" w:hAnsi="Arial"/>
                <w:sz w:val="16"/>
                <w:szCs w:val="16"/>
                <w:color w:val="auto"/>
              </w:rPr>
              <w:t>5,930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8,030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9,320</w:t>
            </w:r>
          </w:p>
        </w:tc>
      </w:tr>
      <w:tr>
        <w:trPr>
          <w:trHeight w:val="33"/>
        </w:trPr>
        <w:tc>
          <w:tcPr>
            <w:tcW w:w="4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2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25,950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50"/>
        </w:trPr>
        <w:tc>
          <w:tcPr>
            <w:tcW w:w="4200" w:type="dxa"/>
            <w:vAlign w:val="bottom"/>
          </w:tcPr>
          <w:p>
            <w:pPr>
              <w:ind w:left="720"/>
              <w:spacing w:after="0"/>
              <w:rPr>
                <w:sz w:val="20"/>
                <w:szCs w:val="20"/>
                <w:color w:val="auto"/>
              </w:rPr>
            </w:pPr>
            <w:r>
              <w:rPr>
                <w:rFonts w:ascii="Arial" w:cs="Arial" w:eastAsia="Arial" w:hAnsi="Arial"/>
                <w:sz w:val="16"/>
                <w:szCs w:val="16"/>
                <w:color w:val="auto"/>
              </w:rPr>
              <w:t>Advanced and smart</w:t>
            </w:r>
          </w:p>
        </w:tc>
        <w:tc>
          <w:tcPr>
            <w:tcW w:w="1160" w:type="dxa"/>
            <w:vAlign w:val="bottom"/>
          </w:tcPr>
          <w:p>
            <w:pPr>
              <w:jc w:val="right"/>
              <w:spacing w:after="0"/>
              <w:rPr>
                <w:sz w:val="20"/>
                <w:szCs w:val="20"/>
                <w:color w:val="auto"/>
              </w:rPr>
            </w:pPr>
            <w:r>
              <w:rPr>
                <w:rFonts w:ascii="Arial" w:cs="Arial" w:eastAsia="Arial" w:hAnsi="Arial"/>
                <w:sz w:val="16"/>
                <w:szCs w:val="16"/>
                <w:color w:val="auto"/>
              </w:rPr>
              <w:t>5,550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6,460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6,330</w:t>
            </w:r>
          </w:p>
        </w:tc>
      </w:tr>
      <w:tr>
        <w:trPr>
          <w:trHeight w:val="20"/>
        </w:trPr>
        <w:tc>
          <w:tcPr>
            <w:tcW w:w="4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Revenues decreased 11%, or $229.5 million, in 2013, compared with 2012. Revenues in 2013 were lower, primarily driven by the substantial completion of four of our five largest OpenWay projects in the Electricity segment in 2012 and by $14.6 million in the unfavorable net translation impact of operations denominated in foreign currencies, partially offset by an increase in Water revenues during the year. Revenues decreased 11%, or $255.9 million, in 2012, compared with 2011. Similar to 2013, revenues in 2012 were lower, primarily driven by several of our largest OpenWay projects nearing completion in 2012 in the Electricity and Gas segments and by $92.2 million in unfavorable net translation of our operations denominated in foreign currencies, partially offset by an increase in Water revenues during the year. A more detailed analysis of these fluctuations is provided in </w:t>
      </w:r>
      <w:r>
        <w:rPr>
          <w:rFonts w:ascii="Arial" w:cs="Arial" w:eastAsia="Arial" w:hAnsi="Arial"/>
          <w:sz w:val="16"/>
          <w:szCs w:val="16"/>
          <w:i w:val="1"/>
          <w:iCs w:val="1"/>
          <w:color w:val="auto"/>
        </w:rPr>
        <w:t>Operating Segment Results.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total revenues for the years ended December 31, 2013, 2012, and 2011. Our 10 largest customers accounted for 28%, 27%, and 33% of total revenues in 2013, 2012, and 2011.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Gross margin was 31.5% for 2013, compared with 32.8% in 2012. The decline was primarily the result of lower volumes in 2013 in both the Electricity and Gas segments, along with a less favorable mix of product sales in 2013 as compared with 2012 for all three segments and a higher warranty expense in the Gas segment. Additionally, we incurred a charge for increased costs associated with specific contract components within an OpenWay contract in North America. These decreases were partially offset by increased volumes in Water and benefits from our restructuring projects and manufacturing efficiencies. Gross margin was 32.8% in 2012, compared with 30.7% in 2011. The improvement was primarily the result of lower warranty costs in 2012 in each of the Electricity, Gas, and Water segments, which positively impacted gross margin by 170 basis points. Benefits from our restructuring projects and manufacturing efficiencies offset the impact of decreased volumes. A more detailed analysis of these fluctuations is provided in </w:t>
      </w:r>
      <w:r>
        <w:rPr>
          <w:rFonts w:ascii="Arial" w:cs="Arial" w:eastAsia="Arial" w:hAnsi="Arial"/>
          <w:sz w:val="16"/>
          <w:szCs w:val="16"/>
          <w:i w:val="1"/>
          <w:iCs w:val="1"/>
          <w:color w:val="auto"/>
        </w:rPr>
        <w:t>Operating Segment Results.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operating segments, refer to Item 8: “Financial Statements and Supplementary Data, Note 16: Segment Information” in this Annual Report on Form 10-K. The following tables and discussion highlight significant changes in trends or components of each operating segment.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Revenues</w:t>
            </w:r>
          </w:p>
        </w:tc>
        <w:tc>
          <w:tcPr>
            <w:tcW w:w="180" w:type="dxa"/>
            <w:vAlign w:val="bottom"/>
          </w:tcPr>
          <w:p>
            <w:pPr>
              <w:spacing w:after="0"/>
              <w:rPr>
                <w:sz w:val="21"/>
                <w:szCs w:val="21"/>
                <w:color w:val="auto"/>
              </w:rPr>
            </w:pPr>
          </w:p>
        </w:tc>
        <w:tc>
          <w:tcPr>
            <w:tcW w:w="15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Electricity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836,553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(18)%</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1,024,340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6"/>
              </w:rPr>
              <w:t>(17)%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1,239,428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Gas</w:t>
            </w:r>
          </w:p>
        </w:tc>
        <w:tc>
          <w:tcPr>
            <w:tcW w:w="1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570,297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627,193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4"/>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672,999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Water</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541,878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526,645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8"/>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521,697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720"/>
              <w:spacing w:after="0"/>
              <w:rPr>
                <w:sz w:val="20"/>
                <w:szCs w:val="20"/>
                <w:color w:val="auto"/>
              </w:rPr>
            </w:pPr>
            <w:r>
              <w:rPr>
                <w:rFonts w:ascii="Arial" w:cs="Arial" w:eastAsia="Arial" w:hAnsi="Arial"/>
                <w:sz w:val="14"/>
                <w:szCs w:val="14"/>
                <w:color w:val="auto"/>
              </w:rPr>
              <w:t>Total revenues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1,948,728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(11)%</w:t>
            </w:r>
          </w:p>
        </w:tc>
        <w:tc>
          <w:tcPr>
            <w:tcW w:w="280" w:type="dxa"/>
            <w:vAlign w:val="bottom"/>
            <w:gridSpan w:val="2"/>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2,178,178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6"/>
              </w:rPr>
              <w:t>(11)%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2,434,124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10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88"/>
              </w:rPr>
              <w:t>Gross Profit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Gross Margin</w:t>
            </w: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i w:val="1"/>
                <w:iCs w:val="1"/>
                <w:color w:val="auto"/>
                <w:w w:val="88"/>
              </w:rPr>
              <w:t>Gross Profit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93"/>
              </w:rPr>
              <w:t>Gross Margin</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88"/>
              </w:rPr>
              <w:t>Gross Profit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i w:val="1"/>
                <w:iCs w:val="1"/>
                <w:color w:val="auto"/>
                <w:w w:val="90"/>
              </w:rPr>
              <w:t>Gross Margin</w:t>
            </w:r>
          </w:p>
        </w:tc>
        <w:tc>
          <w:tcPr>
            <w:tcW w:w="0" w:type="dxa"/>
            <w:vAlign w:val="bottom"/>
          </w:tcPr>
          <w:p>
            <w:pPr>
              <w:spacing w:after="0"/>
              <w:rPr>
                <w:sz w:val="1"/>
                <w:szCs w:val="1"/>
                <w:color w:val="auto"/>
              </w:rPr>
            </w:pPr>
          </w:p>
        </w:tc>
      </w:tr>
      <w:tr>
        <w:trPr>
          <w:trHeight w:val="250"/>
        </w:trPr>
        <w:tc>
          <w:tcPr>
            <w:tcW w:w="2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Gross Profit and Margin</w:t>
            </w:r>
          </w:p>
        </w:tc>
        <w:tc>
          <w:tcPr>
            <w:tcW w:w="180" w:type="dxa"/>
            <w:vAlign w:val="bottom"/>
          </w:tcPr>
          <w:p>
            <w:pPr>
              <w:spacing w:after="0"/>
              <w:rPr>
                <w:sz w:val="21"/>
                <w:szCs w:val="21"/>
                <w:color w:val="auto"/>
              </w:rPr>
            </w:pPr>
          </w:p>
        </w:tc>
        <w:tc>
          <w:tcPr>
            <w:tcW w:w="15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Electricity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218,913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26.2%</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295,005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0"/>
              </w:rPr>
              <w:t>28.8%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323,632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5"/>
              </w:rPr>
              <w:t>26.1%</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Gas</w:t>
            </w:r>
          </w:p>
        </w:tc>
        <w:tc>
          <w:tcPr>
            <w:tcW w:w="1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207,915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36.5%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235,391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0"/>
              </w:rPr>
              <w:t>37.5%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254,943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color w:val="auto"/>
                <w:w w:val="95"/>
              </w:rPr>
              <w:t>37.9%</w:t>
            </w: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Water</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187,705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34.6%</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184,751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0"/>
              </w:rPr>
              <w:t>35.1%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167,883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5"/>
              </w:rPr>
              <w:t>32.2%</w:t>
            </w:r>
          </w:p>
        </w:tc>
        <w:tc>
          <w:tcPr>
            <w:tcW w:w="0" w:type="dxa"/>
            <w:vAlign w:val="bottom"/>
          </w:tcPr>
          <w:p>
            <w:pPr>
              <w:spacing w:after="0"/>
              <w:rPr>
                <w:sz w:val="1"/>
                <w:szCs w:val="1"/>
                <w:color w:val="auto"/>
              </w:rPr>
            </w:pPr>
          </w:p>
        </w:tc>
      </w:tr>
      <w:tr>
        <w:trPr>
          <w:trHeight w:val="243"/>
        </w:trPr>
        <w:tc>
          <w:tcPr>
            <w:tcW w:w="2620" w:type="dxa"/>
            <w:vAlign w:val="bottom"/>
          </w:tcPr>
          <w:p>
            <w:pPr>
              <w:ind w:left="720"/>
              <w:spacing w:after="0"/>
              <w:rPr>
                <w:sz w:val="20"/>
                <w:szCs w:val="20"/>
                <w:color w:val="auto"/>
              </w:rPr>
            </w:pPr>
            <w:r>
              <w:rPr>
                <w:rFonts w:ascii="Arial" w:cs="Arial" w:eastAsia="Arial" w:hAnsi="Arial"/>
                <w:sz w:val="14"/>
                <w:szCs w:val="14"/>
                <w:color w:val="auto"/>
              </w:rPr>
              <w:t>Total gross profit and margin</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614,533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31.5%</w:t>
            </w:r>
          </w:p>
        </w:tc>
        <w:tc>
          <w:tcPr>
            <w:tcW w:w="280" w:type="dxa"/>
            <w:vAlign w:val="bottom"/>
            <w:gridSpan w:val="2"/>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715,147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0"/>
              </w:rPr>
              <w:t>32.8%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746,458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color w:val="auto"/>
                <w:w w:val="95"/>
              </w:rPr>
              <w:t>30.7%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10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center"/>
              <w:ind w:right="48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04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jc w:val="center"/>
              <w:ind w:right="4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3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60" w:type="dxa"/>
            <w:vAlign w:val="bottom"/>
          </w:tcPr>
          <w:p>
            <w:pPr>
              <w:spacing w:after="0"/>
              <w:rPr>
                <w:sz w:val="13"/>
                <w:szCs w:val="13"/>
                <w:color w:val="auto"/>
              </w:rPr>
            </w:pPr>
          </w:p>
        </w:tc>
        <w:tc>
          <w:tcPr>
            <w:tcW w:w="1480" w:type="dxa"/>
            <w:vAlign w:val="bottom"/>
            <w:gridSpan w:val="3"/>
          </w:tcPr>
          <w:p>
            <w:pPr>
              <w:jc w:val="center"/>
              <w:ind w:right="48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180" w:type="dxa"/>
            <w:vAlign w:val="bottom"/>
          </w:tcPr>
          <w:p>
            <w:pPr>
              <w:jc w:val="center"/>
              <w:ind w:right="108"/>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88"/>
              </w:rPr>
              <w:t>Income (Loss)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90"/>
              </w:rPr>
              <w:t>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i w:val="1"/>
                <w:iCs w:val="1"/>
                <w:color w:val="auto"/>
                <w:w w:val="90"/>
              </w:rPr>
              <w:t>Income (Loss)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43"/>
        </w:trPr>
        <w:tc>
          <w:tcPr>
            <w:tcW w:w="2620" w:type="dxa"/>
            <w:vAlign w:val="bottom"/>
          </w:tcPr>
          <w:p>
            <w:pPr>
              <w:ind w:left="40"/>
              <w:spacing w:after="0" w:line="143" w:lineRule="exact"/>
              <w:rPr>
                <w:sz w:val="20"/>
                <w:szCs w:val="20"/>
                <w:color w:val="auto"/>
              </w:rPr>
            </w:pPr>
            <w:r>
              <w:rPr>
                <w:rFonts w:ascii="Arial" w:cs="Arial" w:eastAsia="Arial" w:hAnsi="Arial"/>
                <w:sz w:val="14"/>
                <w:szCs w:val="14"/>
                <w:b w:val="1"/>
                <w:bCs w:val="1"/>
                <w:i w:val="1"/>
                <w:iCs w:val="1"/>
                <w:color w:val="auto"/>
              </w:rPr>
              <w:t>Segment Operating Income (Loss)</w:t>
            </w:r>
          </w:p>
        </w:tc>
        <w:tc>
          <w:tcPr>
            <w:tcW w:w="180" w:type="dxa"/>
            <w:vAlign w:val="bottom"/>
          </w:tcPr>
          <w:p>
            <w:pPr>
              <w:spacing w:after="0"/>
              <w:rPr>
                <w:sz w:val="12"/>
                <w:szCs w:val="12"/>
                <w:color w:val="auto"/>
              </w:rPr>
            </w:pPr>
          </w:p>
        </w:tc>
        <w:tc>
          <w:tcPr>
            <w:tcW w:w="15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and Operating Margin</w:t>
            </w:r>
          </w:p>
        </w:tc>
        <w:tc>
          <w:tcPr>
            <w:tcW w:w="18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Electricity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(235,908)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(28)%</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8"/>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6"/>
              </w:rPr>
              <w:t>(18)%</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Gas</w:t>
            </w:r>
          </w:p>
        </w:tc>
        <w:tc>
          <w:tcPr>
            <w:tcW w:w="1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83,882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110,557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9"/>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105,453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Water</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63,252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85"/>
              </w:rPr>
              <w:t>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(303,772)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6"/>
              </w:rPr>
              <w:t>(58)%</w:t>
            </w: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Corporate unallocated</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(46,407)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(42,580)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Company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(135,181)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151,126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8"/>
              </w:rPr>
              <w:t>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(459,183)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6"/>
              </w:rPr>
              <w:t>(19)%</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- 2013 vs. 2012</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Electricity revenues for 2013 decreased by $187.8 million, or 18%, compared with 2012 revenues. The decrease was primarily driven by $246.3 million in lower revenue of our five largest OpenWay projects in North America, as four of these projects were substantially completed during 2012. Lower prepayment meter shipments drove a decrease of $24.8 million in our Asia/Pacific region. These decreases were partially offset by $81.5 million in increased products and services in North America, apart from the five largest OpenWay projects, as well as by $27.3 million in increased product shipments and services in EMEA. The net translation effect of our operations in foreign currencies negatively impacted 2013 revenues by $18.1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 customer represented more than 10% of the Electricity operating segment revenues in 2013.</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- 2012 vs. 2011</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Electricity revenues for 2012 decreased by $215.1 million, or 17%, compared with 2011 revenues. The decrease was primarily driven by $207.6 million in lower OpenWay project revenue in North America, as four of our five largest OpenWay projects were substantially completed during 2012. This revenue decrease in North America was partially offset by $21.8 million of revenue increase as a result of the SmartSynch acquisition in May 2012. Lower prepayment meter shipments drove a decrease of $27.3 million in our Asia/Pacific region, which was partially offset by $23.0 million in higher revenue from increased product shipments and service in EMEA. The net translation effect of our operations in foreign currencies negatively impacted 2012 revenues by $34.4 million.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One customer individually represented 17% of the Electricity operating segment revenues in 2012, while two customers individually represented 15% and 14% of the Electricity operating segment revenues in 2011.</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- 2013 vs. 2012</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was 26.2% in 2013, compared with 28.8% in 2012. The lower margin was primarily driven by decreased volume in 2013 and less favorable product mix in all regions. Additionally, in 2013, we recognized a charge for increased costs associated with specific contract components with an OpenWay project in North America.</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- 2012 vs. 2011</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Gross margin was 28.8% in 2012, compared with 26.1% in 2011. The improved margin was primarily driven by $19.8 million in lower warranty expense in 2012, as well as improved manufacturing efficiencies, global procurement, and the realization of the benefits of our restructuring activities.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- 2013 vs. 2012</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Electricity operating expenses increased by $184.6 million, or 68.3%, in 2013, primarily due to the goodwill impairment of $173.2 million recognized in 2013 for the Electricity reporting unit and $23.9 million in additional restructuring expenses in 2013. We reduced sales and marketing expense by $12.1 million as a result of our restructuring projects, offset by $5.6 million in higher litigation expense within general and administrative expense. Operating expenses for sales and marketing, product development, general and administrative, and amortization of intangible assets as a percentage of revenues were 31% in 2013 and 26% in 2012.</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- 2012 vs. 2011</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Electricity operating expenses decreased by $271.7 million million or 50%, in 2012 primarily due to a goodwill impairment charge of $254.7 million in 2011 and a decrease in restructuring charges of $25.2 million associated with the Electricity reporting unit between 2011 and 2012. This was partially offset by an increase in product development expenses over the prior year by $9.6 million, primarily as the result of the development of new and enhanced products and in preparation for sales opportunities in developing markets. Operating expenses for sales and marketing, product development, general and administrative, and amortization of intangible assets as a percentage of revenues were 26% in 2012 and 21% in 2011.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- 2013 vs. 2012</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Gas revenues decreased by $56.9 million, or 9%, in 2013, compared with 2012. Our Gas business continues to experience period-to-period variation in customer contracts and purchases. The decrease was driven by $54.2 million in lower product sales in EMEA and $18.7 million in lower communication module shipments and lower service revenue in North America, the effect of which partially offset by $21.3 million in increased North America gas meter shipments, particularly smart meters.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Gas operating segment revenues in 2013, 2012, and 2011.</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- 2012 vs. 2011</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Gas revenues decreased by $45.8 million, or 7%, in 2012, compared with 2011, including $27.7 million for the unfavorable translation effect of our revenues denominated in foreign currencies. The decrease was driven by lower communication module shipments and lower service revenue, partially offset by increased gas meter shipments, particularly smart meters. The overall decrease is due to typical period-to-period fluctuations in timing of customer projects.</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- 2013 vs. 2012</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36.5% in 2013, compared with 37.5% in 2012. The 100 basis point decline in gross margin was primarily the result of less favorable product mix and higher warranty costs.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- 2012 vs. 2011</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37.5% in 2012, compared with 37.9% in 2011. Decreased revenues for smart gas communication modules and non-OpenWay services were partially offset by lower warranty charges in 2012.</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- 2013 vs. 2012</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Gas operating expenses decreased by $801,000, or 1%, in 2013. Lower sales and marketing and product development expenses were partially offset by higher general and administrative expenses. Operating expenses for sales and marketing, product development, general and administrative, and amortization of intangible assets as a percentage of revenues, were 21% in 2013 and 20% in 2012.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- 2012 vs. 2011</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Gas operating expenses decreased by $24.7 million, or 16% in 2012, primarily due to a decrease in restructuring expenses of $25.4 million. This was partially offset by increases in product development for new and enhanced products. Operating expenses for sales and marketing, product development, general and administrative, and amortization of intangible assets as a percentage of revenues were 20% in 2012 and 18% in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- 2013 vs. 2012</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revenues of $15.2 million, or 3%, in 2013 was driven primarily by growth in projects in North America of $10.2 million. Latin America experienced growth of $7.0 million, but was negatively impacted by foreign currency translation of $4.3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Water operating segment revenues in 2013, 2012, and 2011.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- 2012 vs. 2011</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Revenues increased $4.9 million, or 1%, in 2012, while the translation effect of a stronger U.S. dollar against most foreign currencies during 2012 negatively impacted revenues by 6%. All regions generated revenue growth during 2012.</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- 2013 vs. 2012</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Water gross margin decreased to 34.6% in 2013, compared with 35.1% in 2012, driven predominantly by higher service revenues in North America, which have a lower margin, and partially offset by favorable product mix in EMEA.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- 2012 vs. 2011</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Water gross margin increased to 35.1% in 2012, compared with 32.2% in 2011, primarily driven by $12.4 million in lower warranty expense in 2012 and favorable product mix, which were partially offset by lower margin services for a large project in North America.</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- 2013 vs. 2012</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2013, Water operating expenses were $124.5 million compared with $125.6 million in 2012. Decreases of $5.9 million in sales and marketing expense and $2.1 million in lower amortization of intangible expense were partially offset by increases in product development, general and administrative, and restructuring expenses. Operating expenses for sales and marketing, product development, general and administrative, and amortization of intangible assets as percentages of revenues were 22% in 2013, compared with 24% and 2012.</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- 2012 vs. 2011</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2012, Water operating expenses were $125.6 million, compared with $471.7 million in 2011 including the favorable impact of foreign exchange rates of $7.6 million. Operating expenses in 2011 included a goodwill impairment charge of $330.1 million and $15.9 million in higher restructuring costs. Sales and marketing expenses in 2012 were $6.2 million higher than in 2011 due to investments in preparation for opportunities in developing markets. Product development expenses in 2012 were $4.5 million higher than in 2011 as the result of development of new and enhanced products to meet the demands of various markets. Operating expenses for sales and marketing, product development, general and administrative, and amortization of intangible assets as percentages of revenues were 24% in 2012 and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Operating expenses not directly associated with an operating segment are classified as “Corporate unallocated.” These expenses increased 7% to $46.4 million in 2013, compared with 2012, primarily due to $2.7 million in increased restructuring expenses in 2013, as well as $3.8 million in sales and marketing costs, which are no longer allocated to the operating segments. These increases were partially offset by a decline in general and administrative expenses, including $3.0 million in acquisition-related expenses incurred in 2012 that did not recur in 2013.</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Corporate unallocated expenses increased 2% to $43.5 million in 2012, compared with 2011, primarily due to acquisition related expenses for the SmartSynch acquisition, for management training and development costs in connection with the implementation of a new organizational structure, and for preliminary planning costs, prior to application development, for our global enterprise resource planning (ERP) software initiative. These increases were partially offset by lower corporate IT related and marketing spending.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4"/>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Revenues</w:t>
            </w:r>
          </w:p>
        </w:tc>
        <w:tc>
          <w:tcPr>
            <w:tcW w:w="20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Revenues</w:t>
            </w:r>
          </w:p>
        </w:tc>
        <w:tc>
          <w:tcPr>
            <w:tcW w:w="180" w:type="dxa"/>
            <w:vAlign w:val="bottom"/>
          </w:tcPr>
          <w:p>
            <w:pPr>
              <w:spacing w:after="0"/>
              <w:rPr>
                <w:sz w:val="18"/>
                <w:szCs w:val="18"/>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7"/>
              </w:rPr>
              <w:t>Revenues</w:t>
            </w:r>
          </w:p>
        </w:tc>
      </w:tr>
      <w:tr>
        <w:trPr>
          <w:trHeight w:val="33"/>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180,371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197,603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185,105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176,019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178,653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161,305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7%</w:t>
            </w: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142,559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138,290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142,908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42,019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47,810</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63,394</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3%</w:t>
            </w: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35,497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68,082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173,249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584,847</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24%</w:t>
            </w:r>
          </w:p>
        </w:tc>
      </w:tr>
      <w:tr>
        <w:trPr>
          <w:trHeight w:val="33"/>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749,714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564,021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1,205,641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vs. 2012</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Operating expenses increased $185.7 million in 2013, compared with 2012. The 2013 operating expenses included $173.2 million in goodwill impairment charges associated with the Electricity reporting unit, as well as $35.5 million in restructuring expenses, which represented the majority of total expected expenses under our 2013 Projects initiated in the third quarter of 2013. Operating expenses for sales and marketing, product development, general and administrative, and amortization of intangible assets represented 28% of revenues in 2013, compared with 26% in 2012. Sales and marketing and product development expenses decreased in 2013 compared with 2012, primarily due to our restructuring activities under the 2011 Projects that were completed in June 2013. In addition, scheduled decreases in intangible asset amortization resulted in $5.8 million in lower operating expenses. These decreases were partially offset by an increase in general and administrative expenses of $4.3 million, primarily as a result of higher litigation expense.</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2012 vs. 2011</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Operating expenses decreased $641.6 million in 2012, compared with 2011. The 2011 operating expenses included $584.8 million of goodwill impairment charges associated with the Electricity and Water reporting units, as well as $68.1 million of restructuring expenses, which represented the majority of total expected expenses under our restructuring project initiated in 2011. Operating expenses for sales and marketing, product development, general and administrative, and amortization of intangible assets represented 26% of revenues in 2012, compared with 23% in 2011. Sales and marketing and product development expenses increased in 2012 compared with 2011, primarily due to increased product development costs for new and enhanced products and investments in targeted geographies in anticipation of sales opportunities. The increase was partially offset by favorable foreign currency translation effects and scheduled decreases in amortization of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Year Ended December 31,</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center"/>
              <w:ind w:right="219"/>
              <w:spacing w:after="0"/>
              <w:rPr>
                <w:sz w:val="20"/>
                <w:szCs w:val="20"/>
                <w:color w:val="auto"/>
              </w:rPr>
            </w:pPr>
            <w:r>
              <w:rPr>
                <w:rFonts w:ascii="Arial" w:cs="Arial" w:eastAsia="Arial" w:hAnsi="Arial"/>
                <w:sz w:val="16"/>
                <w:szCs w:val="16"/>
                <w:b w:val="1"/>
                <w:bCs w:val="1"/>
                <w:color w:val="auto"/>
                <w:w w:val="95"/>
              </w:rPr>
              <w:t>2012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2011</w:t>
            </w:r>
          </w:p>
        </w:tc>
      </w:tr>
      <w:tr>
        <w:trPr>
          <w:trHeight w:val="33"/>
        </w:trPr>
        <w:tc>
          <w:tcPr>
            <w:tcW w:w="3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862</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(31,079)</w:t>
            </w:r>
          </w:p>
        </w:tc>
      </w:tr>
      <w:tr>
        <w:trPr>
          <w:trHeight w:val="3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(5,715)</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(6,651)</w:t>
            </w:r>
          </w:p>
        </w:tc>
      </w:tr>
      <w:tr>
        <w:trPr>
          <w:trHeight w:val="33"/>
        </w:trPr>
        <w:tc>
          <w:tcPr>
            <w:tcW w:w="35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(42,583)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Interest rates have continued to remain low. Interest income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2013 included interest recognized on certain deposits with governmental entities related to tax contingencies.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slightly from 2012 due to the impact of interest rate swaps which became effective during the third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2013 and a higher interest rate margin on the credit facility, partially offset by a lower principal balance of debt outstanding. The 2012 interest expense declined significantly due to the lower principal balance as well as lower interest rates beginning in August 2011. Total debt was $378.8 million, $417.5 million, and $452.5 million at December 31, 2013, 2012, and 2011, respectively. In August 2011, we refinanced our credit facility. The interest rate on our 2011 credit facility was 1.67% at December 31, 2013 and 1.47% at December 31, 2012. The weighted average interest rate on the borrowings under our 2007 credit facility at the time of refinancing (August 2011) was 4.75% (including the effect of an interest rate swap).</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Amortization of prepaid debt fees</w:t>
      </w:r>
      <w:r>
        <w:rPr>
          <w:rFonts w:ascii="Arial" w:cs="Arial" w:eastAsia="Arial" w:hAnsi="Arial"/>
          <w:sz w:val="18"/>
          <w:szCs w:val="18"/>
          <w:color w:val="auto"/>
        </w:rPr>
        <w:t>: Amortization of prepaid debt fees in 2013 was consistent with the 2012 level, following the refinancing of the 2007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 2011, which resulted in a $2.4 million write-off of prepaid debt fees. We incurred lower prepaid debt fees with the 2011 credit facility. Amortization of prepaid debt fees fluctuates each year dependent upon the timing of deb payments. When debt is repaid prior to the contractual due date, the related portion of unamortized prepaid debt fees is written-off. Refer to Item 8: “Financial Statements and Supplementary Data, Note 6: Debt” in this Annual Report on Form 10-K for additional details related to our long-term borrowings.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Other expenses, net, consist primarily of unrealized and realized foreign currency gains and losses due to balances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 a currency other than the reporting entity's functional currency. Foreign currency losses, net of hedging, were $3.3 million in 2013, compared with net foreign currency losses of $3.8 million in 2012 and $4.7 million in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5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33"/>
        </w:trPr>
        <w:tc>
          <w:tcPr>
            <w:tcW w:w="5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105,421</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205,090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252,358</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(56,771)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(125,445)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(78,741)</w:t>
            </w:r>
          </w:p>
        </w:tc>
      </w:tr>
      <w:tr>
        <w:trPr>
          <w:trHeight w:val="33"/>
        </w:trPr>
        <w:tc>
          <w:tcPr>
            <w:tcW w:w="5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(57,438)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(209,453)</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33"/>
        </w:trPr>
        <w:tc>
          <w:tcPr>
            <w:tcW w:w="5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(11,606)</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(36,391)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cash equivalents at December 31, 2013 were $124.8 million, compared with $136.4 million at December 31, 2012. The decrease in cash and cash equivalents was primarily the result of lower net income, partially offset by decreases in business acquisitions and repurchases of common stock in 2013, compared with 2012. Cash and cash equivalents at December 31, 2012 were comparable to the prior year due to several offsetting factors, including lower net repayments on debt in 2012, compared with 2011, partially offset by increases in business acquisitions and repurchases of common stock and a decrease in cash provided by operating activities in 2012.</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provided by operating activities in 2013 was $99.7 million lower than in 2012. This decline was primarily due to the decrease in net income of $81.6 million, exclusive of the impact of the goodwill impairment charge, and an increase in deferred taxes of $21.0 million.</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provided by operating activities in 2012 was $47.3 million lower, compared with 2011. This decline was primarily due to: (1) a decline in operating income, exclusive of non-cash items, such as goodwill impairment, depreciation and amortization, and non-cash restructuring expense, and (2) the net increase in working capital balances of $23.9 million in 2012, compared with a net decrease in working capital balances of $4.7 million in 2011.</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used in investing activities in 2013 was $68.7 million lower than in 2012. This decrease in investing activities during 2013 was the result of a reduction of $78.2 million in business acquisition payments. In 2013, business acquisition-related payments consisted of contingent payments related to the 2011 Asais acquisition. Business acquisition-related payments in 2012 included payments for the acquisition of SmartSynch. The decrease was partially offset by an increase in acquisitions of property, plant, and equipment of $9.5 million in 2013.</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in 2012 was $46.7 million higher, compared with 2011. The increase in investing activities during 2012 was the result of business acquisitions of $79.0 million, primarily related to the SmartSynch acquisition, as compared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business acquisitions of $20.1 million in 2011. The increase in cash used in business acquisitions in 2012 was partially offset by a decrease in acquisitions of property, plant, and equipment to $50.5 million in 2012, compared with $60.1 million in 2011.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used in financing activities in 2013 was $20.1 million lower than in 2012, primarily as a result of a decrease of $20.5 million in repurchases of common stock in 2013.</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in 2012 was $131.9 million lower compared with 2011. During 2012, net repayments on borrowings were $35.0 million, compared with $178.1 million in 2011. On October 24, 2011, our Board of Directors authorized a twelve-month repurchase program of up to $100 million of our common stock, which, on September 13, 2012, was extended until February 15, 2013. During 2012, we repurchased $47.4 million of our common stock, compared with $29.4 million in 2011.</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exchange rates on the cash balances of currencies held in foreign denominations resulted in a decrease of $2.8 million, an increase of $1.2 million, and a decrease of $555,000 in 2013, 2012, and 2011, respectively. Our primary foreign currency exposure relates to non-U.S. dollar denominated transactions in our international subsidiary operations, the most significant of which is the euro.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December 31, 2013 and December 31, 2012 that we believe are reasonably likely to have a current or future effect on our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about contractual obligations and commitments: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2013, as well as an estimate of the timing in which these obligations are expected to be satisfied.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Less than</w:t>
            </w:r>
          </w:p>
        </w:tc>
        <w:tc>
          <w:tcPr>
            <w:tcW w:w="10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Beyond</w:t>
            </w: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1 year</w:t>
            </w:r>
          </w:p>
        </w:tc>
        <w:tc>
          <w:tcPr>
            <w:tcW w:w="1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years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5 years</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3"/>
        </w:trPr>
        <w:tc>
          <w:tcPr>
            <w:tcW w:w="47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271,424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126,853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124,728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52,691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11,710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7,155</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Purchase and service commitments</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205,377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203,505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 reflected on the balance sheet under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4700" w:type="dxa"/>
            <w:vAlign w:val="bottom"/>
            <w:shd w:val="clear" w:color="auto" w:fill="CCEEFF"/>
          </w:tcPr>
          <w:p>
            <w:pPr>
              <w:ind w:left="120"/>
              <w:spacing w:after="0" w:line="239" w:lineRule="exact"/>
              <w:rPr>
                <w:sz w:val="20"/>
                <w:szCs w:val="20"/>
                <w:color w:val="auto"/>
              </w:rPr>
            </w:pPr>
            <w:r>
              <w:rPr>
                <w:rFonts w:ascii="Arial" w:cs="Arial" w:eastAsia="Arial" w:hAnsi="Arial"/>
                <w:sz w:val="16"/>
                <w:szCs w:val="16"/>
                <w:color w:val="auto"/>
              </w:rPr>
              <w:t>generally accepted accounting principles</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91,999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16,361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31,324</w:t>
            </w: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748,344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248,009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429,896</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31,960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38,479</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Borrowings are disclosed within Item 8: “Financial Statements and Supplementary Data, Note 6: Debt” included in this Annual Report on Form 10-K, with the addition of estimated interest expense but not including the amortization of prepaid debt fees.</w:t>
      </w:r>
    </w:p>
    <w:p>
      <w:pPr>
        <w:spacing w:after="0" w:line="203" w:lineRule="exact"/>
        <w:rPr>
          <w:rFonts w:ascii="Arial" w:cs="Arial" w:eastAsia="Arial" w:hAnsi="Arial"/>
          <w:sz w:val="25"/>
          <w:szCs w:val="25"/>
          <w:color w:val="auto"/>
          <w:vertAlign w:val="superscript"/>
        </w:rPr>
      </w:pPr>
    </w:p>
    <w:p>
      <w:pPr>
        <w:jc w:val="both"/>
        <w:ind w:left="660" w:right="20" w:hanging="652"/>
        <w:spacing w:after="0" w:line="22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Operating lease obligations are disclosed in Item 8: “Financial Statements and Supplementary Data, Note 12: Commitments and Contingencies” included in this Annual Report on Form 10-K and do not include common area maintenance charges, real estate taxes, and insurance charges for which we are obligated.</w:t>
      </w:r>
    </w:p>
    <w:p>
      <w:pPr>
        <w:spacing w:after="0" w:line="203" w:lineRule="exact"/>
        <w:rPr>
          <w:rFonts w:ascii="Arial" w:cs="Arial" w:eastAsia="Arial" w:hAnsi="Arial"/>
          <w:sz w:val="25"/>
          <w:szCs w:val="25"/>
          <w:color w:val="auto"/>
          <w:vertAlign w:val="superscript"/>
        </w:rPr>
      </w:pPr>
    </w:p>
    <w:p>
      <w:pPr>
        <w:jc w:val="both"/>
        <w:ind w:left="660" w:hanging="652"/>
        <w:spacing w:after="0" w:line="268" w:lineRule="auto"/>
        <w:tabs>
          <w:tab w:leader="none" w:pos="66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We enter into standard purchase orders in the ordinary course of business that typically obligate us to purchase materials and other items. Purchase orders can vary in terms, which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2013 if the commitments were canceled.</w:t>
      </w:r>
    </w:p>
    <w:p>
      <w:pPr>
        <w:spacing w:after="0" w:line="181" w:lineRule="exact"/>
        <w:rPr>
          <w:rFonts w:ascii="Arial" w:cs="Arial" w:eastAsia="Arial" w:hAnsi="Arial"/>
          <w:sz w:val="22"/>
          <w:szCs w:val="22"/>
          <w:color w:val="auto"/>
          <w:vertAlign w:val="superscript"/>
        </w:rPr>
      </w:pPr>
    </w:p>
    <w:p>
      <w:pPr>
        <w:jc w:val="both"/>
        <w:ind w:left="660" w:hanging="652"/>
        <w:spacing w:after="0" w:line="22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Other long-term liabilities consist of warranty obligations, estimated pension benefit payments, and other obligations. Estimated pension benefit payments include amounts from 2015-2023. Long-term unrecognized tax benefits totaling $23.6 million (net of pre-payments), which include accrued interest and penalties, are not included in the above contractual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spacing w:after="0" w:line="304" w:lineRule="auto"/>
        <w:rPr>
          <w:sz w:val="20"/>
          <w:szCs w:val="20"/>
          <w:color w:val="auto"/>
        </w:rPr>
      </w:pPr>
      <w:r>
        <w:rPr>
          <w:rFonts w:ascii="Arial" w:cs="Arial" w:eastAsia="Arial" w:hAnsi="Arial"/>
          <w:sz w:val="18"/>
          <w:szCs w:val="18"/>
          <w:color w:val="auto"/>
        </w:rPr>
        <w:t>obligations and commitments table as we cannot reliably estimate the period of cash settlement with the respective taxing authorities. Additionally, because the amount and timing of the future cash outflows are uncertain, deferred revenue totaling $32.7 million, which includes deferred revenue related to extended warranty guarantees, is not included in the table. For further information on defined benefit pension plans, income taxes, and warranty obligations and deferred revenue for extended warranties, see Item 8: "Financial Statements and Supplementary Data," Notes 8, 11, and 12, respectively, included in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$344.4 million at December 31, 2013, compared with $353.6 million at December 31, 2012.</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credit facility consists of a $300 million U.S. dollar term loan and a multicurrency revolving line of credit (the revolver) with a principal amount of up to $660 million. At December 31, 2013, $120 million was outstanding under the revolver, and $49.5 million was utilized by outstanding standby letters of credit, resulting in $490.5 million available for additional borrowings.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For further description of the term loan and the revolver under our credit facility, refer to Item 8: “Financial Statements and Supplementary Data, Note 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Debt” included in this Annual Report on Form 10-K.</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8: “Financial Statements and Supplementary Data, Note 12: Commitments and Contingencies” included in this Annual Report on Form 10-K.</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8, 2013, our Board of Directors authorized a repurchase program of up to $50 million in shares of our common stock through March 7, 2014. Repurchases are made in the open market or in privately negotiated transactions and in accordance with applicable securities laws. Depending on market conditions and other factors, these repurchases may be commenced or suspended from time to time without prior notice. From March 8, 2013 through December 31, 2013, we repurchased approximately 645,000 shares of our common stock, totaling $27.0 million, leaving $23.0 million remaining under the repurchase program. Refer to Item 5: "Market for Registrant's Common Equity, Related Stockholder Matters and Issuer Purchases of Equity Securities" and Item 8: "Financial Statements and Supplementary Data, Note 2: Earnings (Loss) Per Share and Capital Structure" for additional information related to our current share repurchase program.</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7, 2014, Itron's Board of Directors authorized a new repurchase program of up to $50 million of our common stock over a 12-month period, which will take effect following the expiration of the current stock repurchase program on March 7, 2014.</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third quarter of 2013, we announced the approval of projects to restructure our operations to improve profitability and increase efficiencies. We began implementing these projects in the third quarter of 2013, and we expect to substantially complete these projects by December 31, 2014.</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expected costs were approximately $31.3 million as of December 31, 2013. This is an increase of approximately $2.2 million from the total expected costs at September 30, 2013. This increase was the result of asset impairments recognized at a manufacturing site to be closed and a small increase in the total headcount reduction.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substantial portion of the total expected restructuring charges was recognized in the second half of 2013, and $36.3 million was accrued at December 31, 2013, of which $30.3 million is expected to be paid over the next 12 months. We have begun to realize benefits from our restructuring projects during 2013, and we expect full realization of the cost savings by the end of 2014 and into 2015. Certain projects are subject to a variety of labor and employment laws, rules, and regulations that could result in a delay in implementing projects at some locations. Real estate market conditions may impact the timing of our ability to sell some of the manufacturing facilities we have designated for closure and disposal. This may delay the completion of the restructuring projects beyond December 31, 2014. For further details regarding our restructuring activities, refer to Item 8: "Financial Statements and Supplementary Data, Note 13: Restructuring" included in this Annual Report on Form 10-K.</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tax provision (benefit) as a percentage of income (loss) before tax typically differs from the U.S. federal statutory rate of 35%. Changes in our actual tax rate are subject to several factors, including fluctuations in operating results, new or revised tax legislation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accounting pronouncements, changes in the level of business in domestic and foreign jurisdictions, tax credits (including research and development and foreign tax), state income taxes, adjustments to valuation allowances, and interest expense and penalties related to uncertain tax positions, among other items. Changes in tax laws, valuation allowances, and unanticipated tax liabilities could significantly impact our tax rate.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tax benefit as a percentage of loss before tax was 2.5% for 2013. Our actual tax rate differed from the 35% U.S. federal statutory tax rate primarily due to the following items which decreased the tax benefit: (1) nondeductible portion of the goodwill impairment; (2) increase in valuation allowance related to deferred tax assets in France for which we do not anticipate future realization; and (3) disallowed deductions due to a change in foreign legislation. The following items increased our tax benefit: (1) recognition of research and experimentation credits for 2012 and 2013 due to the signing of The American Relief Act of 2012 on January 2, 2013; (2) earnings of our subsidiaries outside of the U.S. in jurisdictions where our statutory tax rate is lower than in the U.S.; (3) the benefit of certain interest expense deductions; and (4) benefits of certain acquisition related elections for tax purposes.</w:t>
      </w:r>
    </w:p>
    <w:p>
      <w:pPr>
        <w:spacing w:after="0" w:line="17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Our tax expense as a percentage of income before tax was 19.1% for 2012. Our actual tax rate was lower than the 35% U.S. federal statutory tax rate primarily due to: (1) earnings of our subsidiaries outside of the United States in jurisdictions where our statutory tax rate is lower than in the United States;</w:t>
      </w:r>
    </w:p>
    <w:p>
      <w:pPr>
        <w:ind w:firstLine="8"/>
        <w:spacing w:after="0" w:line="261" w:lineRule="auto"/>
        <w:tabs>
          <w:tab w:leader="none" w:pos="2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benefit of certain interest expense deductions; (3) a benefit related to the release of reserves for uncertain tax positions; and (4) benefits of certain acquisition related elections for tax purposes.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tax expense as a percentage of loss before tax was (0.9%) for 2011. Our actual tax rate was lower than the 35% U.S. federal statutory tax rate primarily due to: (1) the impact of the goodwill impairment, which was not deductible; (2) earnings of our subsidiaries outside of the United States in jurisdictions where our statutory tax rate is lower than in the United States; (3) the benefit of certain interest expense deductions; (4) a benefit related to the settlement of foreign tax litigation; and (5) benefits of certain acquisition related elections for tax purposes.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deferred tax assets consist primarily of tax losses and temporary differences related to depreciation, amortization and accrued expenses. Since 2007 one of our Luxembourg entities has incurred losses that we believed would not be utilized and accordingly, the associated deferred tax asset was not recorded. During the fourth quarter of 2013 we have included the losses of the Luxembourg entity on its financial statements as a result of new information supporting the assertion of the ability to generate income in Luxembourg in future periods. At December 31, 2013 the Luxembourg net operating loss carryforward was $408.1 million. A full valuation allowance is recorded for this asset due to a history of losses. We will continue to evaluate the need for a valuation allowance against this tax asset and will adjust the valuation allowance as deemed appropriate which, when adjusted, will result in an impact to the effective tax rate.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Our deferred tax assets at December 31, 2013 do not include the tax effect on $55.2 million of excess tax benefits from employee stock plan exercises.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Common stock will be increased by $20.5 million when such excess tax benefits reduce cash taxes payable.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cash income tax payments (refunds) for 2013, 2012, and 2011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7"/>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taxes paid (refunded)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State income taxes paid (refunded)</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2,450</w:t>
            </w: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and local income taxes paid</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19,779</w:t>
            </w: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income taxes paid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18,659</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28,129</w:t>
            </w:r>
          </w:p>
        </w:tc>
      </w:tr>
      <w:tr>
        <w:trPr>
          <w:trHeight w:val="27"/>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current projections, we expect to pay, net of refunds, approximately $300,000 in state taxes and $19.9 million in foreign and local income taxes in 2014. Currently, we do not expect to pay any U.S. federal taxes in 2014.</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2013, there was $40.3 million of cash and short-term investments held by certain foreign subsidiaries that could be repatriated to fund U.S. operations, and additional tax costs may be required. We do not provide U.S. deferred taxes related to the cash in these foreign subsidiaries because our investment is considered permanent in duration. Tax is one of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American Taxpayer Relief Act of 2012 (the "Act") was signed into law on January 2, 2013 and extended several business tax provisions including: (1) the active financing income and controlled foreign corporation look-through exceptions to certain foreign income; and (2) the research and experimentation credit. The tax effects of the Act were recognized in the first quarter of 2013.</w:t>
      </w:r>
    </w:p>
    <w:p>
      <w:pPr>
        <w:jc w:val="both"/>
        <w:spacing w:after="0" w:line="255" w:lineRule="auto"/>
        <w:rPr>
          <w:sz w:val="20"/>
          <w:szCs w:val="20"/>
          <w:color w:val="auto"/>
        </w:rPr>
      </w:pPr>
      <w:r>
        <w:rPr>
          <w:rFonts w:ascii="Arial" w:cs="Arial" w:eastAsia="Arial" w:hAnsi="Arial"/>
          <w:sz w:val="18"/>
          <w:szCs w:val="18"/>
          <w:color w:val="auto"/>
        </w:rPr>
        <w:t>We currently expect our 2014 annual effective tax rate to be higher than 2013 due to: (1) the expiration of the research and experimentation credit and the controlled foreign corporation look-through exception to certain foreign income; (2) the impact of valuation allowances in foreign jurisdictions; and (3) the impacts of foreign legislation.</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or because we exercise control over the operations. The noncontrolling interest balance in our Consolidated Balance Sheets represents the proportional share of the equity of the joint venture entities, which is attributable to the minority shareholders. Approximately $17.1 million of our consolidated cash balance at December 31, 2013 resides in our joint venture entities. As a result, the minority shareholders of these entities control their proportional share of this cash balance, and there may be limitations on our ability to repatriate cash to the U.S. from these entities.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2014 contributions, refer to Item 8: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 Note 8: Defined Benefit Pension Plans” included in this Annual Report on Form 10-K.</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2013, we have accrued $15.3 million of bonus and profit sharing plans expense for the achievement of annual financial and nonfinancial targets, compared with $22.1 million at December 31, 2012. These awards will be paid in cash during the first quarter of 2014.</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Item 1A: "Risk Factors,” as well as Item 7A: "Quantitative and Qualitative Disclosures About Market Risk," both included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Refer to Item 8: “Financial Statements and Supplementary Data, Note 12: Commitments and Contingencies” included in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A majority of our revenue is recognized when products are shipped to or received by a customer or when services are provided.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implementation services are essential to a software arrangement, revenue is recognized using either the percentage-of-completion methodology of contract accounting if project costs can be reliably estimated or the completed contract methodology if project costs cannot be reliably estimated. The estimation of costs through completion of a project is subject to many variables such as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length of time to complete, changes in wages, subcontractor performance, supplier information, and business volume assumptions. Changes in underlying assumptions/estimates may adversely or positively affect financial performance.</w:t>
      </w:r>
    </w:p>
    <w:p>
      <w:pPr>
        <w:spacing w:after="0" w:line="13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it is estimated.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The objective of ESP is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If our quality control efforts fail to detect a fault in one of our products, we may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until sufficient data are available. As actual experience becomes available, it is used to modify the original estimate to ensure the expected warranty costs are within a range of likely outcomes. Management regularly evaluates the sufficiency of the warranty provisions and makes adjustments when necessary. The warranty allowances may fluctuate due to higher than anticipated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and Asset Impairments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record a liability for costs associated with an exit or disposal activity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 impairments are determined at the asset group level. An impairment may be recorded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estimates are made. Our estimates involve a number of risks and uncertainties, some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recorded.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and interest expense and penalties related to uncertain tax positions, among other items. Changes in tax laws, valuation allowances, and unanticipated tax liabilities could significantly impact our tax rate.</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audits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and intangible assets may result from our acquisitions.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Prior to 2012, we had four reporting units: Itron North America (INA), Itron International (INL) Electricity, INL Gas, and INL Water. Effective January 1, 2012, our three reporting units are Electricity, Gas, and Water. The reporting units are aligned with our reporting segments, effective in the fourth quarter of 2013.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our qualitative analysis as of October 1, 2013, we determined that it was more likely than not that the fair value of the Gas and Water reporting units exceeded their respective carrying values. As a result, it was not necessary to complete the two-step impairment test for those reporting units. However, during the fourth quarter of 2013 in conjunction with our annual goodwill impairment test, we recognized a goodwill impairment of $173.2 million in our Electricity reporting unit as the result of delays in global smart grid projects and lower volumes and pricing pressures in certain regions in Europe and Asia/Pacific. The revised forecast for the Electricity business drove a decrease in the fair value of the reporting unit. The goodwill impairment did not impact the debt covenant compliance under our existing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goodwill balance in the Electricity reporting unit before and after the goodwill impairment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gridSpan w:val="2"/>
          </w:tcPr>
          <w:p>
            <w:pPr>
              <w:ind w:left="40"/>
              <w:spacing w:after="0"/>
              <w:rPr>
                <w:sz w:val="20"/>
                <w:szCs w:val="20"/>
                <w:color w:val="auto"/>
              </w:rPr>
            </w:pPr>
            <w:r>
              <w:rPr>
                <w:rFonts w:ascii="Arial" w:cs="Arial" w:eastAsia="Arial" w:hAnsi="Arial"/>
                <w:sz w:val="16"/>
                <w:szCs w:val="16"/>
                <w:b w:val="1"/>
                <w:bCs w:val="1"/>
                <w:color w:val="auto"/>
              </w:rPr>
              <w:t>Reporting Unit</w:t>
            </w:r>
          </w:p>
        </w:tc>
        <w:tc>
          <w:tcPr>
            <w:tcW w:w="18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Before Impairment</w:t>
            </w:r>
          </w:p>
        </w:tc>
        <w:tc>
          <w:tcPr>
            <w:tcW w:w="340" w:type="dxa"/>
            <w:vAlign w:val="bottom"/>
          </w:tcPr>
          <w:p>
            <w:pPr>
              <w:spacing w:after="0"/>
              <w:rPr>
                <w:sz w:val="18"/>
                <w:szCs w:val="18"/>
                <w:color w:val="auto"/>
              </w:rPr>
            </w:pPr>
          </w:p>
        </w:tc>
        <w:tc>
          <w:tcPr>
            <w:tcW w:w="1600" w:type="dxa"/>
            <w:vAlign w:val="bottom"/>
          </w:tcPr>
          <w:p>
            <w:pPr>
              <w:jc w:val="center"/>
              <w:ind w:right="199"/>
              <w:spacing w:after="0"/>
              <w:rPr>
                <w:sz w:val="20"/>
                <w:szCs w:val="20"/>
                <w:color w:val="auto"/>
              </w:rPr>
            </w:pPr>
            <w:r>
              <w:rPr>
                <w:rFonts w:ascii="Arial" w:cs="Arial" w:eastAsia="Arial" w:hAnsi="Arial"/>
                <w:sz w:val="16"/>
                <w:szCs w:val="16"/>
                <w:b w:val="1"/>
                <w:bCs w:val="1"/>
                <w:color w:val="auto"/>
                <w:w w:val="97"/>
              </w:rPr>
              <w:t>Impairment</w:t>
            </w:r>
          </w:p>
        </w:tc>
        <w:tc>
          <w:tcPr>
            <w:tcW w:w="300" w:type="dxa"/>
            <w:vAlign w:val="bottom"/>
          </w:tcPr>
          <w:p>
            <w:pPr>
              <w:spacing w:after="0"/>
              <w:rPr>
                <w:sz w:val="18"/>
                <w:szCs w:val="18"/>
                <w:color w:val="auto"/>
              </w:rPr>
            </w:pP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After Impairment</w:t>
            </w:r>
          </w:p>
        </w:tc>
      </w:tr>
      <w:tr>
        <w:trPr>
          <w:trHeight w:val="33"/>
        </w:trPr>
        <w:tc>
          <w:tcPr>
            <w:tcW w:w="3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Electricity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231,894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173,249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58,645</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(also known as “Level 2”), as defined by U.S. generally accepted accounting principles.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Derivatives are not used for trading or speculative purposes. Our derivatives are with credit-worthy multinational financial institutions, with whom we have master netting agreements; however, our derivative positions are not recorded on a net basis in the consolidated balance sheets. There are no credit-risk-related contingent features within our derivative instruments.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95% of our benefit obligation, we use three discount rates, with consideration of the duration of the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the highest and lowest yielding 10% of bonds within each maturity group. The discount rates used, depending on the duration of the plans, were 2.75%, 3.25% and 3.50%, respectively. The weighted average discount rate used to measure the projected benefit obligation for all of the plans at December 31, 2013 was 3.76%. A change of 25 basis points in the discount rate would change our pension benefit obligation by approximately $3.5 million. The financial and actuarial assumptions used at December 31, 2013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general funding policy for these qualified pension plans is to contribute amounts at least sufficient to satisfy funding standards of the respective countries for each plan. Refer to Item 8: “Financial Statements and Supplementary Data, Note 8: Defined Benefit Pension Plans” included in this Annual Report on Form 10-K for our expected contributions for 2014.</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The fair value of restricted stock units with a market condition is estimated at the date of award using a Monte Carlo simulation model, which includes assumptions for the dividend yield, expected volatility, risk-free interest rate and the expected term. In valuing our stock options and restricted stock units with a market condition, significant judgment is required in determining the expected volatility of our common stock and the expected term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term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without a market condition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October 1, 2013, we changed the terms of the ESPP to reduce the discount to 5% from the fair market value of the stock at the end of each fiscal quarter. As a result of this change, the ESPP is no longer considered compensatory, and no compensation expense is recognized for sales of our common stock to employees.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interest rate risk through our variable rate debt instruments. In May 2012, we entered into six forward starting pay-fixed receive one-month LIBOR interest rate swaps. The interest rate swaps convert $200 million of our LIBOR based debt from a floating LIBOR interest rate to a fixed interest rate of 1.00% (excluding the applicable margin on the debt) and are effective July 31, 2013 to August 8, 2016.</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estimated cash interest payments over the remaining lives of our debt at December 31, 2013. Weighted average variable rates in the table are based on implied forward rates in the Reuters U.S. dollar yield curve as of December 31, 2013 and our estimated leverage ratio, which determines our additional interest rate margin at December 31, 2013.</w:t>
      </w:r>
    </w:p>
    <w:p>
      <w:pPr>
        <w:spacing w:after="0" w:line="345" w:lineRule="exact"/>
        <w:rPr>
          <w:sz w:val="20"/>
          <w:szCs w:val="20"/>
          <w:color w:val="auto"/>
        </w:rPr>
      </w:pPr>
    </w:p>
    <w:p>
      <w:pPr>
        <w:ind w:left="2680"/>
        <w:spacing w:after="0"/>
        <w:tabs>
          <w:tab w:leader="none" w:pos="4080" w:val="left"/>
          <w:tab w:leader="none" w:pos="5500" w:val="left"/>
          <w:tab w:leader="none" w:pos="6920" w:val="left"/>
          <w:tab w:leader="none" w:pos="8120" w:val="left"/>
          <w:tab w:leader="none" w:pos="9240" w:val="left"/>
          <w:tab w:leader="none" w:pos="1034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Total</w:t>
      </w:r>
      <w:r>
        <w:rPr>
          <w:sz w:val="20"/>
          <w:szCs w:val="20"/>
          <w:color w:val="auto"/>
        </w:rPr>
        <w:tab/>
      </w:r>
      <w:r>
        <w:rPr>
          <w:rFonts w:ascii="Arial" w:cs="Arial" w:eastAsia="Arial" w:hAnsi="Arial"/>
          <w:sz w:val="16"/>
          <w:szCs w:val="16"/>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34290</wp:posOffset>
            </wp:positionV>
            <wp:extent cx="58229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ind w:left="40"/>
              <w:spacing w:after="0"/>
              <w:rPr>
                <w:sz w:val="20"/>
                <w:szCs w:val="20"/>
                <w:color w:val="auto"/>
              </w:rPr>
            </w:pPr>
            <w:r>
              <w:rPr>
                <w:rFonts w:ascii="Arial" w:cs="Arial" w:eastAsia="Arial" w:hAnsi="Arial"/>
                <w:sz w:val="18"/>
                <w:szCs w:val="18"/>
                <w:i w:val="1"/>
                <w:iCs w:val="1"/>
                <w:color w:val="auto"/>
              </w:rPr>
              <w:t>Variable Rate Debt</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Principal: U.S. dollar</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22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term loan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26,250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30,000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202,500</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258,750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258,011</w:t>
            </w:r>
          </w:p>
        </w:tc>
      </w:tr>
      <w:tr>
        <w:trPr>
          <w:trHeight w:val="243"/>
        </w:trPr>
        <w:tc>
          <w:tcPr>
            <w:tcW w:w="2200" w:type="dxa"/>
            <w:vAlign w:val="bottom"/>
          </w:tcPr>
          <w:p>
            <w:pPr>
              <w:ind w:left="620"/>
              <w:spacing w:after="0"/>
              <w:rPr>
                <w:sz w:val="20"/>
                <w:szCs w:val="20"/>
                <w:color w:val="auto"/>
              </w:rPr>
            </w:pPr>
            <w:r>
              <w:rPr>
                <w:rFonts w:ascii="Arial" w:cs="Arial" w:eastAsia="Arial" w:hAnsi="Arial"/>
                <w:sz w:val="18"/>
                <w:szCs w:val="18"/>
                <w:color w:val="auto"/>
                <w:w w:val="93"/>
              </w:rPr>
              <w:t>Average interest rate</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1.73 %</w:t>
            </w:r>
          </w:p>
        </w:tc>
        <w:tc>
          <w:tcPr>
            <w:tcW w:w="4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2.06 %</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w:t>
            </w:r>
          </w:p>
        </w:tc>
        <w:tc>
          <w:tcPr>
            <w:tcW w:w="620" w:type="dxa"/>
            <w:vAlign w:val="bottom"/>
          </w:tcPr>
          <w:p>
            <w:pPr>
              <w:spacing w:after="0"/>
              <w:rPr>
                <w:sz w:val="21"/>
                <w:szCs w:val="21"/>
                <w:color w:val="auto"/>
              </w:rPr>
            </w:pPr>
          </w:p>
        </w:tc>
        <w:tc>
          <w:tcPr>
            <w:tcW w:w="84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9"/>
        </w:trPr>
        <w:tc>
          <w:tcPr>
            <w:tcW w:w="2200" w:type="dxa"/>
            <w:vAlign w:val="bottom"/>
          </w:tcPr>
          <w:p>
            <w:pPr>
              <w:ind w:left="620"/>
              <w:spacing w:after="0"/>
              <w:rPr>
                <w:sz w:val="20"/>
                <w:szCs w:val="20"/>
                <w:color w:val="auto"/>
              </w:rPr>
            </w:pPr>
            <w:r>
              <w:rPr>
                <w:rFonts w:ascii="Arial" w:cs="Arial" w:eastAsia="Arial" w:hAnsi="Arial"/>
                <w:sz w:val="18"/>
                <w:szCs w:val="18"/>
                <w:color w:val="auto"/>
              </w:rPr>
              <w:t>Principal:</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2200" w:type="dxa"/>
            <w:vAlign w:val="bottom"/>
          </w:tcPr>
          <w:p>
            <w:pPr>
              <w:ind w:left="620"/>
              <w:spacing w:after="0"/>
              <w:rPr>
                <w:sz w:val="20"/>
                <w:szCs w:val="20"/>
                <w:color w:val="auto"/>
              </w:rPr>
            </w:pPr>
            <w:r>
              <w:rPr>
                <w:rFonts w:ascii="Arial" w:cs="Arial" w:eastAsia="Arial" w:hAnsi="Arial"/>
                <w:sz w:val="18"/>
                <w:szCs w:val="18"/>
                <w:color w:val="auto"/>
              </w:rPr>
              <w:t>Multicurrency</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200" w:type="dxa"/>
            <w:vAlign w:val="bottom"/>
          </w:tcPr>
          <w:p>
            <w:pPr>
              <w:ind w:left="620"/>
              <w:spacing w:after="0"/>
              <w:rPr>
                <w:sz w:val="20"/>
                <w:szCs w:val="20"/>
                <w:color w:val="auto"/>
              </w:rPr>
            </w:pPr>
            <w:r>
              <w:rPr>
                <w:rFonts w:ascii="Arial" w:cs="Arial" w:eastAsia="Arial" w:hAnsi="Arial"/>
                <w:sz w:val="18"/>
                <w:szCs w:val="18"/>
                <w:color w:val="auto"/>
              </w:rPr>
              <w:t>revolving line of</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200" w:type="dxa"/>
            <w:vAlign w:val="bottom"/>
          </w:tcPr>
          <w:p>
            <w:pPr>
              <w:ind w:left="620"/>
              <w:spacing w:after="0"/>
              <w:rPr>
                <w:sz w:val="20"/>
                <w:szCs w:val="20"/>
                <w:color w:val="auto"/>
              </w:rPr>
            </w:pPr>
            <w:r>
              <w:rPr>
                <w:rFonts w:ascii="Arial" w:cs="Arial" w:eastAsia="Arial" w:hAnsi="Arial"/>
                <w:sz w:val="18"/>
                <w:szCs w:val="18"/>
                <w:color w:val="auto"/>
              </w:rPr>
              <w:t>credit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120,000</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120,000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119,609</w:t>
            </w:r>
          </w:p>
        </w:tc>
      </w:tr>
      <w:tr>
        <w:trPr>
          <w:trHeight w:val="27"/>
        </w:trPr>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3"/>
              </w:rPr>
              <w:t>Average interest rate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1.73 %</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2.06 %</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70"/>
        </w:trPr>
        <w:tc>
          <w:tcPr>
            <w:tcW w:w="2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2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2"/>
              </w:rPr>
              <w:t>Interest rate swap 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22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LIBOR based debt</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9"/>
        </w:trPr>
        <w:tc>
          <w:tcPr>
            <w:tcW w:w="2200" w:type="dxa"/>
            <w:vAlign w:val="bottom"/>
          </w:tcPr>
          <w:p>
            <w:pPr>
              <w:ind w:left="840"/>
              <w:spacing w:after="0"/>
              <w:rPr>
                <w:sz w:val="20"/>
                <w:szCs w:val="20"/>
                <w:color w:val="auto"/>
              </w:rPr>
            </w:pPr>
            <w:r>
              <w:rPr>
                <w:rFonts w:ascii="Arial" w:cs="Arial" w:eastAsia="Arial" w:hAnsi="Arial"/>
                <w:sz w:val="18"/>
                <w:szCs w:val="18"/>
                <w:color w:val="auto"/>
              </w:rPr>
              <w:t>Average interest</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200" w:type="dxa"/>
            <w:vAlign w:val="bottom"/>
          </w:tcPr>
          <w:p>
            <w:pPr>
              <w:ind w:left="840"/>
              <w:spacing w:after="0"/>
              <w:rPr>
                <w:sz w:val="20"/>
                <w:szCs w:val="20"/>
                <w:color w:val="auto"/>
              </w:rPr>
            </w:pPr>
            <w:r>
              <w:rPr>
                <w:rFonts w:ascii="Arial" w:cs="Arial" w:eastAsia="Arial" w:hAnsi="Arial"/>
                <w:sz w:val="18"/>
                <w:szCs w:val="18"/>
                <w:color w:val="auto"/>
              </w:rPr>
              <w:t>rate (pay)</w:t>
            </w:r>
          </w:p>
        </w:tc>
        <w:tc>
          <w:tcPr>
            <w:tcW w:w="3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1.00 %</w:t>
            </w: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1.00 %</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Pr>
          <w:p>
            <w:pPr>
              <w:spacing w:after="0"/>
              <w:rPr>
                <w:sz w:val="20"/>
                <w:szCs w:val="20"/>
                <w:color w:val="auto"/>
              </w:rPr>
            </w:pPr>
          </w:p>
        </w:tc>
        <w:tc>
          <w:tcPr>
            <w:tcW w:w="84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Average interest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22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rate (receive)</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0.23 %</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0.56 %</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tcPr>
          <w:p>
            <w:pPr>
              <w:ind w:left="840"/>
              <w:spacing w:after="0"/>
              <w:rPr>
                <w:sz w:val="20"/>
                <w:szCs w:val="20"/>
                <w:color w:val="auto"/>
              </w:rPr>
            </w:pPr>
            <w:r>
              <w:rPr>
                <w:rFonts w:ascii="Arial" w:cs="Arial" w:eastAsia="Arial" w:hAnsi="Arial"/>
                <w:sz w:val="18"/>
                <w:szCs w:val="18"/>
                <w:color w:val="auto"/>
              </w:rPr>
              <w:t>Net/spread</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(0.44)%</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0.36%</w:t>
            </w:r>
          </w:p>
        </w:tc>
        <w:tc>
          <w:tcPr>
            <w:tcW w:w="620" w:type="dxa"/>
            <w:vAlign w:val="bottom"/>
          </w:tcPr>
          <w:p>
            <w:pPr>
              <w:spacing w:after="0"/>
              <w:rPr>
                <w:sz w:val="21"/>
                <w:szCs w:val="21"/>
                <w:color w:val="auto"/>
              </w:rPr>
            </w:pPr>
          </w:p>
        </w:tc>
        <w:tc>
          <w:tcPr>
            <w:tcW w:w="84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a sensitivity analysis as of December 31, 2013, we estimate that, if market interest rates average one percentage point higher in 2013 than in the table above, our financial results in 2013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was 59% of total revenues for the year ended December 31, 2013, compared with 59% and 58% for the years ended December 31, 2012 and 2011, respectively.</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(a total of 528 contracts were entered into during the year ended December 31, 2013), not designated for hedge accounting, with the intent to reduce earnings volatility associated</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certain of these balances. The notional amounts of the contracts ranged from $251,000 to $12.0 million, offsetting our exposures from the euro, British pound, Canadian dollar, Australian dollar, Brazilian real, and various other currencies.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is responsible for the preparation of our consolidated financial statements and related information appearing in this Annual Report on Form 10-K. Management believes that the consolidated financial statements fairly reflect the form and substance of transactions and that the financial statements reasonably present our results of operations, financial position, and cash flows in conformity with U.S. generally accepted accounting principles. Management has included in our financial statements amounts based on estimates and judgments that it believes are reasonable under the circumstances.</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Management’s explanation and interpretation of our overall operating results and financial position, with the basic financial statements presented, should be read in conjunction with the entire report. The notes to the consolidated financial statements, an integral part of the basic financial statements, provide additional detailed financial information. Our Board of Directors has an Audit/Finance Committee composed of independent directors. The Committee meets regularly with financial management and Ernst &amp; Young LLP to review internal control, auditing, and financial reporting matters.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Philip C. Mezey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Steven M. Helmbrecht</w:t>
      </w:r>
    </w:p>
    <w:p>
      <w:pPr>
        <w:spacing w:after="0" w:line="86"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620" w:firstLine="2624"/>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Shareholders of Itron, Inc.</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consolidated balance sheets of Itron, Inc. as of December 31, 2013 and 2012, and the related consolidated statements of operations, comprehensive income (loss), equity and cash flows for each of the three years in the period ended December 31, 2013.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Itron, Inc. at December 31, 2013 and 2012, and the consolidated results of its operations and its cash flows for each of the three years in the period ended December 31, 2013, in conformity with U.S. generally accepted accounting principles. Also, in our opinion, the related financial statement schedule, when considered in relation to the basic financial statements taken as a whole, present fairly in all material respects the information set forth therein.</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Itron, Inc.’s internal control over financial reporting as of December 31, 2013, based on criteria established in Internal Control-Integrated Framework issued by the Committee of Sponsoring Organizations of the Treadway Commission (1992 framework) and our report dated February 25, 2014 expressed an unqualified opinion thereon.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0"/>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80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ITRON, INC.</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300" w:type="dxa"/>
            <w:vAlign w:val="bottom"/>
            <w:gridSpan w:val="6"/>
          </w:tcPr>
          <w:p>
            <w:pPr>
              <w:ind w:left="2320"/>
              <w:spacing w:after="0"/>
              <w:rPr>
                <w:sz w:val="20"/>
                <w:szCs w:val="20"/>
                <w:color w:val="auto"/>
              </w:rPr>
            </w:pPr>
            <w:r>
              <w:rPr>
                <w:rFonts w:ascii="Arial" w:cs="Arial" w:eastAsia="Arial" w:hAnsi="Arial"/>
                <w:sz w:val="18"/>
                <w:szCs w:val="18"/>
                <w:b w:val="1"/>
                <w:bCs w:val="1"/>
                <w:color w:val="auto"/>
              </w:rPr>
              <w:t>CONSOLIDATED STATEMENTS OF OPERATIONS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(in thousands, except per share data)</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1,948,728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2,178,178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2,434,124</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1,334,195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1,463,031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1,687,666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614,533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715,147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746,458</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180,371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197,603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185,105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161,305</w:t>
            </w:r>
          </w:p>
        </w:tc>
        <w:tc>
          <w:tcPr>
            <w:tcW w:w="0" w:type="dxa"/>
            <w:vAlign w:val="bottom"/>
          </w:tcPr>
          <w:p>
            <w:pPr>
              <w:spacing w:after="0"/>
              <w:rPr>
                <w:sz w:val="1"/>
                <w:szCs w:val="1"/>
                <w:color w:val="auto"/>
              </w:rPr>
            </w:pP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142,559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138,290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142,908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63,394</w:t>
            </w:r>
          </w:p>
        </w:tc>
        <w:tc>
          <w:tcPr>
            <w:tcW w:w="0" w:type="dxa"/>
            <w:vAlign w:val="bottom"/>
          </w:tcPr>
          <w:p>
            <w:pPr>
              <w:spacing w:after="0"/>
              <w:rPr>
                <w:sz w:val="1"/>
                <w:szCs w:val="1"/>
                <w:color w:val="auto"/>
              </w:rPr>
            </w:pP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Restructuring expense</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35,497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68,082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2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173,249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584,847</w:t>
            </w:r>
          </w:p>
        </w:tc>
        <w:tc>
          <w:tcPr>
            <w:tcW w:w="0" w:type="dxa"/>
            <w:vAlign w:val="bottom"/>
          </w:tcPr>
          <w:p>
            <w:pPr>
              <w:spacing w:after="0"/>
              <w:rPr>
                <w:sz w:val="1"/>
                <w:szCs w:val="1"/>
                <w:color w:val="auto"/>
              </w:rPr>
            </w:pPr>
          </w:p>
        </w:tc>
      </w:tr>
      <w:tr>
        <w:trPr>
          <w:trHeight w:val="237"/>
        </w:trPr>
        <w:tc>
          <w:tcPr>
            <w:tcW w:w="46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749,714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564,021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1,205,641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151,126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(459,183)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(36,794)</w:t>
            </w:r>
          </w:p>
        </w:tc>
        <w:tc>
          <w:tcPr>
            <w:tcW w:w="0" w:type="dxa"/>
            <w:vAlign w:val="bottom"/>
          </w:tcPr>
          <w:p>
            <w:pPr>
              <w:spacing w:after="0"/>
              <w:rPr>
                <w:sz w:val="1"/>
                <w:szCs w:val="1"/>
                <w:color w:val="auto"/>
              </w:rPr>
            </w:pP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Other income (expense), net</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(42,583)</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(501,766)</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Income tax benefit (provision)</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(506,196)</w:t>
            </w:r>
          </w:p>
        </w:tc>
        <w:tc>
          <w:tcPr>
            <w:tcW w:w="0" w:type="dxa"/>
            <w:vAlign w:val="bottom"/>
          </w:tcPr>
          <w:p>
            <w:pPr>
              <w:spacing w:after="0"/>
              <w:rPr>
                <w:sz w:val="1"/>
                <w:szCs w:val="1"/>
                <w:color w:val="auto"/>
              </w:rPr>
            </w:pPr>
          </w:p>
        </w:tc>
      </w:tr>
      <w:tr>
        <w:trPr>
          <w:trHeight w:val="243"/>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Itron, Inc.</w:t>
            </w:r>
          </w:p>
        </w:tc>
        <w:tc>
          <w:tcPr>
            <w:tcW w:w="28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(146,809)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108,275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(510,157)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per common share - Basic</w:t>
            </w:r>
          </w:p>
        </w:tc>
        <w:tc>
          <w:tcPr>
            <w:tcW w:w="2480" w:type="dxa"/>
            <w:vAlign w:val="bottom"/>
            <w:tcBorders>
              <w:bottom w:val="single" w:sz="8" w:color="CCEEFF"/>
            </w:tcBorders>
            <w:gridSpan w:val="2"/>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(loss) per common share - Diluted</w:t>
            </w: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gridSpan w:val="2"/>
            <w:vMerge w:val="continue"/>
          </w:tcPr>
          <w:p>
            <w:pPr>
              <w:spacing w:after="0"/>
              <w:rPr>
                <w:sz w:val="19"/>
                <w:szCs w:val="19"/>
                <w:color w:val="auto"/>
              </w:rPr>
            </w:pPr>
          </w:p>
        </w:tc>
        <w:tc>
          <w:tcPr>
            <w:tcW w:w="28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3340" w:type="dxa"/>
            <w:vAlign w:val="bottom"/>
            <w:tcBorders>
              <w:bottom w:val="single" w:sz="8" w:color="CCEEFF"/>
            </w:tcBorders>
          </w:tcPr>
          <w:p>
            <w:pPr>
              <w:spacing w:after="0"/>
              <w:rPr>
                <w:sz w:val="5"/>
                <w:szCs w:val="5"/>
                <w:color w:val="auto"/>
              </w:rPr>
            </w:pPr>
          </w:p>
        </w:tc>
        <w:tc>
          <w:tcPr>
            <w:tcW w:w="2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39,281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40,612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39,281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39,934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40,612</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8"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(506,196)</w:t>
            </w:r>
          </w:p>
        </w:tc>
      </w:tr>
      <w:tr>
        <w:trPr>
          <w:trHeight w:val="28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21,382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Unrealized gains (losses) on hedging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360"/>
              <w:spacing w:after="0"/>
              <w:rPr>
                <w:sz w:val="20"/>
                <w:szCs w:val="20"/>
                <w:color w:val="auto"/>
              </w:rPr>
            </w:pPr>
            <w:r>
              <w:rPr>
                <w:rFonts w:ascii="Arial" w:cs="Arial" w:eastAsia="Arial" w:hAnsi="Arial"/>
                <w:sz w:val="18"/>
                <w:szCs w:val="18"/>
                <w:color w:val="auto"/>
                <w:w w:val="99"/>
              </w:rPr>
              <w:t>Net unrealized gain (loss) on derivative instruments, designated as cash flow hedges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1,909</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gain (loss) on nonderivative hedging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r>
      <w:tr>
        <w:trPr>
          <w:trHeight w:val="243"/>
        </w:trPr>
        <w:tc>
          <w:tcPr>
            <w:tcW w:w="7100" w:type="dxa"/>
            <w:vAlign w:val="bottom"/>
            <w:gridSpan w:val="2"/>
          </w:tcPr>
          <w:p>
            <w:pPr>
              <w:ind w:left="360"/>
              <w:spacing w:after="0"/>
              <w:rPr>
                <w:sz w:val="20"/>
                <w:szCs w:val="20"/>
                <w:color w:val="auto"/>
              </w:rPr>
            </w:pPr>
            <w:r>
              <w:rPr>
                <w:rFonts w:ascii="Arial" w:cs="Arial" w:eastAsia="Arial" w:hAnsi="Arial"/>
                <w:sz w:val="18"/>
                <w:szCs w:val="18"/>
                <w:color w:val="auto"/>
              </w:rPr>
              <w:t>Net hedging loss (gain) reclassified into net income (loss)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2,611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Pension plan benefit liability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(131,963)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112,977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(508,636)</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200"/>
              <w:spacing w:after="0"/>
              <w:rPr>
                <w:sz w:val="20"/>
                <w:szCs w:val="20"/>
                <w:color w:val="auto"/>
              </w:rPr>
            </w:pPr>
            <w:r>
              <w:rPr>
                <w:rFonts w:ascii="Arial" w:cs="Arial" w:eastAsia="Arial" w:hAnsi="Arial"/>
                <w:sz w:val="18"/>
                <w:szCs w:val="18"/>
                <w:color w:val="auto"/>
              </w:rPr>
              <w:t>Comprehensive income (loss) attributable to noncontrolling interest,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3,961</w:t>
            </w:r>
          </w:p>
        </w:tc>
      </w:tr>
      <w:tr>
        <w:trPr>
          <w:trHeight w:val="243"/>
        </w:trPr>
        <w:tc>
          <w:tcPr>
            <w:tcW w:w="710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Amounts attributable to noncontrolling interests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3,707</w:t>
            </w:r>
          </w:p>
        </w:tc>
      </w:tr>
      <w:tr>
        <w:trPr>
          <w:trHeight w:val="291"/>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111,051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(512,343)</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65"/>
        </w:trPr>
        <w:tc>
          <w:tcPr>
            <w:tcW w:w="10060" w:type="dxa"/>
            <w:vAlign w:val="bottom"/>
            <w:gridSpan w:val="8"/>
          </w:tcPr>
          <w:p>
            <w:pPr>
              <w:ind w:left="25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6980" w:type="dxa"/>
            <w:vAlign w:val="bottom"/>
          </w:tcPr>
          <w:p>
            <w:pPr>
              <w:ind w:left="56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840"/>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86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67"/>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2013</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1280" w:type="dxa"/>
            <w:vAlign w:val="bottom"/>
          </w:tcPr>
          <w:p>
            <w:pPr>
              <w:spacing w:after="0"/>
              <w:rPr>
                <w:sz w:val="23"/>
                <w:szCs w:val="23"/>
                <w:color w:val="auto"/>
              </w:rPr>
            </w:pPr>
          </w:p>
        </w:tc>
        <w:tc>
          <w:tcPr>
            <w:tcW w:w="54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136,411</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356,709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375,326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177,467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170,719</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Deferred tax assets current,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37,110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33,536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104,958</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799,366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820,950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246,820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255,212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44,584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33,027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28,908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238,771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548,578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701,016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1,882,511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2,089,441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128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227,739</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70,768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49,950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91,802</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10,700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9,305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18,750</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21,048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27,115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42,712</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455,012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467,373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352,500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398,750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26,490</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Pension plan benefit liability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88,687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90,533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81,917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80,100</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1,009,540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1,079,928</w:t>
            </w: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29"/>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Common stock, no par value, 75 million shares authorized, 39,149 and 39,277 shares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issued and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1,290,629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1,294,213</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(21,722)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(34,384)</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(266,862)</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855,236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992,967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16,546</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872,971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1,009,513</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1,882,511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2,089,441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08" w:right="239" w:bottom="42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08" w:right="239" w:bottom="42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Retained Earnings</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January 1, 2011</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40,431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1,328,249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(34,974)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135,020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1,428,295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10,913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1,439,208</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(510,157)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(510,157)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3,961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(506,196)</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(2,440)</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Stock issues: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Issuance of stock-based compensation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3,793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3,793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15,942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15,942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15,942</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380"/>
              <w:spacing w:after="0" w:line="157" w:lineRule="exact"/>
              <w:rPr>
                <w:sz w:val="20"/>
                <w:szCs w:val="20"/>
                <w:color w:val="auto"/>
              </w:rPr>
            </w:pPr>
            <w:r>
              <w:rPr>
                <w:rFonts w:ascii="Arial" w:cs="Arial" w:eastAsia="Arial" w:hAnsi="Arial"/>
                <w:sz w:val="14"/>
                <w:szCs w:val="14"/>
                <w:color w:val="auto"/>
              </w:rPr>
              <w:t>Employee stock plans income tax</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380"/>
              <w:spacing w:after="0"/>
              <w:rPr>
                <w:sz w:val="20"/>
                <w:szCs w:val="20"/>
                <w:color w:val="auto"/>
              </w:rPr>
            </w:pPr>
            <w:r>
              <w:rPr>
                <w:rFonts w:ascii="Arial" w:cs="Arial" w:eastAsia="Arial" w:hAnsi="Arial"/>
                <w:sz w:val="14"/>
                <w:szCs w:val="14"/>
                <w:color w:val="auto"/>
              </w:rPr>
              <w:t>deficiencies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(29,428)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(29,428)</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Balances at December 31, 2011</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40,032</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1,319,222</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(37,160)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(375,137)</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906,925</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14,620</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921,545</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108,275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108,275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1,949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110,224</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2,753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Issuance of stock-based compensation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3,593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3,593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3,593</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18,743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380"/>
              <w:spacing w:after="0" w:line="157" w:lineRule="exact"/>
              <w:rPr>
                <w:sz w:val="20"/>
                <w:szCs w:val="20"/>
                <w:color w:val="auto"/>
              </w:rPr>
            </w:pPr>
            <w:r>
              <w:rPr>
                <w:rFonts w:ascii="Arial" w:cs="Arial" w:eastAsia="Arial" w:hAnsi="Arial"/>
                <w:sz w:val="14"/>
                <w:szCs w:val="14"/>
                <w:color w:val="auto"/>
              </w:rPr>
              <w:t>Employee stock plans income tax</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380"/>
              <w:spacing w:after="0"/>
              <w:rPr>
                <w:sz w:val="20"/>
                <w:szCs w:val="20"/>
                <w:color w:val="auto"/>
              </w:rPr>
            </w:pPr>
            <w:r>
              <w:rPr>
                <w:rFonts w:ascii="Arial" w:cs="Arial" w:eastAsia="Arial" w:hAnsi="Arial"/>
                <w:sz w:val="14"/>
                <w:szCs w:val="14"/>
                <w:color w:val="auto"/>
              </w:rPr>
              <w:t>deficiencies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(47,441)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(47,441)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(47,441)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Balances at December 31, 2012</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39,277</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1,294,213</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(34,384)</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(266,862)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992,967</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16,546</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1,009,513</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(146,809)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(146,809)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2,219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(144,590)</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12,662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12,662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12,627</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380"/>
              <w:spacing w:after="0" w:line="157" w:lineRule="exact"/>
              <w:rPr>
                <w:sz w:val="20"/>
                <w:szCs w:val="20"/>
                <w:color w:val="auto"/>
              </w:rPr>
            </w:pPr>
            <w:r>
              <w:rPr>
                <w:rFonts w:ascii="Arial" w:cs="Arial" w:eastAsia="Arial" w:hAnsi="Arial"/>
                <w:sz w:val="14"/>
                <w:szCs w:val="14"/>
                <w:color w:val="auto"/>
                <w:w w:val="96"/>
              </w:rPr>
              <w:t>Issuance of stock-based compensation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18,039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18,039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18,039</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plans income tax</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deficiencies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(26,977)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(26,977)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(26,977)</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December 31, 2013</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39,149</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1,290,629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(413,671)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855,236</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17,735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872,971</w:t>
            </w:r>
          </w:p>
        </w:tc>
        <w:tc>
          <w:tcPr>
            <w:tcW w:w="0" w:type="dxa"/>
            <w:vAlign w:val="bottom"/>
          </w:tcPr>
          <w:p>
            <w:pPr>
              <w:spacing w:after="0"/>
              <w:rPr>
                <w:sz w:val="1"/>
                <w:szCs w:val="1"/>
                <w:color w:val="auto"/>
              </w:rPr>
            </w:pPr>
          </w:p>
        </w:tc>
      </w:tr>
      <w:tr>
        <w:trPr>
          <w:trHeight w:val="60"/>
        </w:trPr>
        <w:tc>
          <w:tcPr>
            <w:tcW w:w="274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39"/>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080" w:type="dxa"/>
            <w:vAlign w:val="bottom"/>
            <w:gridSpan w:val="4"/>
          </w:tcPr>
          <w:p>
            <w:pPr>
              <w:jc w:val="center"/>
              <w:ind w:left="16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67"/>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(506,196)</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w w:val="92"/>
              </w:rPr>
              <w:t>Adjustments to reconcile net income (loss) to net cash provided by operating activities: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129,466</w:t>
            </w:r>
          </w:p>
        </w:tc>
      </w:tr>
      <w:tr>
        <w:trPr>
          <w:trHeight w:val="243"/>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16,411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5,715</w:t>
            </w:r>
          </w:p>
        </w:tc>
      </w:tr>
      <w:tr>
        <w:trPr>
          <w:trHeight w:val="243"/>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Amortization of convertible debt discount</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5,336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Deferred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(12,985)</w:t>
            </w:r>
          </w:p>
        </w:tc>
      </w:tr>
      <w:tr>
        <w:trPr>
          <w:trHeight w:val="243"/>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Goodwill impairment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173,249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584,847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Restructuring expense (recovery), non-cash</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25,144</w:t>
            </w:r>
          </w:p>
        </w:tc>
      </w:tr>
      <w:tr>
        <w:trPr>
          <w:trHeight w:val="243"/>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Other adjustments,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(22,770)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6,389</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(3,859)</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(17,401)</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payables, other current liabilities, and taxes payable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(47,367)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22,715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(19,813)</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12,009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19,070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29,616</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operating,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(9,283)</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252,358</w:t>
            </w:r>
          </w:p>
        </w:tc>
      </w:tr>
      <w:tr>
        <w:trPr>
          <w:trHeight w:val="270"/>
        </w:trPr>
        <w:tc>
          <w:tcPr>
            <w:tcW w:w="128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(50,543)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(60,076)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Business acquisitions, net of cash equivalents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(20,092)</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investing,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1,427</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(78,741)</w:t>
            </w:r>
          </w:p>
        </w:tc>
      </w:tr>
      <w:tr>
        <w:trPr>
          <w:trHeight w:val="270"/>
        </w:trPr>
        <w:tc>
          <w:tcPr>
            <w:tcW w:w="128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670,000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(848,054)</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Issuance of common stock</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4,625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(29,428)</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financing,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(209,453)</w:t>
            </w:r>
          </w:p>
        </w:tc>
      </w:tr>
      <w:tr>
        <w:trPr>
          <w:trHeight w:val="270"/>
        </w:trPr>
        <w:tc>
          <w:tcPr>
            <w:tcW w:w="128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(36,391)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169,477</w:t>
            </w:r>
          </w:p>
        </w:tc>
      </w:tr>
      <w:tr>
        <w:trPr>
          <w:trHeight w:val="297"/>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124,805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136,411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133,086</w:t>
            </w:r>
          </w:p>
        </w:tc>
      </w:tr>
      <w:tr>
        <w:trPr>
          <w:trHeight w:val="257"/>
        </w:trPr>
        <w:tc>
          <w:tcPr>
            <w:tcW w:w="1280" w:type="dxa"/>
            <w:vAlign w:val="bottom"/>
            <w:shd w:val="clear" w:color="auto" w:fill="CCEEFF"/>
          </w:tcPr>
          <w:p>
            <w:pPr>
              <w:spacing w:after="0"/>
              <w:rPr>
                <w:sz w:val="22"/>
                <w:szCs w:val="22"/>
                <w:color w:val="auto"/>
              </w:rPr>
            </w:pPr>
          </w:p>
        </w:tc>
        <w:tc>
          <w:tcPr>
            <w:tcW w:w="54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i w:val="1"/>
                <w:iCs w:val="1"/>
                <w:color w:val="auto"/>
              </w:rPr>
              <w:t>Non-cash transactions: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Property, plant, and equipment purchased but not yet paid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6,739</w:t>
            </w:r>
          </w:p>
        </w:tc>
      </w:tr>
      <w:tr>
        <w:trPr>
          <w:trHeight w:val="270"/>
        </w:trPr>
        <w:tc>
          <w:tcPr>
            <w:tcW w:w="128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taxes,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28,128</w:t>
            </w:r>
          </w:p>
        </w:tc>
      </w:tr>
      <w:tr>
        <w:trPr>
          <w:trHeight w:val="243"/>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Interest, net of amounts capitalized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28,047</w:t>
            </w:r>
          </w:p>
        </w:tc>
      </w:tr>
    </w:tbl>
    <w:p>
      <w:pPr>
        <w:spacing w:after="0" w:line="175" w:lineRule="exact"/>
        <w:rPr>
          <w:sz w:val="20"/>
          <w:szCs w:val="20"/>
          <w:color w:val="auto"/>
        </w:rPr>
      </w:pPr>
    </w:p>
    <w:p>
      <w:pPr>
        <w:sectPr>
          <w:pgSz w:w="11900" w:h="16838" w:orient="portrait"/>
          <w:cols w:equalWidth="0" w:num="1">
            <w:col w:w="11420"/>
          </w:cols>
          <w:pgMar w:left="240" w:top="108" w:right="239" w:bottom="28" w:gutter="0" w:footer="0" w:header="0"/>
        </w:sect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420"/>
          </w:cols>
          <w:pgMar w:left="240" w:top="108" w:right="239" w:bottom="28"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019"/>
          </w:cols>
          <w:pgMar w:left="1440" w:top="125" w:right="1440"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the terms “we,” “us,” “our,” “Itron,” and the “Company” refer to Itron, Inc.</w:t>
      </w:r>
    </w:p>
    <w:p>
      <w:pPr>
        <w:spacing w:after="0" w:line="27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solutions to utilities for the electricity, gas, and water markets throughout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presented in this Annual Report include the Consolidated Statements of Operations, Comprehensive Income (Loss), Equity, and Cash Flows for the years ended December 31, 2013, 2012, and 2011 and the Consolidated Balance Sheets as of December 31, 2013 and 2012 of Itron, Inc. and its subsidiaries.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are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The noncontrolling interest balance in our Consolidated Balance Sheets represents the proportional share of the equity of the joint venture entities, which is attributable to the minority shareholders.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Acquisitions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May 1, 2012, we completed the acquisition of SmartSynch, Inc. (SmartSynch). SmartSynch was a provider of smart grid solutions that utilize cellular networks for communications.</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January 2011, we completed the acquisition of Asais S.A.S. and Asais Conseil S.A.S. (collectively Asais), an energy information management software and consulting services provider located in France. The acquisition consisted of cash and contingent consideration. Additional acquisitions were completed in 2011. This acquisition was immaterial to our financial position, results of operations, and cash flows. (See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policy below.)</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 earnings when the hedged item affects earnings. Ineffective portions of cash flow hedges are recognized in other income (expense) in the Consolidated Statements of Operations.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derivatives are with credit worthy multinational commercial banks, with whom we have master netting agreements; however, our derivative positions are not recorded on a net basis in the consolidated balance sheets. There are no credit-risk-related contingent features within our derivative instruments. Refer to Note 7 and Note 14 for further disclosures of our derivative instruments and their impact on OCI.</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software, and furniture. Leasehold improvements are capitalized and depreciated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 of Operations according to the use of the asset, except those gains and losses recognized in conjunction with our restructuring activities, which are classified within restructuring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written-off and included in interest expense.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the date of acquisition, the assets acquired, liabilities assumed, and any noncontrolling interests in the acquiree are recorded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recorded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recorded value of the associated IPR&amp;D is immediately expensed.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 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 Cash payments for contingent or deferred consideration are classified within cash flows from investing activities within the consolidated statements of cash flows.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and intangible assets may result from our acquisitions.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IPR&amp;D is considered an indefinite-lived intangible asset and is not subject to amortization until the associated projects are completed or terminated.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no longer be indefinite.</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Prior to 2012, we had four reporting units: Itron North America (INA), Itron International (INL) Electricity, INL Gas, and INL Water. Effective January 1, 2012, we changed to three reporting units, which are Electricity, Gas, and Water. Each reporting unit corresponds with its respective operating segment, effective in the fourth quarter of 2013.</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recorded. Changes in these factors and related estimates could materially affect our financial position and results of operations. Legal costs to defend against contingent liabilities are expensed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result in awards that are significantly greater or less than the estimates made in earlier quarters.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our quality control efforts fail to detect a fault in one of our products, we experience an increase in warranty claims. We track warranty claims to identify potential warranty trends. If an unusual trend is noted, an additional warranty accrual would be recorded if a failure event is probable and the cost can be reasonably estimated. When new products are introduced, our process relies on historical averages of similar products until sufficient data are available. As actual experience becomes available, it is used to modify the original estimate to ensure the expected warranty costs are within a range of likely outcomes. Management regularly evaluates the sufficiency of the warranty provisions and makes adjustments when necessary. The warranty allowances may fluctuate due to higher than anticipated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and Asset Impairments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record a liability for costs associated with an exit or disposal activity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latter of when we terminate a contract in accordance with the contract terms or when we cease using the rights conveyed by the contract.</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 impairments are determined at the asset group level. An impairment may be recorded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and risk of loss. The majority of our revenue is recognized when products are shipped to or received by a customer or when services are provided.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Hardware revenues are recognized at the time of shipment, receipt by the customer, or, if applicable, upon completion of customer acceptance provisions.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network software revenue is recognized when shipped if all other revenue recognition criteria are met and services are not essential to the functionality of the software. If implementation services are essential to the functionality of the network software, software and implementation revenues are recognized using the percentage-of-completion methodology of contract accounting when project costs are reliably estimated.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data collection system does not use standard internet protocols and network design services are deemed complex and extensive, revenue from network software and services is recognized using the units-of-delivery method of contract accounting, as network design services and network software are essential to the functionality of the related hardware (network). This methodology results in the deferral of costs and revenues as professional services and software implementation commence prior to deployment of hardware.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it is estimated.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multiple deliverable software arrangements.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the cost to produce the deliverable, the anticipated margin on that deliverable, our ongoing pricing strategy and policies, and the characteristics of the varying markets in which the deliverable is sold.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Unearned revenue is recorded when a customer pays for products or services, but the criteria for revenue recognition have not been met as of the balance sheet date. Unearned revenues of $69.8 million and $74.9 million at December 31, 2013 and 2012 related primarily to professional services and software associated with our smart metering contracts, extended or noncustomary warranty, and prepaid post-contract support. Deferred costs are recorded for products or services for which ownership (typically defined as title and risk of loss) has transferred to the customer, but the criteria for revenue recognition have not been met as of the balance sheet date. Deferred costs were $23.5 million and $24.4 million at December 31, 2013 and 2012 and are recorded within other assets in the Consolidated Balance Sheets.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do not capitalize product development costs, and we do not generally capitalize software development expenses as the costs incurred are immaterial for the relatively short period of time between technological feasibility and the completion of software development.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term. For ESPP awards, the fair value is the difference between the market close price of our common stock on the date of purchase and the discounted purchase price. For performance-based restricted stock units and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October 1, 2013, we changed the terms of the ESPP to reduce the discount to 5% from the fair market value of the stock at the end of each fiscal quarter. As a result of this change, the ESPP is no longer considered compensatory, and no compensation expense is recognized for sales of our common stock to employees.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recorded to reduce the carrying amounts of deferred tax assets if it is not more likely than not that such assets will be realized. We do not record tax liabilities on undistributed earnings of international subsidiaries that are permanently reinvested.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Financial Accounting Standards Board issued Accounting Standards Update (ASU) 2013.11, </w:t>
      </w:r>
      <w:r>
        <w:rPr>
          <w:rFonts w:ascii="Arial" w:cs="Arial" w:eastAsia="Arial" w:hAnsi="Arial"/>
          <w:sz w:val="17"/>
          <w:szCs w:val="17"/>
          <w:i w:val="1"/>
          <w:iCs w:val="1"/>
          <w:color w:val="auto"/>
        </w:rPr>
        <w:t>Presentation of an Unrecognized Tax Benefit When a Net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Operating Loss Carryforward, a Similar Tax Loss, or a Tax Credit Carryforward Exists </w:t>
      </w:r>
      <w:r>
        <w:rPr>
          <w:rFonts w:ascii="Arial" w:cs="Arial" w:eastAsia="Arial" w:hAnsi="Arial"/>
          <w:sz w:val="17"/>
          <w:szCs w:val="17"/>
          <w:color w:val="auto"/>
        </w:rPr>
        <w:t>on July 18, 2013. The ASU requires that an unrecognized tax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presented as a reduction of a deferred tax asset when settlement in this manner is available under the law. We adopted this amendment as of January 1, 2014. The result of adoption will be to reclassify certain long-term liabilities to long-term deferred tax assets, and the adoption will not result in a change to the tax provision. We do not believe that the impact on the balance sheet will be material.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(Loss) Per Share and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w w:val="94"/>
              </w:rPr>
              <w:t>2011</w:t>
            </w:r>
          </w:p>
        </w:tc>
      </w:tr>
      <w:tr>
        <w:trPr>
          <w:trHeight w:val="27"/>
        </w:trPr>
        <w:tc>
          <w:tcPr>
            <w:tcW w:w="5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0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available to common shareholders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108,275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(510,157)</w:t>
            </w:r>
          </w:p>
        </w:tc>
      </w:tr>
      <w:tr>
        <w:trPr>
          <w:trHeight w:val="284"/>
        </w:trPr>
        <w:tc>
          <w:tcPr>
            <w:tcW w:w="5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39,625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40,612</w:t>
            </w:r>
          </w:p>
        </w:tc>
      </w:tr>
      <w:tr>
        <w:trPr>
          <w:trHeight w:val="243"/>
        </w:trPr>
        <w:tc>
          <w:tcPr>
            <w:tcW w:w="5660" w:type="dxa"/>
            <w:vAlign w:val="bottom"/>
          </w:tcPr>
          <w:p>
            <w:pPr>
              <w:ind w:left="380"/>
              <w:spacing w:after="0"/>
              <w:rPr>
                <w:sz w:val="20"/>
                <w:szCs w:val="20"/>
                <w:color w:val="auto"/>
              </w:rPr>
            </w:pPr>
            <w:r>
              <w:rPr>
                <w:rFonts w:ascii="Arial" w:cs="Arial" w:eastAsia="Arial" w:hAnsi="Arial"/>
                <w:sz w:val="18"/>
                <w:szCs w:val="18"/>
                <w:color w:val="auto"/>
              </w:rPr>
              <w:t>Dilutive effect of stock-based awards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40,612</w:t>
            </w:r>
          </w:p>
        </w:tc>
      </w:tr>
      <w:tr>
        <w:trPr>
          <w:trHeight w:val="297"/>
        </w:trPr>
        <w:tc>
          <w:tcPr>
            <w:tcW w:w="5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(loss) per common share - Basic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w:t>
            </w:r>
          </w:p>
        </w:tc>
      </w:tr>
      <w:tr>
        <w:trPr>
          <w:trHeight w:val="251"/>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 -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0"/>
        </w:trPr>
        <w:tc>
          <w:tcPr>
            <w:tcW w:w="5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As a result of our net losses for 2013 and 2011, there was no dilutive effect to the weighted average common shares outstanding for these years. Approximately 1.4 million, 1.1 million, and 1.3 million stock-based awards were excluded from the calculation of diluted EPS for the years ended December 31, 2013, 2012, and 2011, respectively, because they were anti-dilutive. These stock-based awards could be dilutive in future periods.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issued or outstanding at December 31, 2013, 2012, and 2011.</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8, 2013, the Board authorized a twelve-month repurchase program of up to $50 million in shares of our common stock. From March 8, 2013 through December 31, 2013, we have repurchased approximately 645,000 shares of our common stock, totaling $27.0 million, with $23.0 million remaining under the repurchase program. Repurchases are made in the open market or in privately negotiated transactions and in accordance with applicable securities laws.</w:t>
      </w:r>
    </w:p>
    <w:p>
      <w:pPr>
        <w:spacing w:after="0" w:line="24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2013</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2012</w:t>
            </w: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4"/>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4"/>
          </w:tcPr>
          <w:p>
            <w:pPr>
              <w:jc w:val="right"/>
              <w:ind w:right="16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Trade receivables (net of allowance of $8,368 and $7,372)</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329,352</w:t>
            </w:r>
          </w:p>
        </w:tc>
      </w:tr>
      <w:tr>
        <w:trPr>
          <w:trHeight w:val="243"/>
        </w:trPr>
        <w:tc>
          <w:tcPr>
            <w:tcW w:w="6040" w:type="dxa"/>
            <w:vAlign w:val="bottom"/>
          </w:tcPr>
          <w:p>
            <w:pPr>
              <w:ind w:left="360"/>
              <w:spacing w:after="0"/>
              <w:rPr>
                <w:sz w:val="20"/>
                <w:szCs w:val="20"/>
                <w:color w:val="auto"/>
              </w:rPr>
            </w:pPr>
            <w:r>
              <w:rPr>
                <w:rFonts w:ascii="Arial" w:cs="Arial" w:eastAsia="Arial" w:hAnsi="Arial"/>
                <w:sz w:val="18"/>
                <w:szCs w:val="18"/>
                <w:color w:val="auto"/>
              </w:rPr>
              <w:t>Unbilled receivables</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28,469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45,974</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375,326</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2013 and 2012, $3.2 million and $20.0 million were recorded within trade receivables as billed but not yet paid by customers in accordance with contract retainage provisions. At December 31, 2013 and 2012, contract retainage amounts that were unbilled and classified as unbilled receivables were $4.3 million and $11.1 million. These contract retainage amounts within trade receivables and unbilled receivables are expected to be collected within the following 12 months.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2013, long-term unbilled receivables totaled $4.7 million. These long-term unbilled receivables are classified within other long-term assets, as collection is not anticipated within the following 12 months. We had no long-term billed contract</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retainage receivables at December 31, 2013, as we expect to collect all contract retainage receivables within the following 12 months. We had no long-term unbilled receivables or long-term billed contract retainage receivables at December 31, 2012.</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 activity</w:t>
            </w:r>
          </w:p>
        </w:tc>
        <w:tc>
          <w:tcPr>
            <w:tcW w:w="520" w:type="dxa"/>
            <w:vAlign w:val="bottom"/>
          </w:tcPr>
          <w:p>
            <w:pPr>
              <w:spacing w:after="0"/>
              <w:rPr>
                <w:sz w:val="20"/>
                <w:szCs w:val="20"/>
                <w:color w:val="auto"/>
              </w:rPr>
            </w:pPr>
          </w:p>
        </w:tc>
        <w:tc>
          <w:tcPr>
            <w:tcW w:w="400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60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tcPr>
          <w:p>
            <w:pPr>
              <w:jc w:val="right"/>
              <w:ind w:right="830"/>
              <w:spacing w:after="0"/>
              <w:rPr>
                <w:sz w:val="20"/>
                <w:szCs w:val="20"/>
                <w:color w:val="auto"/>
              </w:rPr>
            </w:pPr>
            <w:r>
              <w:rPr>
                <w:rFonts w:ascii="Arial" w:cs="Arial" w:eastAsia="Arial" w:hAnsi="Arial"/>
                <w:sz w:val="18"/>
                <w:szCs w:val="18"/>
                <w:b w:val="1"/>
                <w:bCs w:val="1"/>
                <w:color w:val="auto"/>
              </w:rPr>
              <w:t>2012</w:t>
            </w:r>
          </w:p>
        </w:tc>
      </w:tr>
      <w:tr>
        <w:trPr>
          <w:trHeight w:val="27"/>
        </w:trPr>
        <w:tc>
          <w:tcPr>
            <w:tcW w:w="60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48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6,049</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Provision of doubtful accounts, net</w:t>
            </w:r>
          </w:p>
        </w:tc>
        <w:tc>
          <w:tcPr>
            <w:tcW w:w="5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1,851</w:t>
            </w:r>
          </w:p>
        </w:tc>
      </w:tr>
      <w:tr>
        <w:trPr>
          <w:trHeight w:val="27"/>
        </w:trPr>
        <w:tc>
          <w:tcPr>
            <w:tcW w:w="6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written-off</w:t>
            </w: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Effects of change in exchange rates</w:t>
            </w:r>
          </w:p>
        </w:tc>
        <w:tc>
          <w:tcPr>
            <w:tcW w:w="5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60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r>
      <w:tr>
        <w:trPr>
          <w:trHeight w:val="20"/>
        </w:trPr>
        <w:tc>
          <w:tcPr>
            <w:tcW w:w="6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i w:val="1"/>
                <w:iCs w:val="1"/>
                <w:color w:val="auto"/>
              </w:rPr>
              <w:t>Inventories</w:t>
            </w: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2013</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2012</w:t>
            </w: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4"/>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4"/>
          </w:tcPr>
          <w:p>
            <w:pPr>
              <w:jc w:val="right"/>
              <w:ind w:right="16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92,038</w:t>
            </w:r>
          </w:p>
        </w:tc>
      </w:tr>
      <w:tr>
        <w:trPr>
          <w:trHeight w:val="243"/>
        </w:trPr>
        <w:tc>
          <w:tcPr>
            <w:tcW w:w="6040" w:type="dxa"/>
            <w:vAlign w:val="bottom"/>
          </w:tcPr>
          <w:p>
            <w:pPr>
              <w:ind w:left="36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13,770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12,568</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66,113</w:t>
            </w:r>
          </w:p>
        </w:tc>
      </w:tr>
      <w:tr>
        <w:trPr>
          <w:trHeight w:val="257"/>
        </w:trPr>
        <w:tc>
          <w:tcPr>
            <w:tcW w:w="6040" w:type="dxa"/>
            <w:vAlign w:val="bottom"/>
          </w:tcPr>
          <w:p>
            <w:pPr>
              <w:ind w:left="72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177,467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170,719</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inventory levels may vary period to period as a result of our factory scheduling and the timing of contract fulfillments, which may include the buildup of finished goods for shipment.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Consigned inventory is held at third-party locations; however, we retain title to the inventory until purchased by the third-party. Consigned inventory, consisting of raw materials and finished goods, was $6.4 million and $5.0 million at December 31, 2013 and 2012, respectively.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i w:val="1"/>
                <w:iCs w:val="1"/>
                <w:color w:val="auto"/>
              </w:rPr>
              <w:t>Property, plant, and equipment, net</w:t>
            </w: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2013</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2012</w:t>
            </w:r>
          </w:p>
        </w:tc>
      </w:tr>
      <w:tr>
        <w:trPr>
          <w:trHeight w:val="27"/>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4"/>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4"/>
          </w:tcPr>
          <w:p>
            <w:pPr>
              <w:jc w:val="right"/>
              <w:ind w:right="16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287,791</w:t>
            </w:r>
          </w:p>
        </w:tc>
      </w:tr>
      <w:tr>
        <w:trPr>
          <w:trHeight w:val="243"/>
        </w:trPr>
        <w:tc>
          <w:tcPr>
            <w:tcW w:w="6040" w:type="dxa"/>
            <w:vAlign w:val="bottom"/>
          </w:tcPr>
          <w:p>
            <w:pPr>
              <w:ind w:left="360"/>
              <w:spacing w:after="0"/>
              <w:rPr>
                <w:sz w:val="20"/>
                <w:szCs w:val="20"/>
                <w:color w:val="auto"/>
              </w:rPr>
            </w:pPr>
            <w:r>
              <w:rPr>
                <w:rFonts w:ascii="Arial" w:cs="Arial" w:eastAsia="Arial" w:hAnsi="Arial"/>
                <w:sz w:val="18"/>
                <w:szCs w:val="18"/>
                <w:color w:val="auto"/>
              </w:rPr>
              <w:t>Computers and software</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99,654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84,980</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Buildings, furniture, and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146,191</w:t>
            </w:r>
          </w:p>
        </w:tc>
      </w:tr>
      <w:tr>
        <w:trPr>
          <w:trHeight w:val="243"/>
        </w:trPr>
        <w:tc>
          <w:tcPr>
            <w:tcW w:w="6040" w:type="dxa"/>
            <w:vAlign w:val="bottom"/>
          </w:tcPr>
          <w:p>
            <w:pPr>
              <w:ind w:left="360"/>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24,005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25,318</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Construction in progress, including purchased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26,097</w:t>
            </w:r>
          </w:p>
        </w:tc>
      </w:tr>
      <w:tr>
        <w:trPr>
          <w:trHeight w:val="237"/>
        </w:trPr>
        <w:tc>
          <w:tcPr>
            <w:tcW w:w="6040" w:type="dxa"/>
            <w:vAlign w:val="bottom"/>
          </w:tcPr>
          <w:p>
            <w:pPr>
              <w:ind w:left="720"/>
              <w:spacing w:after="0"/>
              <w:rPr>
                <w:sz w:val="20"/>
                <w:szCs w:val="20"/>
                <w:color w:val="auto"/>
              </w:rPr>
            </w:pPr>
            <w:r>
              <w:rPr>
                <w:rFonts w:ascii="Arial" w:cs="Arial" w:eastAsia="Arial" w:hAnsi="Arial"/>
                <w:sz w:val="18"/>
                <w:szCs w:val="18"/>
                <w:color w:val="auto"/>
              </w:rPr>
              <w:t>Total cost</w:t>
            </w:r>
          </w:p>
        </w:tc>
        <w:tc>
          <w:tcPr>
            <w:tcW w:w="2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593,367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570,377</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(315,165)</w:t>
            </w:r>
          </w:p>
        </w:tc>
      </w:tr>
      <w:tr>
        <w:trPr>
          <w:trHeight w:val="257"/>
        </w:trPr>
        <w:tc>
          <w:tcPr>
            <w:tcW w:w="6040" w:type="dxa"/>
            <w:vAlign w:val="bottom"/>
          </w:tcPr>
          <w:p>
            <w:pPr>
              <w:ind w:left="11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246,820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255,212</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5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2011</w:t>
            </w:r>
          </w:p>
        </w:tc>
      </w:tr>
      <w:tr>
        <w:trPr>
          <w:trHeight w:val="27"/>
        </w:trPr>
        <w:tc>
          <w:tcPr>
            <w:tcW w:w="6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56,826</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61,661</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66,072</w:t>
            </w:r>
          </w:p>
        </w:tc>
      </w:tr>
      <w:tr>
        <w:trPr>
          <w:trHeight w:val="27"/>
        </w:trPr>
        <w:tc>
          <w:tcPr>
            <w:tcW w:w="60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2013, we placed our ERP software assets in service and transferred them from construction in progress to computers and software.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4"/>
          </w:tcPr>
          <w:p>
            <w:pPr>
              <w:ind w:left="100"/>
              <w:spacing w:after="0"/>
              <w:rPr>
                <w:sz w:val="20"/>
                <w:szCs w:val="20"/>
                <w:color w:val="auto"/>
              </w:rPr>
            </w:pPr>
            <w:r>
              <w:rPr>
                <w:rFonts w:ascii="Arial" w:cs="Arial" w:eastAsia="Arial" w:hAnsi="Arial"/>
                <w:sz w:val="16"/>
                <w:szCs w:val="16"/>
                <w:b w:val="1"/>
                <w:bCs w:val="1"/>
                <w:color w:val="auto"/>
              </w:rPr>
              <w:t>December 31, 2013</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2012</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87"/>
              </w:rPr>
              <w:t>Gross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w w:val="85"/>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w:t>
            </w: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428,890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407,024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74,261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291,185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(173,952)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117,233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292,252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(154,890)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137,362</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7,680</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11,094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0"/>
        </w:trPr>
        <w:tc>
          <w:tcPr>
            <w:tcW w:w="33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intangible assets subject to</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804,281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(608,441)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195,840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783,140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(563,769)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219,371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19,400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19,400</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804,281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(608,441)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195,840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802,540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(563,769)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238,771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 account activity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940" w:type="dxa"/>
            <w:vAlign w:val="bottom"/>
            <w:gridSpan w:val="4"/>
          </w:tcPr>
          <w:p>
            <w:pPr>
              <w:jc w:val="right"/>
              <w:ind w:right="136"/>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gridSpan w:val="3"/>
          </w:tcPr>
          <w:p>
            <w:pPr>
              <w:jc w:val="right"/>
              <w:ind w:right="556"/>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10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802,540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749,194</w:t>
            </w:r>
          </w:p>
        </w:tc>
      </w:tr>
      <w:tr>
        <w:trPr>
          <w:trHeight w:val="237"/>
        </w:trPr>
        <w:tc>
          <w:tcPr>
            <w:tcW w:w="608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43,400</w:t>
            </w:r>
          </w:p>
        </w:tc>
      </w:tr>
      <w:tr>
        <w:trPr>
          <w:trHeight w:val="33"/>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Assets no longer in use written-off</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608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3,241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10,046</w:t>
            </w:r>
          </w:p>
        </w:tc>
      </w:tr>
      <w:tr>
        <w:trPr>
          <w:trHeight w:val="33"/>
        </w:trPr>
        <w:tc>
          <w:tcPr>
            <w:tcW w:w="6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10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804,281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802,540</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Intangible assets acquired in 2012 were related to the SmartSynch acquisition on May 1, 2012, including IPR&amp;D assets that consisted primarily of projects to upgrade the hardware components of cellular communication modules to be compatible with 3G cellular network standards. Upon completion of these projects in March 2013, we performed a qualitative assessment and determined that it was more than likely that the carrying amount of IPR&amp;D was not impaired. Accordingly, the carrying amount of IPR&amp;D was reclassified as core-developed technology and will be amortized, based on the SmartSynch acquisition discounted cash flow valuation model, over its expected useful life of seven years. For the year ended December 31, 2013, the adjustment of $1.5 million to intangible assets acquired is associated with the correction of an error for a long-term revenue contract from the SmartSynch acquisition. See Note 5 for further discussion of the correction of the error and its impact on goodwill.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During 2012, certain assets that had been fully amortized and were no longer in use were removed from our asset ledger.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of our international subsidiaries are recorded in their respective functional currencies; therefore, the carrying amounts of intangible assets increase or decrease, with a corresponding change in accumulated OCI, due to changes in foreign currency exchange rates.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Estimated Annual</w:t>
            </w:r>
          </w:p>
        </w:tc>
      </w:tr>
      <w:tr>
        <w:trPr>
          <w:trHeight w:val="210"/>
        </w:trPr>
        <w:tc>
          <w:tcPr>
            <w:tcW w:w="60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8"/>
                <w:szCs w:val="18"/>
                <w:color w:val="auto"/>
              </w:rPr>
            </w:pPr>
          </w:p>
        </w:tc>
        <w:tc>
          <w:tcPr>
            <w:tcW w:w="162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Amortization</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44,542</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35,740</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28,113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20,908</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14,776</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Beyond 2018</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51,761</w:t>
            </w: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195,840</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December 31, 2013 and 2012: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Electricity</w:t>
            </w:r>
          </w:p>
        </w:tc>
        <w:tc>
          <w:tcPr>
            <w:tcW w:w="440" w:type="dxa"/>
            <w:vAlign w:val="bottom"/>
          </w:tcPr>
          <w:p>
            <w:pPr>
              <w:spacing w:after="0"/>
              <w:rPr>
                <w:sz w:val="20"/>
                <w:szCs w:val="20"/>
                <w:color w:val="auto"/>
              </w:rPr>
            </w:pPr>
          </w:p>
        </w:tc>
        <w:tc>
          <w:tcPr>
            <w:tcW w:w="1480" w:type="dxa"/>
            <w:vAlign w:val="bottom"/>
            <w:gridSpan w:val="2"/>
          </w:tcPr>
          <w:p>
            <w:pPr>
              <w:ind w:left="320"/>
              <w:spacing w:after="0"/>
              <w:rPr>
                <w:sz w:val="20"/>
                <w:szCs w:val="20"/>
                <w:color w:val="auto"/>
              </w:rPr>
            </w:pPr>
            <w:r>
              <w:rPr>
                <w:rFonts w:ascii="Arial" w:cs="Arial" w:eastAsia="Arial" w:hAnsi="Arial"/>
                <w:sz w:val="18"/>
                <w:szCs w:val="18"/>
                <w:b w:val="1"/>
                <w:bCs w:val="1"/>
                <w:color w:val="auto"/>
              </w:rPr>
              <w:t>Gas</w:t>
            </w:r>
          </w:p>
        </w:tc>
        <w:tc>
          <w:tcPr>
            <w:tcW w:w="5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Water</w:t>
            </w:r>
          </w:p>
        </w:tc>
        <w:tc>
          <w:tcPr>
            <w:tcW w:w="22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Total Company</w:t>
            </w:r>
          </w:p>
        </w:tc>
      </w:tr>
      <w:tr>
        <w:trPr>
          <w:trHeight w:val="27"/>
        </w:trPr>
        <w:tc>
          <w:tcPr>
            <w:tcW w:w="3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8"/>
                <w:szCs w:val="18"/>
                <w:color w:val="auto"/>
              </w:rPr>
              <w:t>Goodwill balance at January 1, 2012</w:t>
            </w:r>
          </w:p>
        </w:tc>
        <w:tc>
          <w:tcPr>
            <w:tcW w:w="3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before impairment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413,156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1,221,757</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Accumulated impairment losses</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(254,735)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(330,112)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(584,847)</w:t>
            </w:r>
          </w:p>
        </w:tc>
      </w:tr>
      <w:tr>
        <w:trPr>
          <w:trHeight w:val="27"/>
        </w:trPr>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Goodwill, net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636,910</w:t>
            </w:r>
          </w:p>
        </w:tc>
      </w:tr>
      <w:tr>
        <w:trPr>
          <w:trHeight w:val="284"/>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acquired</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46,101</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4,767</w:t>
            </w: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change in exchange rates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13,238</w:t>
            </w:r>
          </w:p>
        </w:tc>
      </w:tr>
      <w:tr>
        <w:trPr>
          <w:trHeight w:val="284"/>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balance at December 31, 2012</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Goodwill before impairment</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475,711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383,743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414,394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1,273,848</w:t>
            </w: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impairment losses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(249,502)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(572,832)</w:t>
            </w:r>
          </w:p>
        </w:tc>
      </w:tr>
      <w:tr>
        <w:trPr>
          <w:trHeight w:val="237"/>
        </w:trPr>
        <w:tc>
          <w:tcPr>
            <w:tcW w:w="3780" w:type="dxa"/>
            <w:vAlign w:val="bottom"/>
          </w:tcPr>
          <w:p>
            <w:pPr>
              <w:ind w:left="200"/>
              <w:spacing w:after="0"/>
              <w:rPr>
                <w:sz w:val="20"/>
                <w:szCs w:val="20"/>
                <w:color w:val="auto"/>
              </w:rPr>
            </w:pPr>
            <w:r>
              <w:rPr>
                <w:rFonts w:ascii="Arial" w:cs="Arial" w:eastAsia="Arial" w:hAnsi="Arial"/>
                <w:sz w:val="18"/>
                <w:szCs w:val="18"/>
                <w:color w:val="auto"/>
              </w:rPr>
              <w:t>Goodwill, net</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226,209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383,743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91,064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701,016</w:t>
            </w:r>
          </w:p>
        </w:tc>
      </w:tr>
      <w:tr>
        <w:trPr>
          <w:trHeight w:val="27"/>
        </w:trPr>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7"/>
        </w:trPr>
        <w:tc>
          <w:tcPr>
            <w:tcW w:w="3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(173,249)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(173,249)</w:t>
            </w: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of previous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3,958</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Effect of change in exchange rates</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11,135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16,853</w:t>
            </w: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84"/>
        </w:trPr>
        <w:tc>
          <w:tcPr>
            <w:tcW w:w="3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Goodwill balance at December 31, 2013</w:t>
            </w: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before 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493,610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394,878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429,783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1,318,271</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Accumulated impairment losses</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(433,378)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(769,693)</w:t>
            </w:r>
          </w:p>
        </w:tc>
      </w:tr>
      <w:tr>
        <w:trPr>
          <w:trHeight w:val="27"/>
        </w:trPr>
        <w:tc>
          <w:tcPr>
            <w:tcW w:w="3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Goodwill,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60,232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394,878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93,468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548,578</w:t>
            </w:r>
          </w:p>
        </w:tc>
      </w:tr>
      <w:tr>
        <w:trPr>
          <w:trHeight w:val="20"/>
        </w:trPr>
        <w:tc>
          <w:tcPr>
            <w:tcW w:w="3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our annual goodwill impairment test, performed as of October 1, 2013, we performed the first step of the goodwill impairment test, in which we determined that the carrying value of the Electricity reporting unit exceeded its fair value, primarily due to delays in global smart grid projects and lower volumes and pricing pressures in certain regions in Europe and Asia/Pacific. The revised forecast for the Electricity business drove a decrease in the fair value of the reporting unit. As a result, we performed the second step of the goodwill impairment test for the Electricity reporting unit, which indicated a goodwill impairment of $173.2 million was necessary. This charge was recorded during the fourth quarter of 2013. We also tested the Gas and Water reporting units, in conjunction with our annual goodwill impairment testing. We used the qualitative assessment methodology, as we determined it was more likely than not that the fair values of these two reporting units exceeded their respective carrying values. As a result, we did not need to perform the quantitative impairment test for the Gas and Water reporting units, and no goodwill impairments were recognized. Refer to Note 1 for a description of our reporting units and the methods used to determine the fair values of our reporting units and to determine the amount of any goodwill impairment.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second quarter of 2013, we finalized the purchase price allocation related to the SmartSynch acquisition, which was completed on May 1, 2012, and recorded certain adjustments that are reflected in </w:t>
      </w:r>
      <w:r>
        <w:rPr>
          <w:rFonts w:ascii="Arial" w:cs="Arial" w:eastAsia="Arial" w:hAnsi="Arial"/>
          <w:sz w:val="16"/>
          <w:szCs w:val="16"/>
          <w:i w:val="1"/>
          <w:iCs w:val="1"/>
          <w:color w:val="auto"/>
        </w:rPr>
        <w:t>Adjustments of previous acquisitions</w:t>
      </w:r>
      <w:r>
        <w:rPr>
          <w:rFonts w:ascii="Arial" w:cs="Arial" w:eastAsia="Arial" w:hAnsi="Arial"/>
          <w:sz w:val="16"/>
          <w:szCs w:val="16"/>
          <w:color w:val="auto"/>
        </w:rPr>
        <w:t xml:space="preserve"> above. These adjustments primarily affected the fair value calculation of certain accrued liabilities associated with specific contracts. Among these adjustments is the correction of an error associated with a long-term revenue contract acquired from SmartSynch. In May 2013, we determined that certain manufacturing costs were not reflected in the model used to value this contract at acquisition. Once these costs were properly added to the total cost and profitability estimates, we determined the total contract would result in a loss of $2.4 million over the contract term. Therefore, we recognized a liability for this expected loss on the contract and made a corresponding adjustment to goodwill. Further, we had previously recognized a customer relationship intangible asset of $1.5 million associated with this contract, with amortization scheduled to begin in 2014 based on the contract's original projected cash flow. Since the contract is in an overall loss position, we determined that the intangible asset had no value. We reduced the value of this intangible asset to zero with a corresponding adjustment to goodwill. In accordance with relevant accounting guidance, we evaluated the materiality of the error from a qualitative and quantitative perspective. Based on such evaluation, we concluded that recognizing the contract liability and adjusting the intangible asset value during the three months ended June 30, 2013 would not be material, quantitatively or qualitatively, to our results of operations for the three months ended June 30, 2013 or our expected full year results of operations for 2013 and would not have had a material impact on our results for the year ended December 31, 2012. Because these adjustments were not material individually or in aggregate, we did not retrospectively adjust the comparative amounts on the Consolidated Balance Sheet as of December 31, 2012.</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preceding table, "Other" includes activities associated with our restructuring projects announced in the fourth quarter of 2011. During the third quarter of 2012, we identified an error in our consolidated financial statements for the year ended December 31, 2011, which resulted in an overstatement of restructuring expense related to the expected sale of a non-core business. The identified assets to be disposed originally included $6.7 million of goodwill, which was impaired and charged to restructuring expense as a result of the expected sale proceeds being less than the carrying value of the identified assets. During the third quarter of 2012, we determined the amount of goodwill that should have been allocated to the asset disposal group was $1.3 million. In accordance with the relevant guidance, management evaluated the materiality of the error from a qualitative and quantitative perspective. Based on such evaluation, we concluded that correcting the goodwill allocated to this business asset group was not material, quantitatively or qualitatively, to our results of operations for the year ended December 31, 2012 and would not have had a material impact on our results for the year ended December 31, 2011. Accordingly, we recorded a non-cash adjustment during the third quarter of 2012 to reduce restructuring expense and increase goodwill by $5.4 million. Additionally, in 2012, we sold a non-core business in Europe to which we allocated $675,000 of goodwill, which was recognized as restructuring expense.</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and accumulated impairment losses associated with our international subsidiaries are recorded in their respective functional currencies; therefore, the carrying amounts of these balances increase or decrease, with a corresponding change in accumulated OCI, due to changes in foreign currency exchange rates.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Note 6:  Debt</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The components of our borrowings are as follows:</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86"/>
        </w:trPr>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 2013</w:t>
            </w:r>
          </w:p>
        </w:tc>
        <w:tc>
          <w:tcPr>
            <w:tcW w:w="260" w:type="dxa"/>
            <w:vAlign w:val="bottom"/>
          </w:tcPr>
          <w:p>
            <w:pPr>
              <w:spacing w:after="0"/>
              <w:rPr>
                <w:sz w:val="24"/>
                <w:szCs w:val="24"/>
                <w:color w:val="auto"/>
              </w:rPr>
            </w:pPr>
          </w:p>
        </w:tc>
        <w:tc>
          <w:tcPr>
            <w:tcW w:w="200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December 31, 2012</w:t>
            </w:r>
          </w:p>
        </w:tc>
      </w:tr>
      <w:tr>
        <w:trPr>
          <w:trHeight w:val="27"/>
        </w:trPr>
        <w:tc>
          <w:tcPr>
            <w:tcW w:w="4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gridSpan w:val="4"/>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gridSpan w:val="4"/>
          </w:tcPr>
          <w:p>
            <w:pPr>
              <w:jc w:val="right"/>
              <w:ind w:right="167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4380" w:type="dxa"/>
            <w:vAlign w:val="bottom"/>
          </w:tcPr>
          <w:p>
            <w:pPr>
              <w:ind w:left="520"/>
              <w:spacing w:after="0"/>
              <w:rPr>
                <w:sz w:val="20"/>
                <w:szCs w:val="20"/>
                <w:color w:val="auto"/>
              </w:rPr>
            </w:pPr>
            <w:r>
              <w:rPr>
                <w:rFonts w:ascii="Arial" w:cs="Arial" w:eastAsia="Arial" w:hAnsi="Arial"/>
                <w:sz w:val="18"/>
                <w:szCs w:val="18"/>
                <w:color w:val="auto"/>
              </w:rPr>
              <w:t>Credit Facilities</w:t>
            </w:r>
          </w:p>
        </w:tc>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
        </w:trPr>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USD denominated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277,500</w:t>
            </w: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Multicurrency revolving line of credit</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140,000</w:t>
            </w:r>
          </w:p>
        </w:tc>
      </w:tr>
      <w:tr>
        <w:trPr>
          <w:trHeight w:val="27"/>
        </w:trPr>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417,500</w:t>
            </w:r>
          </w:p>
        </w:tc>
      </w:tr>
      <w:tr>
        <w:trPr>
          <w:trHeight w:val="243"/>
        </w:trPr>
        <w:tc>
          <w:tcPr>
            <w:tcW w:w="4380" w:type="dxa"/>
            <w:vAlign w:val="bottom"/>
          </w:tcPr>
          <w:p>
            <w:pPr>
              <w:ind w:left="600"/>
              <w:spacing w:after="0"/>
              <w:rPr>
                <w:sz w:val="20"/>
                <w:szCs w:val="20"/>
                <w:color w:val="auto"/>
              </w:rPr>
            </w:pPr>
            <w:r>
              <w:rPr>
                <w:rFonts w:ascii="Arial" w:cs="Arial" w:eastAsia="Arial" w:hAnsi="Arial"/>
                <w:sz w:val="18"/>
                <w:szCs w:val="18"/>
                <w:color w:val="auto"/>
              </w:rPr>
              <w:t>Less: Current portion of debt</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18,750</w:t>
            </w:r>
          </w:p>
        </w:tc>
      </w:tr>
      <w:tr>
        <w:trPr>
          <w:trHeight w:val="27"/>
        </w:trPr>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398,750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Facilities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2011, we entered into a senior secured credit facility (2011 credit facility), which replaced the senior secured credit facility we entered into in 2007 (2007 credit facility). The 2011 credit facility consists of a $300 million U.S. dollar term loan (the term loan) and a multicurrency revolving line of credit (the revolver) with a principal amount of up to $660 million. Both the term loan and the revolver mature on August 8, 2016, and amounts borrowed under the revolver are classified as long-term. Amounts borrowed under the revolver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0.20% to 0.40% per annum depending on our total leverage ratio as of the most recently ended fiscal quarter. Amounts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repaid on the term loan may not be reborrowed. The 2011 credit facility permits us and certain of our foreign subsidiaries to borrow in U.S. dollars, euros, British pounds, or, with lender approval, other currencies readily convertible into U.S. dollars. All obligations under the 2011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2011 credit facility, are guaranteed by the foreign subsidiary and by its direct and indirect foreign parents. The 2011 credit facility includes debt covenants, which contain certain financial thresholds and place certain restrictions on the incurrence of debt, investments, and the issuance of dividends. We were in compliance with the debt covenants under the 2011 credit facility at December 31, 2013.</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amounts of $5.6 million through June 2014, $7.5 million from September 2014 through June 2016, and the remainder due at maturity on August 8, 2016. The term loan may be repaid early in whole or in part, subject to certain minimum thresholds, without penalty.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Required minimum principal payments on our outstanding credit facilities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Minimum Payments</w:t>
            </w:r>
          </w:p>
        </w:tc>
      </w:tr>
      <w:tr>
        <w:trPr>
          <w:trHeight w:val="27"/>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(in thousands)</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322,500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00" w:type="dxa"/>
            <w:vAlign w:val="bottom"/>
          </w:tcPr>
          <w:p>
            <w:pPr>
              <w:ind w:left="40"/>
              <w:spacing w:after="0"/>
              <w:rPr>
                <w:sz w:val="20"/>
                <w:szCs w:val="20"/>
                <w:color w:val="auto"/>
              </w:rPr>
            </w:pPr>
            <w:r>
              <w:rPr>
                <w:rFonts w:ascii="Arial" w:cs="Arial" w:eastAsia="Arial" w:hAnsi="Arial"/>
                <w:sz w:val="18"/>
                <w:szCs w:val="18"/>
                <w:color w:val="auto"/>
              </w:rPr>
              <w:t>Total minimum payments on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378,750</w:t>
            </w:r>
          </w:p>
        </w:tc>
      </w:tr>
      <w:tr>
        <w:trPr>
          <w:trHeight w:val="20"/>
        </w:trPr>
        <w:tc>
          <w:tcPr>
            <w:tcW w:w="3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2011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plus an applicable margin, or (2) the Alternate Base Rate, plus an applicable margin. The Alternate Base Rate election is equal to the greatest of three rates: (i) the prime rate, (ii) the Federal Reserve effective rate plus 1/2 of 1%, or (iii) one month LIBOR plus 1%. At December 31, 2013, the interest rate for both the term loan and the revolver was 1.67% (the LIBOR rate plus a margin of 1.50%).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Total credit facility repayments were as follows: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5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40" w:type="dxa"/>
            <w:vAlign w:val="bottom"/>
            <w:gridSpan w:val="6"/>
          </w:tcPr>
          <w:p>
            <w:pPr>
              <w:jc w:val="right"/>
              <w:ind w:right="150"/>
              <w:spacing w:after="0"/>
              <w:rPr>
                <w:sz w:val="20"/>
                <w:szCs w:val="20"/>
                <w:color w:val="auto"/>
              </w:rPr>
            </w:pPr>
            <w:r>
              <w:rPr>
                <w:rFonts w:ascii="Arial" w:cs="Arial" w:eastAsia="Arial" w:hAnsi="Arial"/>
                <w:sz w:val="18"/>
                <w:szCs w:val="18"/>
                <w:b w:val="1"/>
                <w:bCs w:val="1"/>
                <w:color w:val="auto"/>
                <w:w w:val="89"/>
              </w:rPr>
              <w:t>Year Ended December 31,</w:t>
            </w:r>
          </w:p>
        </w:tc>
        <w:tc>
          <w:tcPr>
            <w:tcW w:w="1200" w:type="dxa"/>
            <w:vAlign w:val="bottom"/>
          </w:tcPr>
          <w:p>
            <w:pPr>
              <w:spacing w:after="0"/>
              <w:rPr>
                <w:sz w:val="24"/>
                <w:szCs w:val="24"/>
                <w:color w:val="auto"/>
              </w:rPr>
            </w:pPr>
          </w:p>
        </w:tc>
      </w:tr>
      <w:tr>
        <w:trPr>
          <w:trHeight w:val="27"/>
        </w:trPr>
        <w:tc>
          <w:tcPr>
            <w:tcW w:w="5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r>
      <w:tr>
        <w:trPr>
          <w:trHeight w:val="27"/>
        </w:trPr>
        <w:tc>
          <w:tcPr>
            <w:tcW w:w="5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 credit facility term loan</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18,750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8"/>
                <w:szCs w:val="18"/>
                <w:color w:val="auto"/>
              </w:rPr>
              <w:t>2011 credit facility multicurrency revolving line of credit</w:t>
            </w:r>
            <w:r>
              <w:rPr>
                <w:rFonts w:ascii="Arial" w:cs="Arial" w:eastAsia="Arial" w:hAnsi="Arial"/>
                <w:sz w:val="25"/>
                <w:szCs w:val="25"/>
                <w:color w:val="auto"/>
                <w:vertAlign w:val="superscript"/>
              </w:rPr>
              <w:t>(1)</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55,000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40,000</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2007 credit facility term loans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406,950</w:t>
            </w:r>
          </w:p>
        </w:tc>
      </w:tr>
      <w:tr>
        <w:trPr>
          <w:trHeight w:val="270"/>
        </w:trPr>
        <w:tc>
          <w:tcPr>
            <w:tcW w:w="55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2007 credit facility revolving line of credit</w:t>
            </w:r>
            <w:r>
              <w:rPr>
                <w:rFonts w:ascii="Arial" w:cs="Arial" w:eastAsia="Arial" w:hAnsi="Arial"/>
                <w:sz w:val="25"/>
                <w:szCs w:val="25"/>
                <w:color w:val="auto"/>
                <w:vertAlign w:val="superscript"/>
              </w:rPr>
              <w:t>(2)</w:t>
            </w:r>
          </w:p>
        </w:tc>
        <w:tc>
          <w:tcPr>
            <w:tcW w:w="9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170,000</w:t>
            </w:r>
          </w:p>
        </w:tc>
      </w:tr>
      <w:tr>
        <w:trPr>
          <w:trHeight w:val="257"/>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credit facility repayments</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73,750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624,450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We borrowed $35.0 million and $80.0 million under the multicurrency revolving line of credit during 2013 and 2012, respectively.</w:t>
      </w:r>
    </w:p>
    <w:p>
      <w:pPr>
        <w:spacing w:after="0" w:line="144"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See repayment of the convertible senior subordinated notes below.</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2013, $120 million was outstanding under the 2011 credit facility revolver, and $49.5 million was utilized by outstanding standby letters of credit, resulting in $490.5 million available for additional borrowings.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Prepaid debt fees of approximately $897,000 were capitalized in the second quarter of 2012 associated with the increase in the revolver in April 2012. At December 31, 2013 and 2012, unamortized prepaid debt fees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Arial" w:cs="Arial" w:eastAsia="Arial" w:hAnsi="Arial"/>
                <w:sz w:val="18"/>
                <w:szCs w:val="18"/>
                <w:b w:val="1"/>
                <w:bCs w:val="1"/>
                <w:color w:val="auto"/>
              </w:rPr>
              <w:t>December 31, 2013</w:t>
            </w:r>
          </w:p>
        </w:tc>
        <w:tc>
          <w:tcPr>
            <w:tcW w:w="3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2012</w:t>
            </w:r>
          </w:p>
        </w:tc>
      </w:tr>
      <w:tr>
        <w:trPr>
          <w:trHeight w:val="27"/>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3"/>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80" w:type="dxa"/>
            <w:vAlign w:val="bottom"/>
            <w:gridSpan w:val="3"/>
          </w:tcPr>
          <w:p>
            <w:pPr>
              <w:ind w:left="13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prepaid debt fees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3,810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5,367</w:t>
            </w:r>
          </w:p>
        </w:tc>
      </w:tr>
      <w:tr>
        <w:trPr>
          <w:trHeight w:val="27"/>
        </w:trPr>
        <w:tc>
          <w:tcPr>
            <w:tcW w:w="5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 2011, in accordance with the terms of the convertible senior subordinated notes (convertible notes), we repurchased $184.8 million of the convertible notes at their principal amount plus accrued and unpaid interest. On September 30, 2011, we redeemed the remaining $38.8 million of the convertible notes, plus accrued and unpaid interest.</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convertible notes were separated between the liability and equity components using our estimated non-convertible debt borrowing rate at the time the convertible notes were issued, which was determined to be 7.38%. This rate also reflected the effective interest rate on the liability component for all periods during which the convertible notes were outstanding. The carrying amount of the equity component of $31.8 million is retained as a permanent component of our shareholders' equity, and no gain or loss was recognized upon derecognition of the convertible notes as the fair value of the consideration transferred to the holders equaled the fair value of the liability component.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on the liability component was fully amortized by the end of the second quarter of 2011. The interest expense relating to both the contractual interest coupon and amortization of the discount on the liability component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1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r>
      <w:tr>
        <w:trPr>
          <w:trHeight w:val="27"/>
        </w:trPr>
        <w:tc>
          <w:tcPr>
            <w:tcW w:w="5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1120" w:type="dxa"/>
            <w:vAlign w:val="bottom"/>
          </w:tcPr>
          <w:p>
            <w:pPr>
              <w:spacing w:after="0"/>
              <w:rPr>
                <w:sz w:val="21"/>
                <w:szCs w:val="21"/>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5,336</w:t>
            </w:r>
          </w:p>
        </w:tc>
      </w:tr>
      <w:tr>
        <w:trPr>
          <w:trHeight w:val="27"/>
        </w:trPr>
        <w:tc>
          <w:tcPr>
            <w:tcW w:w="5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 on convertible notes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8,756</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14, and Note 15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at December 31, 2013. We include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at December 31, 2013 and 2012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580" w:type="dxa"/>
            <w:vAlign w:val="bottom"/>
          </w:tcPr>
          <w:p>
            <w:pPr>
              <w:spacing w:after="0"/>
              <w:rPr>
                <w:sz w:val="20"/>
                <w:szCs w:val="20"/>
                <w:color w:val="auto"/>
              </w:rPr>
            </w:pPr>
          </w:p>
        </w:tc>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45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Asset Derivatives</w:t>
            </w:r>
          </w:p>
        </w:tc>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
        </w:trPr>
        <w:tc>
          <w:tcPr>
            <w:tcW w:w="8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58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3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7"/>
        </w:trPr>
        <w:tc>
          <w:tcPr>
            <w:tcW w:w="8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Derivatives designated as hedging instruments under ASC 815-20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Interest rate swap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2,096</w:t>
            </w:r>
          </w:p>
        </w:tc>
      </w:tr>
      <w:tr>
        <w:trPr>
          <w:trHeight w:val="27"/>
        </w:trPr>
        <w:tc>
          <w:tcPr>
            <w:tcW w:w="8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45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liability derivatives</w:t>
            </w:r>
          </w:p>
        </w:tc>
        <w:tc>
          <w:tcPr>
            <w:tcW w:w="3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Assets</w:t>
      </w:r>
    </w:p>
    <w:p>
      <w:pPr>
        <w:spacing w:after="0" w:line="55" w:lineRule="exact"/>
        <w:rPr>
          <w:sz w:val="20"/>
          <w:szCs w:val="20"/>
          <w:color w:val="auto"/>
        </w:rPr>
      </w:pPr>
    </w:p>
    <w:p>
      <w:pPr>
        <w:jc w:val="center"/>
        <w:ind w:left="3420"/>
        <w:spacing w:after="0"/>
        <w:rPr>
          <w:sz w:val="20"/>
          <w:szCs w:val="20"/>
          <w:color w:val="auto"/>
        </w:rPr>
      </w:pPr>
      <w:r>
        <w:rPr>
          <w:rFonts w:ascii="Arial" w:cs="Arial" w:eastAsia="Arial" w:hAnsi="Arial"/>
          <w:sz w:val="14"/>
          <w:szCs w:val="14"/>
          <w:b w:val="1"/>
          <w:bCs w:val="1"/>
          <w:color w:val="auto"/>
        </w:rPr>
        <w:t>Gross Amounts Not</w:t>
      </w:r>
    </w:p>
    <w:p>
      <w:pPr>
        <w:spacing w:after="0" w:line="4" w:lineRule="exact"/>
        <w:rPr>
          <w:sz w:val="20"/>
          <w:szCs w:val="20"/>
          <w:color w:val="auto"/>
        </w:rPr>
      </w:pPr>
    </w:p>
    <w:p>
      <w:pPr>
        <w:jc w:val="center"/>
        <w:ind w:left="3420"/>
        <w:spacing w:after="0"/>
        <w:rPr>
          <w:sz w:val="20"/>
          <w:szCs w:val="20"/>
          <w:color w:val="auto"/>
        </w:rPr>
      </w:pPr>
      <w:r>
        <w:rPr>
          <w:rFonts w:ascii="Arial" w:cs="Arial" w:eastAsia="Arial" w:hAnsi="Arial"/>
          <w:sz w:val="14"/>
          <w:szCs w:val="14"/>
          <w:b w:val="1"/>
          <w:bCs w:val="1"/>
          <w:color w:val="auto"/>
        </w:rPr>
        <w:t>Offset in the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45"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88"/>
              </w:rPr>
              <w:t>Assets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Derivative Financial</w:t>
            </w: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89"/>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Cash Collateral Received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Instruments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2180"/>
              <w:spacing w:after="0"/>
              <w:rPr>
                <w:sz w:val="20"/>
                <w:szCs w:val="20"/>
                <w:color w:val="auto"/>
              </w:rPr>
            </w:pPr>
            <w:r>
              <w:rPr>
                <w:rFonts w:ascii="Arial" w:cs="Arial" w:eastAsia="Arial" w:hAnsi="Arial"/>
                <w:sz w:val="14"/>
                <w:szCs w:val="14"/>
                <w:color w:val="auto"/>
                <w:w w:val="92"/>
              </w:rPr>
              <w:t>December 31, 2013</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180"/>
              <w:spacing w:after="0"/>
              <w:rPr>
                <w:sz w:val="20"/>
                <w:szCs w:val="20"/>
                <w:color w:val="auto"/>
              </w:rPr>
            </w:pPr>
            <w:r>
              <w:rPr>
                <w:rFonts w:ascii="Arial" w:cs="Arial" w:eastAsia="Arial" w:hAnsi="Arial"/>
                <w:sz w:val="14"/>
                <w:szCs w:val="14"/>
                <w:color w:val="auto"/>
                <w:w w:val="92"/>
              </w:rPr>
              <w:t>December 31, 2012</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Liabilities</w:t>
      </w:r>
    </w:p>
    <w:p>
      <w:pPr>
        <w:spacing w:after="0" w:line="55" w:lineRule="exact"/>
        <w:rPr>
          <w:sz w:val="20"/>
          <w:szCs w:val="20"/>
          <w:color w:val="auto"/>
        </w:rPr>
      </w:pPr>
    </w:p>
    <w:p>
      <w:pPr>
        <w:jc w:val="center"/>
        <w:ind w:left="3420"/>
        <w:spacing w:after="0"/>
        <w:rPr>
          <w:sz w:val="20"/>
          <w:szCs w:val="20"/>
          <w:color w:val="auto"/>
        </w:rPr>
      </w:pPr>
      <w:r>
        <w:rPr>
          <w:rFonts w:ascii="Arial" w:cs="Arial" w:eastAsia="Arial" w:hAnsi="Arial"/>
          <w:sz w:val="14"/>
          <w:szCs w:val="14"/>
          <w:b w:val="1"/>
          <w:bCs w:val="1"/>
          <w:color w:val="auto"/>
        </w:rPr>
        <w:t>Gross Amounts Not</w:t>
      </w:r>
    </w:p>
    <w:p>
      <w:pPr>
        <w:spacing w:after="0" w:line="4" w:lineRule="exact"/>
        <w:rPr>
          <w:sz w:val="20"/>
          <w:szCs w:val="20"/>
          <w:color w:val="auto"/>
        </w:rPr>
      </w:pPr>
    </w:p>
    <w:p>
      <w:pPr>
        <w:jc w:val="center"/>
        <w:ind w:left="3420"/>
        <w:spacing w:after="0"/>
        <w:rPr>
          <w:sz w:val="20"/>
          <w:szCs w:val="20"/>
          <w:color w:val="auto"/>
        </w:rPr>
      </w:pPr>
      <w:r>
        <w:rPr>
          <w:rFonts w:ascii="Arial" w:cs="Arial" w:eastAsia="Arial" w:hAnsi="Arial"/>
          <w:sz w:val="14"/>
          <w:szCs w:val="14"/>
          <w:b w:val="1"/>
          <w:bCs w:val="1"/>
          <w:color w:val="auto"/>
        </w:rPr>
        <w:t>Offset in the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340" w:type="dxa"/>
            <w:vAlign w:val="bottom"/>
          </w:tcPr>
          <w:p>
            <w:pPr>
              <w:spacing w:after="0"/>
              <w:rPr>
                <w:sz w:val="12"/>
                <w:szCs w:val="12"/>
                <w:color w:val="auto"/>
              </w:rPr>
            </w:pPr>
          </w:p>
        </w:tc>
        <w:tc>
          <w:tcPr>
            <w:tcW w:w="2080" w:type="dxa"/>
            <w:vAlign w:val="bottom"/>
            <w:gridSpan w:val="2"/>
          </w:tcPr>
          <w:p>
            <w:pPr>
              <w:jc w:val="center"/>
              <w:ind w:right="68"/>
              <w:spacing w:after="0" w:line="145" w:lineRule="exact"/>
              <w:rPr>
                <w:sz w:val="20"/>
                <w:szCs w:val="20"/>
                <w:color w:val="auto"/>
              </w:rPr>
            </w:pPr>
            <w:r>
              <w:rPr>
                <w:rFonts w:ascii="Arial" w:cs="Arial" w:eastAsia="Arial" w:hAnsi="Arial"/>
                <w:sz w:val="14"/>
                <w:szCs w:val="14"/>
                <w:b w:val="1"/>
                <w:bCs w:val="1"/>
                <w:color w:val="auto"/>
                <w:w w:val="90"/>
              </w:rPr>
              <w:t>Gross Amounts of Recognized</w:t>
            </w:r>
          </w:p>
        </w:tc>
        <w:tc>
          <w:tcPr>
            <w:tcW w:w="2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3"/>
              </w:rPr>
              <w:t>Liabilities Presented in</w:t>
            </w:r>
          </w:p>
        </w:tc>
        <w:tc>
          <w:tcPr>
            <w:tcW w:w="220" w:type="dxa"/>
            <w:vAlign w:val="bottom"/>
          </w:tcPr>
          <w:p>
            <w:pPr>
              <w:spacing w:after="0"/>
              <w:rPr>
                <w:sz w:val="12"/>
                <w:szCs w:val="12"/>
                <w:color w:val="auto"/>
              </w:rPr>
            </w:pPr>
          </w:p>
        </w:tc>
        <w:tc>
          <w:tcPr>
            <w:tcW w:w="1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Derivative Financial</w:t>
            </w: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89"/>
              </w:rPr>
              <w:t>the Consolidated</w:t>
            </w: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Cash Collateral Pledged</w:t>
            </w:r>
          </w:p>
        </w:tc>
        <w:tc>
          <w:tcPr>
            <w:tcW w:w="440" w:type="dxa"/>
            <w:vAlign w:val="bottom"/>
          </w:tcPr>
          <w:p>
            <w:pPr>
              <w:spacing w:after="0"/>
              <w:rPr>
                <w:sz w:val="12"/>
                <w:szCs w:val="12"/>
                <w:color w:val="auto"/>
              </w:rPr>
            </w:pPr>
          </w:p>
        </w:tc>
        <w:tc>
          <w:tcPr>
            <w:tcW w:w="15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ind w:left="13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2180"/>
              <w:spacing w:after="0"/>
              <w:rPr>
                <w:sz w:val="20"/>
                <w:szCs w:val="20"/>
                <w:color w:val="auto"/>
              </w:rPr>
            </w:pPr>
            <w:r>
              <w:rPr>
                <w:rFonts w:ascii="Arial" w:cs="Arial" w:eastAsia="Arial" w:hAnsi="Arial"/>
                <w:sz w:val="14"/>
                <w:szCs w:val="14"/>
                <w:color w:val="auto"/>
                <w:w w:val="92"/>
              </w:rPr>
              <w:t>December 31, 2013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2,176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2,136</w:t>
            </w: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180"/>
              <w:spacing w:after="0"/>
              <w:rPr>
                <w:sz w:val="20"/>
                <w:szCs w:val="20"/>
                <w:color w:val="auto"/>
              </w:rPr>
            </w:pPr>
            <w:r>
              <w:rPr>
                <w:rFonts w:ascii="Arial" w:cs="Arial" w:eastAsia="Arial" w:hAnsi="Arial"/>
                <w:sz w:val="14"/>
                <w:szCs w:val="14"/>
                <w:color w:val="auto"/>
                <w:w w:val="92"/>
              </w:rPr>
              <w:t>December 31, 2012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9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2,839</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derivative assets and liabilities consist of foreign exchange forward and interest rate swap contracts with seven counterparties at December 31, 2013 and eight counterparties at December 31, 2012. No derivative asset or liability balance with any of our counterparties was individually significant at December 31, 2013 or 2012.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(collectively, hedging instruments), net of tax, was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2012</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instruments at January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Unrealized gain (loss) on derivative instruments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(1,689)</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(gains) losses reclassified into net income (loss)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unrealized gain (loss) on hedging instruments at December 31,</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(16,069)</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termination of our net investment hedge in August 2011, the net derivative loss of $14.4 million will remain in accumulated OCI until such time when earnings are impacted by a sale or liquidation of the associated foreign operation.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increase our ability to forecast interest expense. The objective of these swaps is to reduce the variability of cash flows from increases in the LIBOR base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2012, we entered into six forward starting pay-fixed receive one-month LIBOR interest rate swaps. The interest rate swaps convert $200 million of our LIBOR based debt from a floating LIBOR interest rate to a fixed interest rate of 1.00% (excluding the applicable margin on the debt) and are effective July 31, 2013 to August 8, 2016. The cash flow hedges are expected to be highly effective in achieving offsetting cash flows attributable to the hedged risk through the term of the hedge. Consequently, effective changes in the fair value of the interest rate swaps are recorded as a component of OCI and will be recognized in earnings when the hedged item affects earnings. The amounts paid or received on the hedges will be recognized as adjustments to interest expense. The amount of net losses expected to be reclassified into earnings in the next 12 months is $1.5 million. At December 31, 2013, our LIBOR-based debt balance was $378.8 million.</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2007, we entered into a pay fixed 6.59% receive three-month Euro Interbank Offered Rate (EURIBOR), plus 2%, amortizing interest rate swap to convert a significant portion of our euro denominated variable-rate term loan to fixed-rate debt, plus or minus the variance in the applicable margin from 2%, with an original maturity date of December 31, 2012. The objective of this swap was to protect us from increases in the EURIBOR base borrowing rates. The swaps did not protect us from changes to the applicable margin under our credit agreement. Throughout the duration of the hedging relationship, this cash flow hedge was expected to be highly effective in achieving offsetting cash flows attributable to the hedged risk. Consequently, effective changes in the fair value of the interest rate swap were recorded as a component of OCI and were recognized in earnings when the hedged item affected earnings. The amounts paid or received on the hedge were recognized as adjustments to interest expense. In August 2011, we repaid our 2007 credit facility, which included the euro-denominated term loan. In conjunction with the debt repayment, we paid $2.9 million to terminate the related interest rate swap, and the accumulated loss in OCI was reclassified to interest expense.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2010, we entered into two interest rate swaps with one-year terms, which each converted $100 million of our U.S. dollar term loan from a floating LIBOR interest rate to fixed interest rates of 2.11% and 2.15%, respectively. These swaps expired on June 30, 2011 and did not include the additional interest rate margin applicable to our term debt.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 of our cash flow derivative instruments on the Consolidated Balance Sheets and the Consolidated Statements of Operations for the years ended December 31 are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Derivatives in ASC 815-</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gridSpan w:val="7"/>
          </w:tcPr>
          <w:p>
            <w:pPr>
              <w:jc w:val="right"/>
              <w:spacing w:after="0"/>
              <w:rPr>
                <w:sz w:val="20"/>
                <w:szCs w:val="20"/>
                <w:color w:val="auto"/>
              </w:rPr>
            </w:pPr>
            <w:r>
              <w:rPr>
                <w:rFonts w:ascii="Arial" w:cs="Arial" w:eastAsia="Arial" w:hAnsi="Arial"/>
                <w:sz w:val="13"/>
                <w:szCs w:val="13"/>
                <w:b w:val="1"/>
                <w:bCs w:val="1"/>
                <w:color w:val="auto"/>
              </w:rPr>
              <w:t>Gain (Loss) Reclassified from 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6"/>
          </w:tcPr>
          <w:p>
            <w:pPr>
              <w:jc w:val="center"/>
              <w:ind w:left="717"/>
              <w:spacing w:after="0"/>
              <w:rPr>
                <w:sz w:val="20"/>
                <w:szCs w:val="20"/>
                <w:color w:val="auto"/>
              </w:rPr>
            </w:pPr>
            <w:r>
              <w:rPr>
                <w:rFonts w:ascii="Arial" w:cs="Arial" w:eastAsia="Arial" w:hAnsi="Arial"/>
                <w:sz w:val="13"/>
                <w:szCs w:val="13"/>
                <w:b w:val="1"/>
                <w:bCs w:val="1"/>
                <w:color w:val="auto"/>
                <w:w w:val="87"/>
              </w:rPr>
              <w:t>Gain (Loss) Recognized in Income on</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2"/>
              </w:rPr>
              <w:t>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5"/>
          </w:tcPr>
          <w:p>
            <w:pPr>
              <w:jc w:val="center"/>
              <w:ind w:right="57"/>
              <w:spacing w:after="0" w:line="144" w:lineRule="exact"/>
              <w:rPr>
                <w:sz w:val="20"/>
                <w:szCs w:val="20"/>
                <w:color w:val="auto"/>
              </w:rPr>
            </w:pPr>
            <w:r>
              <w:rPr>
                <w:rFonts w:ascii="Arial" w:cs="Arial" w:eastAsia="Arial" w:hAnsi="Arial"/>
                <w:sz w:val="13"/>
                <w:szCs w:val="13"/>
                <w:b w:val="1"/>
                <w:bCs w:val="1"/>
                <w:color w:val="auto"/>
                <w:w w:val="86"/>
              </w:rPr>
              <w:t>Amount of Gain (Loss) Recognized</w:t>
            </w:r>
          </w:p>
        </w:tc>
        <w:tc>
          <w:tcPr>
            <w:tcW w:w="120" w:type="dxa"/>
            <w:vAlign w:val="bottom"/>
          </w:tcPr>
          <w:p>
            <w:pPr>
              <w:spacing w:after="0"/>
              <w:rPr>
                <w:sz w:val="12"/>
                <w:szCs w:val="12"/>
                <w:color w:val="auto"/>
              </w:rPr>
            </w:pPr>
          </w:p>
        </w:tc>
        <w:tc>
          <w:tcPr>
            <w:tcW w:w="2740" w:type="dxa"/>
            <w:vAlign w:val="bottom"/>
            <w:gridSpan w:val="6"/>
          </w:tcPr>
          <w:p>
            <w:pPr>
              <w:jc w:val="right"/>
              <w:spacing w:after="0" w:line="144" w:lineRule="exact"/>
              <w:rPr>
                <w:sz w:val="20"/>
                <w:szCs w:val="20"/>
                <w:color w:val="auto"/>
              </w:rPr>
            </w:pPr>
            <w:r>
              <w:rPr>
                <w:rFonts w:ascii="Arial" w:cs="Arial" w:eastAsia="Arial" w:hAnsi="Arial"/>
                <w:sz w:val="13"/>
                <w:szCs w:val="13"/>
                <w:b w:val="1"/>
                <w:bCs w:val="1"/>
                <w:color w:val="auto"/>
              </w:rPr>
              <w:t>OCI into Income (Effective Portion)</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00" w:type="dxa"/>
            <w:vAlign w:val="bottom"/>
            <w:gridSpan w:val="5"/>
          </w:tcPr>
          <w:p>
            <w:pPr>
              <w:jc w:val="center"/>
              <w:ind w:right="37"/>
              <w:spacing w:after="0" w:line="144" w:lineRule="exact"/>
              <w:rPr>
                <w:sz w:val="20"/>
                <w:szCs w:val="20"/>
                <w:color w:val="auto"/>
              </w:rPr>
            </w:pPr>
            <w:r>
              <w:rPr>
                <w:rFonts w:ascii="Arial" w:cs="Arial" w:eastAsia="Arial" w:hAnsi="Arial"/>
                <w:sz w:val="13"/>
                <w:szCs w:val="13"/>
                <w:b w:val="1"/>
                <w:bCs w:val="1"/>
                <w:color w:val="auto"/>
                <w:w w:val="89"/>
              </w:rPr>
              <w:t>Derivative (Ineffective Portion)</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5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Cash Flow</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gridSpan w:val="3"/>
            <w:vMerge w:val="restart"/>
          </w:tcPr>
          <w:p>
            <w:pPr>
              <w:jc w:val="center"/>
              <w:spacing w:after="0" w:line="135" w:lineRule="exact"/>
              <w:rPr>
                <w:sz w:val="20"/>
                <w:szCs w:val="20"/>
                <w:color w:val="auto"/>
              </w:rPr>
            </w:pPr>
            <w:r>
              <w:rPr>
                <w:rFonts w:ascii="Arial" w:cs="Arial" w:eastAsia="Arial" w:hAnsi="Arial"/>
                <w:sz w:val="13"/>
                <w:szCs w:val="13"/>
                <w:b w:val="1"/>
                <w:bCs w:val="1"/>
                <w:color w:val="auto"/>
                <w:w w:val="90"/>
              </w:rPr>
              <w:t>in OCI on Derivative</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Hedging Relationships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(Effective Portion)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Location</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ind w:left="220"/>
              <w:spacing w:after="0"/>
              <w:rPr>
                <w:sz w:val="20"/>
                <w:szCs w:val="20"/>
                <w:color w:val="auto"/>
              </w:rPr>
            </w:pPr>
            <w:r>
              <w:rPr>
                <w:rFonts w:ascii="Arial" w:cs="Arial" w:eastAsia="Arial" w:hAnsi="Arial"/>
                <w:sz w:val="13"/>
                <w:szCs w:val="13"/>
                <w:b w:val="1"/>
                <w:bCs w:val="1"/>
                <w:color w:val="auto"/>
              </w:rPr>
              <w:t>Location</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right="137"/>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2013</w:t>
            </w: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2012</w:t>
            </w:r>
          </w:p>
        </w:tc>
        <w:tc>
          <w:tcPr>
            <w:tcW w:w="2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2013</w:t>
            </w:r>
          </w:p>
        </w:tc>
        <w:tc>
          <w:tcPr>
            <w:tcW w:w="2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2012</w:t>
            </w:r>
          </w:p>
        </w:tc>
        <w:tc>
          <w:tcPr>
            <w:tcW w:w="2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9"/>
              </w:rPr>
              <w:t>2011</w:t>
            </w: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2013</w:t>
            </w: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2"/>
              </w:rPr>
              <w:t>2012</w:t>
            </w: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49"/>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50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Interest rate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gridSpan w:val="2"/>
            <w:shd w:val="clear" w:color="auto" w:fill="CCEEFF"/>
          </w:tcPr>
          <w:p>
            <w:pPr>
              <w:ind w:left="720"/>
              <w:spacing w:after="0" w:line="135" w:lineRule="exact"/>
              <w:rPr>
                <w:sz w:val="20"/>
                <w:szCs w:val="20"/>
                <w:color w:val="auto"/>
              </w:rPr>
            </w:pPr>
            <w:r>
              <w:rPr>
                <w:rFonts w:ascii="Arial" w:cs="Arial" w:eastAsia="Arial" w:hAnsi="Arial"/>
                <w:sz w:val="13"/>
                <w:szCs w:val="13"/>
                <w:color w:val="auto"/>
              </w:rPr>
              <w:t>swap</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0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(2,725)</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(4,200)</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697</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(7,254)</w:t>
            </w:r>
          </w:p>
        </w:tc>
        <w:tc>
          <w:tcPr>
            <w:tcW w:w="10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Interest expense   $</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exposed to foreign exchange risk through our international subsidiaries. As a result of our acquisition of an international company in 2007, we entered into a euro denominated term loan, which exposed us to fluctuations in the euro foreign exchange rate. Therefore, we designated this foreign currency denominated term loan as a hedge of our net investment in international operations. The non-functional currency term loan was revalued into U.S. dollars at each balance sheet date, and the changes in value associated with currency fluctuations were recorded as adjustments to long-term debt with offsetting gains and losses recorded in OCI. The loan was repaid in full in August 2011 as part of the repayment of our 2007 credit facility. The net derivative loss will remain in accumulated OCI until such time when earnings are impacted by a sale or liquidation of the associated foreign operation.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before-tax and net of tax effects of our net investment hedge nonderivative financial instrument on OCI for the years ended December 31 are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Nonderivative Financial Instruments in ASC 815-20</w:t>
            </w:r>
          </w:p>
        </w:tc>
        <w:tc>
          <w:tcPr>
            <w:tcW w:w="400" w:type="dxa"/>
            <w:vAlign w:val="bottom"/>
          </w:tcPr>
          <w:p>
            <w:pPr>
              <w:spacing w:after="0"/>
              <w:rPr>
                <w:sz w:val="17"/>
                <w:szCs w:val="17"/>
                <w:color w:val="auto"/>
              </w:rPr>
            </w:pPr>
          </w:p>
        </w:tc>
        <w:tc>
          <w:tcPr>
            <w:tcW w:w="4940" w:type="dxa"/>
            <w:vAlign w:val="bottom"/>
            <w:gridSpan w:val="5"/>
          </w:tcPr>
          <w:p>
            <w:pPr>
              <w:jc w:val="center"/>
              <w:ind w:right="299"/>
              <w:spacing w:after="0"/>
              <w:rPr>
                <w:sz w:val="20"/>
                <w:szCs w:val="20"/>
                <w:color w:val="auto"/>
              </w:rPr>
            </w:pPr>
            <w:r>
              <w:rPr>
                <w:rFonts w:ascii="Arial" w:cs="Arial" w:eastAsia="Arial" w:hAnsi="Arial"/>
                <w:sz w:val="16"/>
                <w:szCs w:val="16"/>
                <w:b w:val="1"/>
                <w:bCs w:val="1"/>
                <w:color w:val="auto"/>
                <w:w w:val="91"/>
              </w:rPr>
              <w:t>Euro Denominated Term Loan Designated as a Hedge</w:t>
            </w:r>
          </w:p>
        </w:tc>
      </w:tr>
      <w:tr>
        <w:trPr>
          <w:trHeight w:val="210"/>
        </w:trPr>
        <w:tc>
          <w:tcPr>
            <w:tcW w:w="6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Net Investment Hedging Relationships</w:t>
            </w:r>
          </w:p>
        </w:tc>
        <w:tc>
          <w:tcPr>
            <w:tcW w:w="400" w:type="dxa"/>
            <w:vAlign w:val="bottom"/>
          </w:tcPr>
          <w:p>
            <w:pPr>
              <w:spacing w:after="0"/>
              <w:rPr>
                <w:sz w:val="18"/>
                <w:szCs w:val="18"/>
                <w:color w:val="auto"/>
              </w:rPr>
            </w:pPr>
          </w:p>
        </w:tc>
        <w:tc>
          <w:tcPr>
            <w:tcW w:w="4940" w:type="dxa"/>
            <w:vAlign w:val="bottom"/>
            <w:gridSpan w:val="5"/>
          </w:tcPr>
          <w:p>
            <w:pPr>
              <w:jc w:val="center"/>
              <w:ind w:right="299"/>
              <w:spacing w:after="0"/>
              <w:rPr>
                <w:sz w:val="20"/>
                <w:szCs w:val="20"/>
                <w:color w:val="auto"/>
              </w:rPr>
            </w:pPr>
            <w:r>
              <w:rPr>
                <w:rFonts w:ascii="Arial" w:cs="Arial" w:eastAsia="Arial" w:hAnsi="Arial"/>
                <w:sz w:val="16"/>
                <w:szCs w:val="16"/>
                <w:b w:val="1"/>
                <w:bCs w:val="1"/>
                <w:color w:val="auto"/>
                <w:w w:val="93"/>
              </w:rPr>
              <w:t>of Our Net Investment in International Operations</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2013</w:t>
            </w:r>
          </w:p>
        </w:tc>
        <w:tc>
          <w:tcPr>
            <w:tcW w:w="320" w:type="dxa"/>
            <w:vAlign w:val="bottom"/>
          </w:tcPr>
          <w:p>
            <w:pPr>
              <w:spacing w:after="0"/>
              <w:rPr>
                <w:sz w:val="20"/>
                <w:szCs w:val="20"/>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2012</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2011</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(in thousands)</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Gain (loss) recognized in OCI on derivative (Effective Portion)</w:t>
            </w: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Before tax</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(14,278)</w:t>
            </w:r>
          </w:p>
        </w:tc>
      </w:tr>
      <w:tr>
        <w:trPr>
          <w:trHeight w:val="237"/>
        </w:trPr>
        <w:tc>
          <w:tcPr>
            <w:tcW w:w="6080" w:type="dxa"/>
            <w:vAlign w:val="bottom"/>
            <w:gridSpan w:val="2"/>
          </w:tcPr>
          <w:p>
            <w:pPr>
              <w:ind w:left="180"/>
              <w:spacing w:after="0"/>
              <w:rPr>
                <w:sz w:val="20"/>
                <w:szCs w:val="20"/>
                <w:color w:val="auto"/>
              </w:rPr>
            </w:pPr>
            <w:r>
              <w:rPr>
                <w:rFonts w:ascii="Arial" w:cs="Arial" w:eastAsia="Arial" w:hAnsi="Arial"/>
                <w:sz w:val="16"/>
                <w:szCs w:val="16"/>
                <w:color w:val="auto"/>
              </w:rPr>
              <w:t>Net of tax</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ind w:left="10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ind w:left="1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(8,866)</w:t>
            </w:r>
          </w:p>
        </w:tc>
      </w:tr>
    </w:tbl>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non-functional currency monetary assets and liabilities are revalued with the change recorded to other income and expense. We enter into monthly foreign exchange forward contracts (a total of 528 contracts were entered into during the year ended December 31, 2013), which are not designated for hedge accounting, with the intent to reduce earnings volatility associated with currency exposures. The notional amounts of the contracts ranged from $251,000 to $12.0 million, offsetting our exposures from the euro, British pound, Canadian dollar, Australian dollar, Brazilian real, and various other currencies.</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our foreign exchange forward derivative instruments on the Consolidated Statements of Operations for the years ended December 31 is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Derivatives Not Designated as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6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Hedging Instrument under ASC 815-20</w:t>
            </w:r>
          </w:p>
        </w:tc>
        <w:tc>
          <w:tcPr>
            <w:tcW w:w="240" w:type="dxa"/>
            <w:vAlign w:val="bottom"/>
          </w:tcPr>
          <w:p>
            <w:pPr>
              <w:spacing w:after="0"/>
              <w:rPr>
                <w:sz w:val="18"/>
                <w:szCs w:val="18"/>
                <w:color w:val="auto"/>
              </w:rPr>
            </w:pPr>
          </w:p>
        </w:tc>
        <w:tc>
          <w:tcPr>
            <w:tcW w:w="5100" w:type="dxa"/>
            <w:vAlign w:val="bottom"/>
            <w:gridSpan w:val="5"/>
          </w:tcPr>
          <w:p>
            <w:pPr>
              <w:jc w:val="center"/>
              <w:ind w:right="139"/>
              <w:spacing w:after="0"/>
              <w:rPr>
                <w:sz w:val="20"/>
                <w:szCs w:val="20"/>
                <w:color w:val="auto"/>
              </w:rPr>
            </w:pPr>
            <w:r>
              <w:rPr>
                <w:rFonts w:ascii="Arial" w:cs="Arial" w:eastAsia="Arial" w:hAnsi="Arial"/>
                <w:sz w:val="16"/>
                <w:szCs w:val="16"/>
                <w:b w:val="1"/>
                <w:bCs w:val="1"/>
                <w:color w:val="auto"/>
                <w:w w:val="91"/>
              </w:rPr>
              <w:t>Gain (Loss) Recognized on Derivatives in Other Income (Expense)</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20"/>
                <w:szCs w:val="20"/>
                <w:color w:val="auto"/>
              </w:rPr>
            </w:pPr>
          </w:p>
        </w:tc>
        <w:tc>
          <w:tcPr>
            <w:tcW w:w="152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2012</w:t>
            </w:r>
          </w:p>
        </w:tc>
        <w:tc>
          <w:tcPr>
            <w:tcW w:w="46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2011</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(in thousands)</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r>
      <w:tr>
        <w:trPr>
          <w:trHeight w:val="33"/>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offering death and disability, retirement, and special termination benefits. The defined benefit obligation is calculated annually by using the projected unit credit method. The measurement date for the pension plans was December 31, 2013.</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funding policy for these qualified pension plans is to contribute amounts sufficient to satisfy regulatory funding standards of the respective countries for each plan. We contributed $436,000 and $440,000 to the defined benefit pension plans for the years ended December 31, 2013 and 2012, respectively. The timing of when contributions are made can vary by plan and from year to year. For 2014, assuming that actual plan asset returns are consistent with our expected rate of return, and that interest rates remain constant, we expect to contribute approximately $450,000 to our defined benefit pension plans.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benefit obligation, plan assets, funded status of the defined benefit plans, amounts recognized in the Consolidated Balance Sheets and amounts recognized in accumulated other comprehensive income at December 31, 2013 and 2012.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29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20"/>
                <w:szCs w:val="20"/>
                <w:color w:val="auto"/>
              </w:rPr>
            </w:pP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1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January 1,</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101,766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72,601</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2,700</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3,625</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Actuarial (gain) loss</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24,492</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(4,131)</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Foreign currency exchange rate changes</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2,395</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Benefit obligation at December 31,</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102,662</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101,766</w:t>
            </w:r>
          </w:p>
        </w:tc>
      </w:tr>
      <w:tr>
        <w:trPr>
          <w:trHeight w:val="27"/>
        </w:trPr>
        <w:tc>
          <w:tcPr>
            <w:tcW w:w="6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68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January 1,</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7,980</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Actual return on plan assets</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Company contributions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6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exchange rate changes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6840" w:type="dxa"/>
            <w:vAlign w:val="bottom"/>
          </w:tcPr>
          <w:p>
            <w:pPr>
              <w:ind w:left="38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December 31,</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8,561</w:t>
            </w:r>
          </w:p>
        </w:tc>
      </w:tr>
      <w:tr>
        <w:trPr>
          <w:trHeight w:val="237"/>
        </w:trPr>
        <w:tc>
          <w:tcPr>
            <w:tcW w:w="6840" w:type="dxa"/>
            <w:vAlign w:val="bottom"/>
          </w:tcPr>
          <w:p>
            <w:pPr>
              <w:ind w:left="720"/>
              <w:spacing w:after="0"/>
              <w:rPr>
                <w:sz w:val="20"/>
                <w:szCs w:val="20"/>
                <w:color w:val="auto"/>
              </w:rPr>
            </w:pPr>
            <w:r>
              <w:rPr>
                <w:rFonts w:ascii="Arial" w:cs="Arial" w:eastAsia="Arial" w:hAnsi="Arial"/>
                <w:sz w:val="18"/>
                <w:szCs w:val="18"/>
                <w:color w:val="auto"/>
              </w:rPr>
              <w:t>Ending balance at fair value (net pension plan benefit liability)</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90,982</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93,205</w:t>
            </w:r>
          </w:p>
        </w:tc>
      </w:tr>
      <w:tr>
        <w:trPr>
          <w:trHeight w:val="27"/>
        </w:trPr>
        <w:tc>
          <w:tcPr>
            <w:tcW w:w="6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discount rate used to measure our benefit obligations, which is based on published bond indexes, increased by 40 basis points from December 31, 2012 to December 31, 2013, driving a $6.2 million actuarial gain during 2013, which is recognized in OCI. The significant actuarial weighted average assumptions are discussed in greater detail below.</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At December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2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9"/>
              </w:rPr>
              <w:t>(in thousands)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Assets</w:t>
            </w:r>
          </w:p>
        </w:tc>
        <w:tc>
          <w:tcPr>
            <w:tcW w:w="14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Plan assets in other long-term assets</w:t>
            </w:r>
          </w:p>
        </w:tc>
        <w:tc>
          <w:tcPr>
            <w:tcW w:w="266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84"/>
        </w:trPr>
        <w:tc>
          <w:tcPr>
            <w:tcW w:w="5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60"/>
              <w:spacing w:after="0"/>
              <w:rPr>
                <w:sz w:val="20"/>
                <w:szCs w:val="20"/>
                <w:color w:val="auto"/>
              </w:rPr>
            </w:pPr>
            <w:r>
              <w:rPr>
                <w:rFonts w:ascii="Arial" w:cs="Arial" w:eastAsia="Arial" w:hAnsi="Arial"/>
                <w:sz w:val="18"/>
                <w:szCs w:val="18"/>
                <w:color w:val="auto"/>
                <w:w w:val="93"/>
              </w:rPr>
              <w:t>Current portion of pension plan liability in wages and benefits payable</w:t>
            </w:r>
          </w:p>
        </w:tc>
        <w:tc>
          <w:tcPr>
            <w:tcW w:w="1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portion of pension plan liability</w:t>
            </w:r>
          </w:p>
        </w:tc>
        <w:tc>
          <w:tcPr>
            <w:tcW w:w="1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88,687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90,533</w:t>
            </w:r>
          </w:p>
        </w:tc>
        <w:tc>
          <w:tcPr>
            <w:tcW w:w="0" w:type="dxa"/>
            <w:vAlign w:val="bottom"/>
          </w:tcPr>
          <w:p>
            <w:pPr>
              <w:spacing w:after="0"/>
              <w:rPr>
                <w:sz w:val="1"/>
                <w:szCs w:val="1"/>
                <w:color w:val="auto"/>
              </w:rPr>
            </w:pPr>
          </w:p>
        </w:tc>
      </w:tr>
      <w:tr>
        <w:trPr>
          <w:trHeight w:val="297"/>
        </w:trPr>
        <w:tc>
          <w:tcPr>
            <w:tcW w:w="554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pension plan benefit liability</w:t>
            </w:r>
          </w:p>
        </w:tc>
        <w:tc>
          <w:tcPr>
            <w:tcW w:w="266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90,982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93,205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Arial" w:cs="Arial" w:eastAsia="Arial" w:hAnsi="Arial"/>
                <w:sz w:val="18"/>
                <w:szCs w:val="18"/>
                <w:color w:val="auto"/>
              </w:rPr>
              <w:t>62</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Amounts in accumulated other comprehensive income (pre-tax) that have not yet been recognized as components of net periodic benefit costs consist of:</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At December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9"/>
              </w:rPr>
              <w:t>(in thousands)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13,262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20,676</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Net prior service cost</w:t>
            </w:r>
          </w:p>
        </w:tc>
        <w:tc>
          <w:tcPr>
            <w:tcW w:w="1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 included in accumulated other comprehensive income</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14,395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Amounts recognized in OCI (pre-tax) are as follows: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8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r>
      <w:tr>
        <w:trPr>
          <w:trHeight w:val="27"/>
        </w:trPr>
        <w:tc>
          <w:tcPr>
            <w:tcW w:w="53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(gain) loss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Settlement/curtailment loss</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 (gain) loss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Amortization of net actuarial gain (loss)</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(7,344)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estimated net actuarial loss and prior service cost that will be amortized from accumulated other comprehensive income into net periodic benefit cost during 2014 is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6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r>
      <w:tr>
        <w:trPr>
          <w:trHeight w:val="27"/>
        </w:trPr>
        <w:tc>
          <w:tcPr>
            <w:tcW w:w="5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3,754</w:t>
            </w: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net (gain) loss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Settlements and other</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benefit cost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7,428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spacing w:after="0" w:line="30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At and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34290</wp:posOffset>
            </wp:positionV>
            <wp:extent cx="3147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ind w:left="5860"/>
              <w:spacing w:after="0"/>
              <w:rPr>
                <w:sz w:val="20"/>
                <w:szCs w:val="20"/>
                <w:color w:val="auto"/>
              </w:rPr>
            </w:pPr>
            <w:r>
              <w:rPr>
                <w:rFonts w:ascii="Arial" w:cs="Arial" w:eastAsia="Arial" w:hAnsi="Arial"/>
                <w:sz w:val="18"/>
                <w:szCs w:val="18"/>
                <w:b w:val="1"/>
                <w:bCs w:val="1"/>
                <w:color w:val="auto"/>
                <w:w w:val="99"/>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40"/>
              <w:spacing w:after="0"/>
              <w:rPr>
                <w:sz w:val="20"/>
                <w:szCs w:val="20"/>
                <w:color w:val="auto"/>
              </w:rPr>
            </w:pPr>
            <w:r>
              <w:rPr>
                <w:rFonts w:ascii="Arial" w:cs="Arial" w:eastAsia="Arial" w:hAnsi="Arial"/>
                <w:sz w:val="18"/>
                <w:szCs w:val="18"/>
                <w:color w:val="auto"/>
                <w:w w:val="94"/>
              </w:rPr>
              <w:t>Actuarial assumptions used to determine benefit obligations at end of</w:t>
            </w: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period: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Discount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3"/>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Expected annual rate of compensation increase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3.33%</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Actuarial assumptions used to determine net periodic benefit cost for</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period:</w:t>
            </w: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Discount rate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3.36%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Expected rate of return on plan assets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Expected annual rate of compensation increase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3.41%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determine a discount rate for our plans based on the estimated duration of each plan’s liabilities. For our euro denominated defined benefit pension plans, which represent 95% of our benefit obligation, we use three discount rates, with consideration of the duration of the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the highest and lowest yielding 10% of bonds within each maturity group. The discount rates used, depending on the duration of the plans, were 2.75%, 3.25%, and 3.50%. As a result of the 40 basis point increase in the weighted average discount rate used to measure our benefit obligations, the actuarial gain, which is recognized in OCI, was $6.2 million in 2013.</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expected rate of return on plan assets is derived from a study of actual historic returns achieved and anticipated future long-term performance of plan assets. While the study primarily gives consideration to recent insurers’ performance and historical returns, the assumption represents a long-term prospective return.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accumulated benefit obligation for our defined benefit pension plans was $93.3 million and $90.8 million at December 31, 2013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two plans in which the fair value of plan assets exceeds the plan's accumulated benefit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total obligation and fair value of plan assets for plans with accumulated benefit obligations exceeding the fair value of plan assets are as follows: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b w:val="1"/>
                <w:bCs w:val="1"/>
                <w:color w:val="auto"/>
                <w:w w:val="99"/>
              </w:rPr>
              <w:t>2012</w:t>
            </w:r>
          </w:p>
        </w:tc>
      </w:tr>
      <w:tr>
        <w:trPr>
          <w:trHeight w:val="27"/>
        </w:trPr>
        <w:tc>
          <w:tcPr>
            <w:tcW w:w="5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1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99,694</w:t>
            </w:r>
          </w:p>
        </w:tc>
        <w:tc>
          <w:tcPr>
            <w:tcW w:w="7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100,357</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90,803</w:t>
            </w: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89,687</w:t>
            </w:r>
          </w:p>
        </w:tc>
      </w:tr>
      <w:tr>
        <w:trPr>
          <w:trHeight w:val="27"/>
        </w:trPr>
        <w:tc>
          <w:tcPr>
            <w:tcW w:w="5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7,286</w:t>
            </w:r>
          </w:p>
        </w:tc>
        <w:tc>
          <w:tcPr>
            <w:tcW w:w="7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r>
      <w:tr>
        <w:trPr>
          <w:trHeight w:val="27"/>
        </w:trPr>
        <w:tc>
          <w:tcPr>
            <w:tcW w:w="5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plan investments by asset category as of December 31, 2013, and 2012 are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Quoted Prices in Active</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Markets for Identical</w:t>
            </w:r>
          </w:p>
        </w:tc>
        <w:tc>
          <w:tcPr>
            <w:tcW w:w="12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Significant Unobservable</w:t>
            </w:r>
          </w:p>
        </w:tc>
      </w:tr>
      <w:tr>
        <w:trPr>
          <w:trHeight w:val="216"/>
        </w:trPr>
        <w:tc>
          <w:tcPr>
            <w:tcW w:w="3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20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358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35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0"/>
        </w:trPr>
        <w:tc>
          <w:tcPr>
            <w:tcW w:w="3580" w:type="dxa"/>
            <w:vAlign w:val="bottom"/>
          </w:tcPr>
          <w:p>
            <w:pPr>
              <w:ind w:left="1620"/>
              <w:spacing w:after="0"/>
              <w:rPr>
                <w:sz w:val="20"/>
                <w:szCs w:val="20"/>
                <w:color w:val="auto"/>
              </w:rPr>
            </w:pPr>
            <w:r>
              <w:rPr>
                <w:rFonts w:ascii="Arial" w:cs="Arial" w:eastAsia="Arial" w:hAnsi="Arial"/>
                <w:sz w:val="18"/>
                <w:szCs w:val="18"/>
                <w:b w:val="1"/>
                <w:bCs w:val="1"/>
                <w:color w:val="auto"/>
              </w:rPr>
              <w:t>2013</w:t>
            </w:r>
          </w:p>
        </w:tc>
        <w:tc>
          <w:tcPr>
            <w:tcW w:w="1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7"/>
        </w:trPr>
        <w:tc>
          <w:tcPr>
            <w:tcW w:w="3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Insurance funds</w:t>
            </w:r>
          </w:p>
        </w:tc>
        <w:tc>
          <w:tcPr>
            <w:tcW w:w="14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8,260</w:t>
            </w:r>
          </w:p>
        </w:tc>
      </w:tr>
      <w:tr>
        <w:trPr>
          <w:trHeight w:val="27"/>
        </w:trPr>
        <w:tc>
          <w:tcPr>
            <w:tcW w:w="3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securities</w:t>
            </w:r>
          </w:p>
        </w:tc>
        <w:tc>
          <w:tcPr>
            <w:tcW w:w="1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r>
      <w:tr>
        <w:trPr>
          <w:trHeight w:val="237"/>
        </w:trPr>
        <w:tc>
          <w:tcPr>
            <w:tcW w:w="3580" w:type="dxa"/>
            <w:vAlign w:val="bottom"/>
          </w:tcPr>
          <w:p>
            <w:pPr>
              <w:ind w:left="380"/>
              <w:spacing w:after="0"/>
              <w:rPr>
                <w:sz w:val="20"/>
                <w:szCs w:val="20"/>
                <w:color w:val="auto"/>
              </w:rPr>
            </w:pPr>
            <w:r>
              <w:rPr>
                <w:rFonts w:ascii="Arial" w:cs="Arial" w:eastAsia="Arial" w:hAnsi="Arial"/>
                <w:sz w:val="18"/>
                <w:szCs w:val="18"/>
                <w:color w:val="auto"/>
              </w:rPr>
              <w:t>Total fair value of plan assets</w:t>
            </w:r>
          </w:p>
        </w:tc>
        <w:tc>
          <w:tcPr>
            <w:tcW w:w="144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10,834</w:t>
            </w:r>
          </w:p>
        </w:tc>
      </w:tr>
      <w:tr>
        <w:trPr>
          <w:trHeight w:val="67"/>
        </w:trPr>
        <w:tc>
          <w:tcPr>
            <w:tcW w:w="358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r>
      <w:tr>
        <w:trPr>
          <w:trHeight w:val="264"/>
        </w:trPr>
        <w:tc>
          <w:tcPr>
            <w:tcW w:w="35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43"/>
        </w:trPr>
        <w:tc>
          <w:tcPr>
            <w:tcW w:w="3580" w:type="dxa"/>
            <w:vAlign w:val="bottom"/>
          </w:tcPr>
          <w:p>
            <w:pPr>
              <w:ind w:left="1620"/>
              <w:spacing w:after="0"/>
              <w:rPr>
                <w:sz w:val="20"/>
                <w:szCs w:val="20"/>
                <w:color w:val="auto"/>
              </w:rPr>
            </w:pPr>
            <w:r>
              <w:rPr>
                <w:rFonts w:ascii="Arial" w:cs="Arial" w:eastAsia="Arial" w:hAnsi="Arial"/>
                <w:sz w:val="18"/>
                <w:szCs w:val="18"/>
                <w:b w:val="1"/>
                <w:bCs w:val="1"/>
                <w:color w:val="auto"/>
              </w:rPr>
              <w:t>2012</w:t>
            </w:r>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Insurance funds</w:t>
            </w:r>
          </w:p>
        </w:tc>
        <w:tc>
          <w:tcPr>
            <w:tcW w:w="14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7,658</w:t>
            </w:r>
          </w:p>
        </w:tc>
      </w:tr>
      <w:tr>
        <w:trPr>
          <w:trHeight w:val="27"/>
        </w:trPr>
        <w:tc>
          <w:tcPr>
            <w:tcW w:w="35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fair value of plan assets</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7,658</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the plan assets are not significant to our total company assets, no further breakdown is provided.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 benefit payments, including amounts to be paid from our assets for unfunded plans, and reflecting expected future service, as appropriate, are expected to be paid as follows:</w:t>
      </w:r>
    </w:p>
    <w:p>
      <w:pPr>
        <w:spacing w:after="0" w:line="32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Annual Benefit</w:t>
            </w:r>
          </w:p>
        </w:tc>
      </w:tr>
      <w:tr>
        <w:trPr>
          <w:trHeight w:val="234"/>
        </w:trPr>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tcPr>
          <w:p>
            <w:pPr>
              <w:spacing w:after="0"/>
              <w:rPr>
                <w:sz w:val="20"/>
                <w:szCs w:val="20"/>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Payments</w:t>
            </w:r>
          </w:p>
        </w:tc>
      </w:tr>
      <w:tr>
        <w:trPr>
          <w:trHeight w:val="27"/>
        </w:trPr>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4,521</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3,781</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4,464</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2019 - 2023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26,825</w:t>
            </w:r>
          </w:p>
        </w:tc>
      </w:tr>
    </w:tbl>
    <w:p>
      <w:pPr>
        <w:spacing w:after="0" w:line="27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stock-based compensation expense for awards of stock options, stock sold pursuant to our ESPP, and the issuance of restricted stock units and unrestricted stock awards. We expense stock-based compensation primarily using the straight-line method over the requisite service period. For the years ended December 31, stock-based compensation expense and the related tax benefit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4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15,475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13,842</w:t>
            </w:r>
          </w:p>
        </w:tc>
      </w:tr>
      <w:tr>
        <w:trPr>
          <w:trHeight w:val="27"/>
        </w:trPr>
        <w:tc>
          <w:tcPr>
            <w:tcW w:w="4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Unrestricted stock awards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ESPP</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4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18,850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tax benefit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ectPr>
          <w:pgSz w:w="11900" w:h="16838" w:orient="portrait"/>
          <w:cols w:equalWidth="0" w:num="1">
            <w:col w:w="11420"/>
          </w:cols>
          <w:pgMar w:left="240" w:top="125"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stock splits, dividends, and other similar events, 3,500,000 shares of common stock are reserved and authorized for issuance under our 2010 Stock Incentive Plan (Stock Incentive Plan). Awards consist of stock options, restricted stock units, and unrestricted stock awards. At December 31, 2013, 747,416 shares were available for grant under the Stock Incentive Plan. The Stock Incentive Plan shares are subject to a fungible share provision such that, with respect to grants made after December 31, 2009, the authorized share reserve is reduced by (i) one share for every one share subject to a stock option or share appreciation right granted under the Plan and (ii) 1.7 shares for every one share of common stock that was subject to an award other than an option or stock appreciation right.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to purchase our common stock are granted to certain employees, senior management, and members of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112"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34290</wp:posOffset>
            </wp:positionV>
            <wp:extent cx="32499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ind w:left="4840"/>
              <w:spacing w:after="0"/>
              <w:rPr>
                <w:sz w:val="20"/>
                <w:szCs w:val="20"/>
                <w:color w:val="auto"/>
              </w:rPr>
            </w:pPr>
            <w:r>
              <w:rPr>
                <w:rFonts w:ascii="Arial" w:cs="Arial" w:eastAsia="Arial" w:hAnsi="Arial"/>
                <w:sz w:val="18"/>
                <w:szCs w:val="18"/>
                <w:b w:val="1"/>
                <w:bCs w:val="1"/>
                <w:color w:val="auto"/>
                <w:w w:val="99"/>
              </w:rPr>
              <w:t>2013</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r>
      <w:tr>
        <w:trPr>
          <w:trHeight w:val="27"/>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0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38.1%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7"/>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Expected term (years)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4.9</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years ended December 31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 Exercise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Aggregate</w:t>
            </w: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1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Price per Share</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 xml:space="preserve">Intrinsic Value </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31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40" w:type="dxa"/>
            <w:vAlign w:val="bottom"/>
          </w:tcPr>
          <w:p>
            <w:pPr>
              <w:spacing w:after="0"/>
              <w:rPr>
                <w:sz w:val="18"/>
                <w:szCs w:val="18"/>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(in thousands)</w:t>
            </w:r>
          </w:p>
        </w:tc>
        <w:tc>
          <w:tcPr>
            <w:tcW w:w="140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2011</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51.12</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21.38</w:t>
            </w: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36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58.50</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Outstanding, December 31, 2011</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55.97</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64"/>
        </w:trPr>
        <w:tc>
          <w:tcPr>
            <w:tcW w:w="3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43.27</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16.51</w:t>
            </w: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69.37</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December 31, 2012</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4"/>
        </w:trPr>
        <w:tc>
          <w:tcPr>
            <w:tcW w:w="310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15.44</w:t>
            </w:r>
          </w:p>
        </w:tc>
      </w:tr>
      <w:tr>
        <w:trPr>
          <w:trHeight w:val="224"/>
        </w:trPr>
        <w:tc>
          <w:tcPr>
            <w:tcW w:w="310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23.87</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7"/>
        </w:trPr>
        <w:tc>
          <w:tcPr>
            <w:tcW w:w="3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7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49.04</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Outstanding, December 31, 2013</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54.79</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r>
      <w:tr>
        <w:trPr>
          <w:trHeight w:val="251"/>
        </w:trPr>
        <w:tc>
          <w:tcPr>
            <w:tcW w:w="3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Exercisable, December 31, 2013</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58.19</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r>
      <w:tr>
        <w:trPr>
          <w:trHeight w:val="251"/>
        </w:trPr>
        <w:tc>
          <w:tcPr>
            <w:tcW w:w="3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Expected to vest, December 31, 2013</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43.59</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3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340" w:hanging="332"/>
        <w:spacing w:after="0" w:line="245"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2013, total unrecognized stock-based compensation expense related to nonvested stock options was approximately $3.1 million, which is expected to be recognized over a weighted average period of approximately 1.9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Certain employees, senior management, and members of the Board of Directors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2013, the performance-based restricted stock units issued under the Long-Term Performance Restricted Stock Unit Award Agreement (Performance Award Agreement) were determined based on the attainment of certain performance goals after the end of the one-year performance period. During the year, if management determined that it was probable that the targets would be achieved, compensation expense, net of forfeitures, was recognized on a straight-line basis over the annual performance and subsequent vesting period for each separately vesting portion of the award. Performance awards typically vested and were released in three equal installments at the end of each year following attainment of the performance goals. For U.S. participants who retire during the vesting period, unvested restricted stock units immediately vest at the date of retirement. For the 2012 performance awards, no awards became eligible for vesting as minimum performance thresholds for the 2012 performance year were not met.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2013, the performance-based restricted stock units to be issued under the Performance Award Agreement are determined based on (1) our achievement of specified non-GAAP EPS targets, as established at the beginning of each year for each of the calendar years contained in the performance periods (2-year and 3-year awards) (the performance condition) and (2) our total shareholder return (TSR) relative to the TSR attained by companies that are included in the Russell 3000 Index during the performance periods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condition). Compensation expense, net of forfeitures, is recognized on a straight-line basis, and the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Depending on the level of achievement of the performance condition, the actual number of shares to be earned ranges between 0% and 160% of the awards originally granted. At the end of the 2-year and 3-year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Due to the presence of the TSR multiplier market condition, we utilize a Monte Carlo valuation model to determine the fair value of the awards at the grant date. This pricing model uses multiple simulations to evaluate the probability of our achievement of various stock price levels to determine our expected TSR performance ranking. The weighted-average assumptions used to estimate the fair value of performance-based restricted stock units awarded and the resulting weighted average fair-value are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w w:val="93"/>
              </w:rPr>
              <w:t>Year Ended December 31,</w:t>
            </w:r>
          </w:p>
        </w:tc>
      </w:tr>
      <w:tr>
        <w:trPr>
          <w:trHeight w:val="234"/>
        </w:trPr>
        <w:tc>
          <w:tcPr>
            <w:tcW w:w="2960" w:type="dxa"/>
            <w:vAlign w:val="bottom"/>
          </w:tcPr>
          <w:p>
            <w:pPr>
              <w:spacing w:after="0"/>
              <w:rPr>
                <w:sz w:val="20"/>
                <w:szCs w:val="20"/>
                <w:color w:val="auto"/>
              </w:rPr>
            </w:pPr>
          </w:p>
        </w:tc>
        <w:tc>
          <w:tcPr>
            <w:tcW w:w="2140" w:type="dxa"/>
            <w:vAlign w:val="bottom"/>
          </w:tcPr>
          <w:p>
            <w:pPr>
              <w:jc w:val="right"/>
              <w:ind w:right="790"/>
              <w:spacing w:after="0"/>
              <w:rPr>
                <w:sz w:val="20"/>
                <w:szCs w:val="20"/>
                <w:color w:val="auto"/>
              </w:rPr>
            </w:pPr>
            <w:r>
              <w:rPr>
                <w:rFonts w:ascii="Arial" w:cs="Arial" w:eastAsia="Arial" w:hAnsi="Arial"/>
                <w:sz w:val="18"/>
                <w:szCs w:val="18"/>
                <w:b w:val="1"/>
                <w:bCs w:val="1"/>
                <w:color w:val="auto"/>
              </w:rPr>
              <w:t>2013</w:t>
            </w:r>
          </w:p>
        </w:tc>
      </w:tr>
      <w:tr>
        <w:trPr>
          <w:trHeight w:val="27"/>
        </w:trPr>
        <w:tc>
          <w:tcPr>
            <w:tcW w:w="29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14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29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2140" w:type="dxa"/>
            <w:vAlign w:val="bottom"/>
          </w:tcPr>
          <w:p>
            <w:pPr>
              <w:jc w:val="right"/>
              <w:ind w:right="90"/>
              <w:spacing w:after="0"/>
              <w:rPr>
                <w:sz w:val="20"/>
                <w:szCs w:val="20"/>
                <w:color w:val="auto"/>
              </w:rPr>
            </w:pPr>
            <w:r>
              <w:rPr>
                <w:rFonts w:ascii="Arial" w:cs="Arial" w:eastAsia="Arial" w:hAnsi="Arial"/>
                <w:sz w:val="18"/>
                <w:szCs w:val="18"/>
                <w:color w:val="auto"/>
              </w:rPr>
              <w:t>2.5</w:t>
            </w:r>
          </w:p>
        </w:tc>
      </w:tr>
      <w:tr>
        <w:trPr>
          <w:trHeight w:val="27"/>
        </w:trPr>
        <w:tc>
          <w:tcPr>
            <w:tcW w:w="29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84"/>
        </w:trPr>
        <w:tc>
          <w:tcPr>
            <w:tcW w:w="29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Weighted-average fair value</w:t>
            </w:r>
          </w:p>
        </w:tc>
        <w:tc>
          <w:tcPr>
            <w:tcW w:w="2140" w:type="dxa"/>
            <w:vAlign w:val="bottom"/>
          </w:tcPr>
          <w:p>
            <w:pPr>
              <w:jc w:val="right"/>
              <w:spacing w:after="0"/>
              <w:rPr>
                <w:sz w:val="20"/>
                <w:szCs w:val="20"/>
                <w:color w:val="auto"/>
              </w:rPr>
            </w:pPr>
            <w:r>
              <w:rPr>
                <w:rFonts w:ascii="Arial" w:cs="Arial" w:eastAsia="Arial" w:hAnsi="Arial"/>
                <w:sz w:val="18"/>
                <w:szCs w:val="18"/>
                <w:color w:val="auto"/>
              </w:rPr>
              <w:t>$45.03</w:t>
            </w: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years ended December 31: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Weighted</w:t>
            </w:r>
          </w:p>
        </w:tc>
        <w:tc>
          <w:tcPr>
            <w:tcW w:w="1480" w:type="dxa"/>
            <w:vAlign w:val="bottom"/>
          </w:tcPr>
          <w:p>
            <w:pPr>
              <w:spacing w:after="0"/>
              <w:rPr>
                <w:sz w:val="17"/>
                <w:szCs w:val="17"/>
                <w:color w:val="auto"/>
              </w:rPr>
            </w:pPr>
          </w:p>
        </w:tc>
      </w:tr>
      <w:tr>
        <w:trPr>
          <w:trHeight w:val="203"/>
        </w:trPr>
        <w:tc>
          <w:tcPr>
            <w:tcW w:w="4560" w:type="dxa"/>
            <w:vAlign w:val="bottom"/>
          </w:tcPr>
          <w:p>
            <w:pPr>
              <w:spacing w:after="0"/>
              <w:rPr>
                <w:sz w:val="17"/>
                <w:szCs w:val="17"/>
                <w:color w:val="auto"/>
              </w:rPr>
            </w:pPr>
          </w:p>
        </w:tc>
        <w:tc>
          <w:tcPr>
            <w:tcW w:w="1220" w:type="dxa"/>
            <w:vAlign w:val="bottom"/>
          </w:tcPr>
          <w:p>
            <w:pPr>
              <w:jc w:val="center"/>
              <w:ind w:left="339"/>
              <w:spacing w:after="0"/>
              <w:rPr>
                <w:sz w:val="20"/>
                <w:szCs w:val="20"/>
                <w:color w:val="auto"/>
              </w:rPr>
            </w:pPr>
            <w:r>
              <w:rPr>
                <w:rFonts w:ascii="Arial" w:cs="Arial" w:eastAsia="Arial" w:hAnsi="Arial"/>
                <w:sz w:val="16"/>
                <w:szCs w:val="16"/>
                <w:b w:val="1"/>
                <w:bCs w:val="1"/>
                <w:color w:val="auto"/>
                <w:w w:val="94"/>
              </w:rPr>
              <w:t>Number of</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4"/>
              </w:rPr>
              <w:t>Average Grant</w:t>
            </w: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Aggregate</w:t>
            </w:r>
          </w:p>
        </w:tc>
      </w:tr>
      <w:tr>
        <w:trPr>
          <w:trHeight w:val="243"/>
        </w:trPr>
        <w:tc>
          <w:tcPr>
            <w:tcW w:w="4560" w:type="dxa"/>
            <w:vAlign w:val="bottom"/>
          </w:tcPr>
          <w:p>
            <w:pPr>
              <w:spacing w:after="0"/>
              <w:rPr>
                <w:sz w:val="21"/>
                <w:szCs w:val="21"/>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Restricted Stock Units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3"/>
              </w:rPr>
              <w:t>Date Fair Value</w:t>
            </w: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r>
      <w:tr>
        <w:trPr>
          <w:trHeight w:val="217"/>
        </w:trPr>
        <w:tc>
          <w:tcPr>
            <w:tcW w:w="4560" w:type="dxa"/>
            <w:vAlign w:val="bottom"/>
          </w:tcPr>
          <w:p>
            <w:pPr>
              <w:spacing w:after="0"/>
              <w:rPr>
                <w:sz w:val="18"/>
                <w:szCs w:val="18"/>
                <w:color w:val="auto"/>
              </w:rPr>
            </w:pPr>
          </w:p>
        </w:tc>
        <w:tc>
          <w:tcPr>
            <w:tcW w:w="16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70"/>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6"/>
                <w:szCs w:val="16"/>
                <w:color w:val="auto"/>
              </w:rPr>
              <w:t>355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54.71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5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20,413</w:t>
            </w:r>
          </w:p>
        </w:tc>
      </w:tr>
      <w:tr>
        <w:trPr>
          <w:trHeight w:val="237"/>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December 31, 2011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64"/>
        </w:trPr>
        <w:tc>
          <w:tcPr>
            <w:tcW w:w="456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5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Released</w:t>
            </w:r>
          </w:p>
        </w:tc>
        <w:tc>
          <w:tcPr>
            <w:tcW w:w="420" w:type="dxa"/>
            <w:vAlign w:val="bottom"/>
          </w:tcPr>
          <w:p>
            <w:pPr>
              <w:jc w:val="right"/>
              <w:spacing w:after="0"/>
              <w:rPr>
                <w:sz w:val="20"/>
                <w:szCs w:val="20"/>
                <w:color w:val="auto"/>
              </w:rPr>
            </w:pPr>
            <w:r>
              <w:rPr>
                <w:rFonts w:ascii="Arial" w:cs="Arial" w:eastAsia="Arial" w:hAnsi="Arial"/>
                <w:sz w:val="16"/>
                <w:szCs w:val="16"/>
                <w:color w:val="auto"/>
                <w:w w:val="96"/>
              </w:rPr>
              <w:t>(275)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16,855</w:t>
            </w:r>
          </w:p>
        </w:tc>
      </w:tr>
      <w:tr>
        <w:trPr>
          <w:trHeight w:val="33"/>
        </w:trPr>
        <w:tc>
          <w:tcPr>
            <w:tcW w:w="4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17"/>
        </w:trPr>
        <w:tc>
          <w:tcPr>
            <w:tcW w:w="4560" w:type="dxa"/>
            <w:vAlign w:val="bottom"/>
          </w:tcPr>
          <w:p>
            <w:pPr>
              <w:ind w:left="40"/>
              <w:spacing w:after="0"/>
              <w:rPr>
                <w:sz w:val="20"/>
                <w:szCs w:val="20"/>
                <w:color w:val="auto"/>
              </w:rPr>
            </w:pPr>
            <w:r>
              <w:rPr>
                <w:rFonts w:ascii="Arial" w:cs="Arial" w:eastAsia="Arial" w:hAnsi="Arial"/>
                <w:sz w:val="16"/>
                <w:szCs w:val="16"/>
                <w:color w:val="auto"/>
              </w:rPr>
              <w:t>Outstanding, December 31, 2012</w:t>
            </w:r>
          </w:p>
        </w:tc>
        <w:tc>
          <w:tcPr>
            <w:tcW w:w="1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4"/>
        </w:trPr>
        <w:tc>
          <w:tcPr>
            <w:tcW w:w="45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24"/>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Granted</w:t>
            </w:r>
          </w:p>
        </w:tc>
        <w:tc>
          <w:tcPr>
            <w:tcW w:w="420" w:type="dxa"/>
            <w:vAlign w:val="bottom"/>
          </w:tcPr>
          <w:p>
            <w:pPr>
              <w:jc w:val="right"/>
              <w:spacing w:after="0"/>
              <w:rPr>
                <w:sz w:val="20"/>
                <w:szCs w:val="20"/>
                <w:color w:val="auto"/>
              </w:rPr>
            </w:pPr>
            <w:r>
              <w:rPr>
                <w:rFonts w:ascii="Arial" w:cs="Arial" w:eastAsia="Arial" w:hAnsi="Arial"/>
                <w:sz w:val="16"/>
                <w:szCs w:val="16"/>
                <w:color w:val="auto"/>
              </w:rPr>
              <w:t>255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42.51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7"/>
        </w:trPr>
        <w:tc>
          <w:tcPr>
            <w:tcW w:w="45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50"/>
        </w:trPr>
        <w:tc>
          <w:tcPr>
            <w:tcW w:w="5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17,983</w:t>
            </w:r>
          </w:p>
        </w:tc>
      </w:tr>
      <w:tr>
        <w:trPr>
          <w:trHeight w:val="224"/>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4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7"/>
        </w:trPr>
        <w:tc>
          <w:tcPr>
            <w:tcW w:w="456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r>
      <w:tr>
        <w:trPr>
          <w:trHeight w:val="255"/>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December 31, 2013</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251"/>
        </w:trPr>
        <w:tc>
          <w:tcPr>
            <w:tcW w:w="4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2"/>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December 31, 2013</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2"/>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December 31, 2013</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24,391</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137"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These restricted stock units include 61,500 shares for the 2011 awards under the Performance Award Agreement, which are eligible for vesting at December 31, 2011.</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2013, unrecognized compensation expense on restricted stock units was $15.2 million, which is expected to be recognized over a weighted average period of approximately 1.6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grant unrestricted stock awards to members of our Board of Directors as part of their compensation. Awards are fully vested and expensed when granted.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unrestricted stock awards is the market close price of our common stock on the 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years ended December 31: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4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4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20" w:type="dxa"/>
            <w:vAlign w:val="bottom"/>
            <w:gridSpan w:val="4"/>
          </w:tcPr>
          <w:p>
            <w:pPr>
              <w:jc w:val="right"/>
              <w:spacing w:after="0"/>
              <w:rPr>
                <w:sz w:val="20"/>
                <w:szCs w:val="20"/>
                <w:color w:val="auto"/>
              </w:rPr>
            </w:pPr>
            <w:r>
              <w:rPr>
                <w:rFonts w:ascii="Arial" w:cs="Arial" w:eastAsia="Arial" w:hAnsi="Arial"/>
                <w:sz w:val="16"/>
                <w:szCs w:val="16"/>
                <w:b w:val="1"/>
                <w:bCs w:val="1"/>
                <w:color w:val="auto"/>
                <w:w w:val="89"/>
              </w:rPr>
              <w:t>(in thousands, except per share data)</w:t>
            </w:r>
          </w:p>
        </w:tc>
        <w:tc>
          <w:tcPr>
            <w:tcW w:w="900" w:type="dxa"/>
            <w:vAlign w:val="bottom"/>
          </w:tcPr>
          <w:p>
            <w:pPr>
              <w:spacing w:after="0"/>
              <w:rPr>
                <w:sz w:val="18"/>
                <w:szCs w:val="18"/>
                <w:color w:val="auto"/>
              </w:rPr>
            </w:pPr>
          </w:p>
        </w:tc>
      </w:tr>
      <w:tr>
        <w:trPr>
          <w:trHeight w:val="33"/>
        </w:trPr>
        <w:tc>
          <w:tcPr>
            <w:tcW w:w="4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unrestricted stock granted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4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3"/>
              </w:rPr>
              <w:t>44.12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41.43</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r>
      <w:tr>
        <w:trPr>
          <w:trHeight w:val="27"/>
        </w:trPr>
        <w:tc>
          <w:tcPr>
            <w:tcW w:w="47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discount from the fair market value of the stock at the end of each fiscal quarter, subject to other limitations under the plan. The sale of the stock to the employees occurs at the beginning of the subsequent quarter. Effective October 1, 2013, we changed the terms of the ESPP to reduce the discount from 15% to 5% from the fair market value of the stock at the end of each fiscal quarter. As a result of this change, the ESPP will no longer be considered compensatory, and no compensation expense will be recognized for future sales of our common stock to employees. Prior to October 1, 2013, the plan was considered compensatory.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468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940" w:type="dxa"/>
            <w:vAlign w:val="bottom"/>
            <w:gridSpan w:val="8"/>
          </w:tcPr>
          <w:p>
            <w:pPr>
              <w:spacing w:after="0"/>
              <w:rPr>
                <w:sz w:val="20"/>
                <w:szCs w:val="20"/>
                <w:color w:val="auto"/>
              </w:rPr>
            </w:pPr>
            <w:r>
              <w:rPr>
                <w:rFonts w:ascii="Arial" w:cs="Arial" w:eastAsia="Arial" w:hAnsi="Arial"/>
                <w:sz w:val="18"/>
                <w:szCs w:val="18"/>
                <w:color w:val="auto"/>
                <w:w w:val="92"/>
              </w:rPr>
              <w:t>The following table summarizes ESPP activity for the years ended December 31:</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52"/>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4"/>
                <w:szCs w:val="24"/>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4"/>
                <w:szCs w:val="24"/>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rPr>
              <w:t>(in thousands, except per share data)</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40" w:type="dxa"/>
            <w:vAlign w:val="bottom"/>
            <w:shd w:val="clear" w:color="auto" w:fill="CCEEFF"/>
          </w:tcPr>
          <w:p>
            <w:pPr>
              <w:spacing w:after="0"/>
              <w:rPr>
                <w:sz w:val="24"/>
                <w:szCs w:val="24"/>
                <w:color w:val="auto"/>
              </w:rPr>
            </w:pPr>
          </w:p>
        </w:tc>
        <w:tc>
          <w:tcPr>
            <w:tcW w:w="2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Shares of stock sold to employees</w:t>
            </w:r>
          </w:p>
        </w:tc>
        <w:tc>
          <w:tcPr>
            <w:tcW w:w="780" w:type="dxa"/>
            <w:vAlign w:val="bottom"/>
            <w:shd w:val="clear" w:color="auto" w:fill="CCEEFF"/>
          </w:tcPr>
          <w:p>
            <w:pPr>
              <w:jc w:val="right"/>
              <w:ind w:right="577"/>
              <w:spacing w:after="0"/>
              <w:rPr>
                <w:sz w:val="20"/>
                <w:szCs w:val="20"/>
                <w:color w:val="auto"/>
              </w:rPr>
            </w:pPr>
            <w:r>
              <w:rPr>
                <w:rFonts w:ascii="Arial" w:cs="Arial" w:eastAsia="Arial" w:hAnsi="Arial"/>
                <w:sz w:val="13"/>
                <w:szCs w:val="13"/>
                <w:color w:val="auto"/>
                <w:w w:val="75"/>
                <w:shd w:val="clear" w:color="auto" w:fill="CCEEFF"/>
              </w:rPr>
              <w:t>(1)</w:t>
            </w:r>
          </w:p>
        </w:tc>
        <w:tc>
          <w:tcPr>
            <w:tcW w:w="1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spacing w:after="0"/>
              <w:rPr>
                <w:sz w:val="24"/>
                <w:szCs w:val="24"/>
                <w:color w:val="auto"/>
              </w:rPr>
            </w:pPr>
          </w:p>
        </w:tc>
        <w:tc>
          <w:tcPr>
            <w:tcW w:w="12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44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5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57"/>
        </w:trPr>
        <w:tc>
          <w:tcPr>
            <w:tcW w:w="40" w:type="dxa"/>
            <w:vAlign w:val="bottom"/>
            <w:shd w:val="clear" w:color="auto" w:fill="CCEEFF"/>
          </w:tcPr>
          <w:p>
            <w:pPr>
              <w:spacing w:after="0"/>
              <w:rPr>
                <w:sz w:val="4"/>
                <w:szCs w:val="4"/>
                <w:color w:val="auto"/>
              </w:rPr>
            </w:pPr>
          </w:p>
        </w:tc>
        <w:tc>
          <w:tcPr>
            <w:tcW w:w="2440" w:type="dxa"/>
            <w:vAlign w:val="bottom"/>
            <w:gridSpan w:val="2"/>
            <w:vMerge w:val="continue"/>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60" w:type="dxa"/>
            <w:vAlign w:val="bottom"/>
            <w:vMerge w:val="continue"/>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260" w:type="dxa"/>
            <w:vAlign w:val="bottom"/>
            <w:vMerge w:val="continue"/>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vMerge w:val="continue"/>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vMerge w:val="continue"/>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40" w:type="dxa"/>
            <w:vAlign w:val="bottom"/>
            <w:shd w:val="clear" w:color="auto" w:fill="CCEEFF"/>
          </w:tcPr>
          <w:p>
            <w:pPr>
              <w:spacing w:after="0"/>
              <w:rPr>
                <w:sz w:val="24"/>
                <w:szCs w:val="24"/>
                <w:color w:val="auto"/>
              </w:rPr>
            </w:pPr>
          </w:p>
        </w:tc>
        <w:tc>
          <w:tcPr>
            <w:tcW w:w="32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Weighted average fair value per ESPP award</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shd w:val="clear" w:color="auto" w:fill="CCEEFF"/>
              </w:rPr>
              <w:t>(2)</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6.61</w:t>
            </w:r>
          </w:p>
        </w:tc>
        <w:tc>
          <w:tcPr>
            <w:tcW w:w="4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5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57"/>
        </w:trPr>
        <w:tc>
          <w:tcPr>
            <w:tcW w:w="40" w:type="dxa"/>
            <w:vAlign w:val="bottom"/>
            <w:shd w:val="clear" w:color="auto" w:fill="CCEEFF"/>
          </w:tcPr>
          <w:p>
            <w:pPr>
              <w:spacing w:after="0"/>
              <w:rPr>
                <w:sz w:val="4"/>
                <w:szCs w:val="4"/>
                <w:color w:val="auto"/>
              </w:rPr>
            </w:pPr>
          </w:p>
        </w:tc>
        <w:tc>
          <w:tcPr>
            <w:tcW w:w="3220" w:type="dxa"/>
            <w:vAlign w:val="bottom"/>
            <w:gridSpan w:val="3"/>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60" w:type="dxa"/>
            <w:vAlign w:val="bottom"/>
            <w:gridSpan w:val="2"/>
            <w:vMerge w:val="continue"/>
            <w:shd w:val="clear" w:color="auto" w:fill="CCEEFF"/>
          </w:tcPr>
          <w:p>
            <w:pPr>
              <w:spacing w:after="0"/>
              <w:rPr>
                <w:sz w:val="4"/>
                <w:szCs w:val="4"/>
                <w:color w:val="auto"/>
              </w:rPr>
            </w:pPr>
          </w:p>
        </w:tc>
        <w:tc>
          <w:tcPr>
            <w:tcW w:w="1260" w:type="dxa"/>
            <w:vAlign w:val="bottom"/>
            <w:vMerge w:val="continue"/>
            <w:shd w:val="clear" w:color="auto" w:fill="CCEEFF"/>
          </w:tcPr>
          <w:p>
            <w:pPr>
              <w:spacing w:after="0"/>
              <w:rPr>
                <w:sz w:val="4"/>
                <w:szCs w:val="4"/>
                <w:color w:val="auto"/>
              </w:rPr>
            </w:pPr>
          </w:p>
        </w:tc>
        <w:tc>
          <w:tcPr>
            <w:tcW w:w="440" w:type="dxa"/>
            <w:vAlign w:val="bottom"/>
            <w:vMerge w:val="continue"/>
            <w:shd w:val="clear" w:color="auto" w:fill="CCEEFF"/>
          </w:tcPr>
          <w:p>
            <w:pPr>
              <w:spacing w:after="0"/>
              <w:rPr>
                <w:sz w:val="4"/>
                <w:szCs w:val="4"/>
                <w:color w:val="auto"/>
              </w:rPr>
            </w:pPr>
          </w:p>
        </w:tc>
        <w:tc>
          <w:tcPr>
            <w:tcW w:w="126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220" w:type="dxa"/>
            <w:vAlign w:val="bottom"/>
            <w:gridSpan w:val="3"/>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71" w:lineRule="exact"/>
        <w:rPr>
          <w:rFonts w:ascii="Arial" w:cs="Arial" w:eastAsia="Arial" w:hAnsi="Arial"/>
          <w:sz w:val="21"/>
          <w:szCs w:val="21"/>
          <w:color w:val="auto"/>
          <w:vertAlign w:val="superscript"/>
        </w:rPr>
      </w:pPr>
    </w:p>
    <w:p>
      <w:pPr>
        <w:ind w:left="340" w:hanging="332"/>
        <w:spacing w:after="0" w:line="21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Relating to awards associated with the offering periods during the years ended December 31. Effective October 1, 2013, the ESPP is no longer compensatory and therefore the 2013 weighted average fair value per award is for the nine months ended September 30, 2013.</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2013, all compensation cost associated with the ESPP had been recognized. There were approximately 506,000 shares of common stock available for future issuance under the ESPP at December 31, 2013.</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Defined Contribution, Bonus, and Profit Sharing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Contribution Plans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United Kingdom, Brazil, and certain other countries, we make contributions to defined contribution plans. For our U.S. employee savings plan, which represents a majority of our contribution expense, we provide a 50%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0"/>
              </w:rPr>
              <w:t>Year Ended December 31,</w:t>
            </w:r>
          </w:p>
        </w:tc>
        <w:tc>
          <w:tcPr>
            <w:tcW w:w="12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4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49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contribution plans expense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7,551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7,228</w:t>
            </w:r>
          </w:p>
        </w:tc>
      </w:tr>
      <w:tr>
        <w:trPr>
          <w:trHeight w:val="27"/>
        </w:trPr>
        <w:tc>
          <w:tcPr>
            <w:tcW w:w="49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 Plans and Awards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employee bonus and profit sharing plans in which many of our employees participate, as well as an award program, which allows for recognition of individual employees' achievements. The bonus and profit sharing plans provide award amounts for the achievement of annual performance and financial targets. Actual bonus and profit sharing award amounts are determined at the end of the year if the performance and financial targets are met. As the bonuses are being earned during the year, we estimate a compensation accrual each quarter based on the progress towards achieving the goals, the estimated financial forecast for the year, and the probability of achieving results. Bonus and profit sharing plans and award expense was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0"/>
              </w:rPr>
              <w:t>Year Ended December 31,</w:t>
            </w:r>
          </w:p>
        </w:tc>
        <w:tc>
          <w:tcPr>
            <w:tcW w:w="12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4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4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and profit sharing plans and award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15,745</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28,926</w:t>
            </w:r>
          </w:p>
        </w:tc>
      </w:tr>
      <w:tr>
        <w:trPr>
          <w:trHeight w:val="459"/>
        </w:trPr>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(benefit) for U.S. federal, state, and foreign taxes on income from continuing operations: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2011</w:t>
            </w:r>
          </w:p>
        </w:tc>
      </w:tr>
      <w:tr>
        <w:trPr>
          <w:trHeight w:val="27"/>
        </w:trPr>
        <w:tc>
          <w:tcPr>
            <w:tcW w:w="53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Current:</w:t>
            </w:r>
          </w:p>
        </w:tc>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2,045</w:t>
            </w: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9,898</w:t>
            </w:r>
          </w:p>
        </w:tc>
      </w:tr>
      <w:tr>
        <w:trPr>
          <w:trHeight w:val="237"/>
        </w:trPr>
        <w:tc>
          <w:tcPr>
            <w:tcW w:w="538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1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32,770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17,415</w:t>
            </w: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w:t>
            </w: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17,861</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(2,099)</w:t>
            </w: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(25,872)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(42,554)</w:t>
            </w:r>
          </w:p>
        </w:tc>
      </w:tr>
      <w:tr>
        <w:trPr>
          <w:trHeight w:val="237"/>
        </w:trPr>
        <w:tc>
          <w:tcPr>
            <w:tcW w:w="538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(44,757)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(26,792)</w:t>
            </w: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17,999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12,855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13,807</w:t>
            </w:r>
          </w:p>
        </w:tc>
      </w:tr>
      <w:tr>
        <w:trPr>
          <w:trHeight w:val="27"/>
        </w:trPr>
        <w:tc>
          <w:tcPr>
            <w:tcW w:w="53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(benefit) for income taxes</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income taxes at the U.S. federal statutory rate of 35% to the consolidated actual tax rate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2011</w:t>
            </w:r>
          </w:p>
        </w:tc>
      </w:tr>
      <w:tr>
        <w:trPr>
          <w:trHeight w:val="27"/>
        </w:trPr>
        <w:tc>
          <w:tcPr>
            <w:tcW w:w="5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19,016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167,299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125,010</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Foreign</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(167,270)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(31,080)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(626,776)</w:t>
            </w:r>
          </w:p>
        </w:tc>
      </w:tr>
      <w:tr>
        <w:trPr>
          <w:trHeight w:val="27"/>
        </w:trPr>
        <w:tc>
          <w:tcPr>
            <w:tcW w:w="53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income (loss) before income taxes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(148,254)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136,219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(501,766)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federal income tax provision (benefit)</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(175,618)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207,054</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Luxembourg net operating loss</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(12,767)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(5,289)</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Foreign earnings</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(23,769)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(19,222)</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Uncertain tax positions, including interest and penalties</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(3,996)</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tax rates</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State income tax provision (benefit), net of federal effect</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provision on foreign earnings</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(4,313)</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Local foreign taxes</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(3,302)</w:t>
            </w:r>
          </w:p>
        </w:tc>
      </w:tr>
      <w:tr>
        <w:trPr>
          <w:trHeight w:val="27"/>
        </w:trPr>
        <w:tc>
          <w:tcPr>
            <w:tcW w:w="53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for income taxes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benefit as a percentage of loss before tax was 2.5% for 2013. Our actual tax rate differed from the 35% U.S. federal statutory tax rate due to the following items which decreased the tax benefit: (1) nondeductible portion of the goodwill impairment; (2) increase in valuation allowance related to deferred tax assets in France for which we do not anticipate future realization; and (3)</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disallowed deductions due to a change in foreign legislation. The following items increased our tax benefit: (1) recognition of research and experimentation credits for 2012 and 2013 due to the signing of The American Relief Act of 2012 on January 2, 2013; (2) earnings of our subsidiaries outside of the U.S. in jurisdictions where our statutory tax rate is lower than in the U.S.; (3) the benefit of certain interest expense deductions; and (4) benefits of certain acquisition related elections for tax purposes.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provisions for 2012 and 2011 reflect the benefits of lower statutory tax rates on foreign earnings as compared with our U.S. federal statutory rate, foreign interest expense deductions and the benefits of certain acquisition related elections for tax purposes. During 2012, we recognized a benefit related to the release of reserve for uncertain tax positions. No foreign tax benefit was recorded for the goodwill impairment charge in 2011.</w:t>
      </w:r>
    </w:p>
    <w:p>
      <w:pPr>
        <w:sectPr>
          <w:pgSz w:w="11900" w:h="16838" w:orient="portrait"/>
          <w:cols w:equalWidth="0" w:num="1">
            <w:col w:w="11420"/>
          </w:cols>
          <w:pgMar w:left="240" w:top="125"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and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Loss carryforwards</w:t>
      </w:r>
      <w:r>
        <w:rPr>
          <w:rFonts w:ascii="Arial" w:cs="Arial" w:eastAsia="Arial" w:hAnsi="Arial"/>
          <w:sz w:val="25"/>
          <w:szCs w:val="25"/>
          <w:color w:val="auto"/>
          <w:vertAlign w:val="superscript"/>
        </w:rPr>
        <w:t>(1)</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Warranty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Tax credits</w:t>
      </w:r>
      <w:r>
        <w:rPr>
          <w:rFonts w:ascii="Arial" w:cs="Arial" w:eastAsia="Arial" w:hAnsi="Arial"/>
          <w:sz w:val="25"/>
          <w:szCs w:val="25"/>
          <w:color w:val="auto"/>
          <w:vertAlign w:val="superscript"/>
        </w:rPr>
        <w:t>(2)</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Pension plan benefits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Equity compensation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deferred tax assets, net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Valuation allowance</w:t>
      </w:r>
    </w:p>
    <w:p>
      <w:pPr>
        <w:spacing w:after="0" w:line="63"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Total 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Tax effect of accumulated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deferred tax liabilities, net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34290</wp:posOffset>
            </wp:positionV>
            <wp:extent cx="2675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820"/>
        <w:spacing w:after="0"/>
        <w:tabs>
          <w:tab w:leader="none" w:pos="2960" w:val="left"/>
        </w:tabs>
        <w:rPr>
          <w:sz w:val="20"/>
          <w:szCs w:val="20"/>
          <w:color w:val="auto"/>
        </w:rPr>
      </w:pP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34290</wp:posOffset>
            </wp:positionV>
            <wp:extent cx="2675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300" w:val="left"/>
          <w:tab w:leader="none" w:pos="2140" w:val="left"/>
          <w:tab w:leader="none" w:pos="3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174,360</w:t>
        <w:tab/>
        <w:t>$</w:t>
      </w:r>
      <w:r>
        <w:rPr>
          <w:sz w:val="20"/>
          <w:szCs w:val="20"/>
          <w:color w:val="auto"/>
        </w:rPr>
        <w:tab/>
      </w:r>
      <w:r>
        <w:rPr>
          <w:rFonts w:ascii="Arial" w:cs="Arial" w:eastAsia="Arial" w:hAnsi="Arial"/>
          <w:sz w:val="16"/>
          <w:szCs w:val="16"/>
          <w:color w:val="auto"/>
        </w:rPr>
        <w:t>164,254</w:t>
      </w:r>
    </w:p>
    <w:p>
      <w:pPr>
        <w:spacing w:after="0" w:line="63" w:lineRule="exact"/>
        <w:rPr>
          <w:sz w:val="20"/>
          <w:szCs w:val="20"/>
          <w:color w:val="auto"/>
        </w:rPr>
      </w:pPr>
    </w:p>
    <w:p>
      <w:pPr>
        <w:ind w:left="1420"/>
        <w:spacing w:after="0"/>
        <w:tabs>
          <w:tab w:leader="none" w:pos="3560" w:val="left"/>
        </w:tabs>
        <w:rPr>
          <w:sz w:val="20"/>
          <w:szCs w:val="20"/>
          <w:color w:val="auto"/>
        </w:rPr>
      </w:pPr>
      <w:r>
        <w:rPr>
          <w:rFonts w:ascii="Arial" w:cs="Arial" w:eastAsia="Arial" w:hAnsi="Arial"/>
          <w:sz w:val="18"/>
          <w:szCs w:val="18"/>
          <w:color w:val="auto"/>
        </w:rPr>
        <w:t>40,593</w:t>
      </w:r>
      <w:r>
        <w:rPr>
          <w:sz w:val="20"/>
          <w:szCs w:val="20"/>
          <w:color w:val="auto"/>
        </w:rPr>
        <w:tab/>
      </w:r>
      <w:r>
        <w:rPr>
          <w:rFonts w:ascii="Arial" w:cs="Arial" w:eastAsia="Arial" w:hAnsi="Arial"/>
          <w:sz w:val="18"/>
          <w:szCs w:val="18"/>
          <w:color w:val="auto"/>
        </w:rPr>
        <w:t>32,998</w:t>
      </w:r>
    </w:p>
    <w:p>
      <w:pPr>
        <w:spacing w:after="0" w:line="63" w:lineRule="exact"/>
        <w:rPr>
          <w:sz w:val="20"/>
          <w:szCs w:val="20"/>
          <w:color w:val="auto"/>
        </w:rPr>
      </w:pPr>
    </w:p>
    <w:p>
      <w:pPr>
        <w:ind w:left="1420"/>
        <w:spacing w:after="0"/>
        <w:tabs>
          <w:tab w:leader="none" w:pos="3640" w:val="left"/>
        </w:tabs>
        <w:rPr>
          <w:sz w:val="20"/>
          <w:szCs w:val="20"/>
          <w:color w:val="auto"/>
        </w:rPr>
      </w:pPr>
      <w:r>
        <w:rPr>
          <w:rFonts w:ascii="Arial" w:cs="Arial" w:eastAsia="Arial" w:hAnsi="Arial"/>
          <w:sz w:val="18"/>
          <w:szCs w:val="18"/>
          <w:color w:val="auto"/>
        </w:rPr>
        <w:t>16,770</w:t>
      </w:r>
      <w:r>
        <w:rPr>
          <w:sz w:val="20"/>
          <w:szCs w:val="20"/>
          <w:color w:val="auto"/>
        </w:rPr>
        <w:tab/>
      </w:r>
      <w:r>
        <w:rPr>
          <w:rFonts w:ascii="Arial" w:cs="Arial" w:eastAsia="Arial" w:hAnsi="Arial"/>
          <w:sz w:val="18"/>
          <w:szCs w:val="18"/>
          <w:color w:val="auto"/>
        </w:rPr>
        <w:t>9,632</w:t>
      </w:r>
    </w:p>
    <w:p>
      <w:pPr>
        <w:spacing w:after="0" w:line="63" w:lineRule="exact"/>
        <w:rPr>
          <w:sz w:val="20"/>
          <w:szCs w:val="20"/>
          <w:color w:val="auto"/>
        </w:rPr>
      </w:pPr>
    </w:p>
    <w:p>
      <w:pPr>
        <w:ind w:left="1420"/>
        <w:spacing w:after="0"/>
        <w:tabs>
          <w:tab w:leader="none" w:pos="3560" w:val="left"/>
        </w:tabs>
        <w:rPr>
          <w:sz w:val="20"/>
          <w:szCs w:val="20"/>
          <w:color w:val="auto"/>
        </w:rPr>
      </w:pPr>
      <w:r>
        <w:rPr>
          <w:rFonts w:ascii="Arial" w:cs="Arial" w:eastAsia="Arial" w:hAnsi="Arial"/>
          <w:sz w:val="18"/>
          <w:szCs w:val="18"/>
          <w:color w:val="auto"/>
        </w:rPr>
        <w:t>16,704</w:t>
      </w:r>
      <w:r>
        <w:rPr>
          <w:sz w:val="20"/>
          <w:szCs w:val="20"/>
          <w:color w:val="auto"/>
        </w:rPr>
        <w:tab/>
      </w:r>
      <w:r>
        <w:rPr>
          <w:rFonts w:ascii="Arial" w:cs="Arial" w:eastAsia="Arial" w:hAnsi="Arial"/>
          <w:sz w:val="18"/>
          <w:szCs w:val="18"/>
          <w:color w:val="auto"/>
        </w:rPr>
        <w:t>16,712</w:t>
      </w:r>
    </w:p>
    <w:p>
      <w:pPr>
        <w:spacing w:after="0" w:line="333" w:lineRule="exact"/>
        <w:rPr>
          <w:sz w:val="20"/>
          <w:szCs w:val="20"/>
          <w:color w:val="auto"/>
        </w:rPr>
      </w:pPr>
    </w:p>
    <w:p>
      <w:pPr>
        <w:ind w:left="1420"/>
        <w:spacing w:after="0"/>
        <w:tabs>
          <w:tab w:leader="none" w:pos="3640" w:val="left"/>
        </w:tabs>
        <w:rPr>
          <w:sz w:val="20"/>
          <w:szCs w:val="20"/>
          <w:color w:val="auto"/>
        </w:rPr>
      </w:pPr>
      <w:r>
        <w:rPr>
          <w:rFonts w:ascii="Arial" w:cs="Arial" w:eastAsia="Arial" w:hAnsi="Arial"/>
          <w:sz w:val="18"/>
          <w:szCs w:val="18"/>
          <w:color w:val="auto"/>
        </w:rPr>
        <w:t>16,073</w:t>
      </w:r>
      <w:r>
        <w:rPr>
          <w:sz w:val="20"/>
          <w:szCs w:val="20"/>
          <w:color w:val="auto"/>
        </w:rPr>
        <w:tab/>
      </w:r>
      <w:r>
        <w:rPr>
          <w:rFonts w:ascii="Arial" w:cs="Arial" w:eastAsia="Arial" w:hAnsi="Arial"/>
          <w:sz w:val="18"/>
          <w:szCs w:val="18"/>
          <w:color w:val="auto"/>
        </w:rPr>
        <w:t>7,054</w:t>
      </w:r>
    </w:p>
    <w:p>
      <w:pPr>
        <w:spacing w:after="0" w:line="63" w:lineRule="exact"/>
        <w:rPr>
          <w:sz w:val="20"/>
          <w:szCs w:val="20"/>
          <w:color w:val="auto"/>
        </w:rPr>
      </w:pPr>
    </w:p>
    <w:p>
      <w:pPr>
        <w:ind w:left="1420"/>
        <w:spacing w:after="0"/>
        <w:tabs>
          <w:tab w:leader="none" w:pos="3560" w:val="left"/>
        </w:tabs>
        <w:rPr>
          <w:sz w:val="20"/>
          <w:szCs w:val="20"/>
          <w:color w:val="auto"/>
        </w:rPr>
      </w:pPr>
      <w:r>
        <w:rPr>
          <w:rFonts w:ascii="Arial" w:cs="Arial" w:eastAsia="Arial" w:hAnsi="Arial"/>
          <w:sz w:val="18"/>
          <w:szCs w:val="18"/>
          <w:color w:val="auto"/>
        </w:rPr>
        <w:t>13,464</w:t>
      </w:r>
      <w:r>
        <w:rPr>
          <w:sz w:val="20"/>
          <w:szCs w:val="20"/>
          <w:color w:val="auto"/>
        </w:rPr>
        <w:tab/>
      </w:r>
      <w:r>
        <w:rPr>
          <w:rFonts w:ascii="Arial" w:cs="Arial" w:eastAsia="Arial" w:hAnsi="Arial"/>
          <w:sz w:val="18"/>
          <w:szCs w:val="18"/>
          <w:color w:val="auto"/>
        </w:rPr>
        <w:t>14,834</w:t>
      </w:r>
    </w:p>
    <w:p>
      <w:pPr>
        <w:spacing w:after="0" w:line="63" w:lineRule="exact"/>
        <w:rPr>
          <w:sz w:val="20"/>
          <w:szCs w:val="20"/>
          <w:color w:val="auto"/>
        </w:rPr>
      </w:pPr>
    </w:p>
    <w:p>
      <w:pPr>
        <w:ind w:left="1500"/>
        <w:spacing w:after="0"/>
        <w:tabs>
          <w:tab w:leader="none" w:pos="3560" w:val="left"/>
        </w:tabs>
        <w:rPr>
          <w:sz w:val="20"/>
          <w:szCs w:val="20"/>
          <w:color w:val="auto"/>
        </w:rPr>
      </w:pPr>
      <w:r>
        <w:rPr>
          <w:rFonts w:ascii="Arial" w:cs="Arial" w:eastAsia="Arial" w:hAnsi="Arial"/>
          <w:sz w:val="18"/>
          <w:szCs w:val="18"/>
          <w:color w:val="auto"/>
        </w:rPr>
        <w:t>9,908</w:t>
      </w:r>
      <w:r>
        <w:rPr>
          <w:sz w:val="20"/>
          <w:szCs w:val="20"/>
          <w:color w:val="auto"/>
        </w:rPr>
        <w:tab/>
      </w:r>
      <w:r>
        <w:rPr>
          <w:rFonts w:ascii="Arial" w:cs="Arial" w:eastAsia="Arial" w:hAnsi="Arial"/>
          <w:sz w:val="18"/>
          <w:szCs w:val="18"/>
          <w:color w:val="auto"/>
        </w:rPr>
        <w:t>10,501</w:t>
      </w:r>
    </w:p>
    <w:p>
      <w:pPr>
        <w:spacing w:after="0" w:line="63" w:lineRule="exact"/>
        <w:rPr>
          <w:sz w:val="20"/>
          <w:szCs w:val="20"/>
          <w:color w:val="auto"/>
        </w:rPr>
      </w:pPr>
    </w:p>
    <w:p>
      <w:pPr>
        <w:ind w:left="1500"/>
        <w:spacing w:after="0"/>
        <w:tabs>
          <w:tab w:leader="none" w:pos="3640" w:val="left"/>
        </w:tabs>
        <w:rPr>
          <w:sz w:val="20"/>
          <w:szCs w:val="20"/>
          <w:color w:val="auto"/>
        </w:rPr>
      </w:pPr>
      <w:r>
        <w:rPr>
          <w:rFonts w:ascii="Arial" w:cs="Arial" w:eastAsia="Arial" w:hAnsi="Arial"/>
          <w:sz w:val="18"/>
          <w:szCs w:val="18"/>
          <w:color w:val="auto"/>
        </w:rPr>
        <w:t>2,942</w:t>
      </w:r>
      <w:r>
        <w:rPr>
          <w:sz w:val="20"/>
          <w:szCs w:val="20"/>
          <w:color w:val="auto"/>
        </w:rPr>
        <w:tab/>
      </w:r>
      <w:r>
        <w:rPr>
          <w:rFonts w:ascii="Arial" w:cs="Arial" w:eastAsia="Arial" w:hAnsi="Arial"/>
          <w:sz w:val="18"/>
          <w:szCs w:val="18"/>
          <w:color w:val="auto"/>
        </w:rPr>
        <w:t>4,557</w:t>
      </w:r>
    </w:p>
    <w:p>
      <w:pPr>
        <w:spacing w:after="0" w:line="63" w:lineRule="exact"/>
        <w:rPr>
          <w:sz w:val="20"/>
          <w:szCs w:val="20"/>
          <w:color w:val="auto"/>
        </w:rPr>
      </w:pPr>
    </w:p>
    <w:p>
      <w:pPr>
        <w:ind w:left="1500"/>
        <w:spacing w:after="0"/>
        <w:tabs>
          <w:tab w:leader="none" w:pos="3640" w:val="left"/>
        </w:tabs>
        <w:rPr>
          <w:sz w:val="20"/>
          <w:szCs w:val="20"/>
          <w:color w:val="auto"/>
        </w:rPr>
      </w:pPr>
      <w:r>
        <w:rPr>
          <w:rFonts w:ascii="Arial" w:cs="Arial" w:eastAsia="Arial" w:hAnsi="Arial"/>
          <w:sz w:val="18"/>
          <w:szCs w:val="18"/>
          <w:color w:val="auto"/>
        </w:rPr>
        <w:t>9,858</w:t>
      </w:r>
      <w:r>
        <w:rPr>
          <w:sz w:val="20"/>
          <w:szCs w:val="20"/>
          <w:color w:val="auto"/>
        </w:rPr>
        <w:tab/>
      </w:r>
      <w:r>
        <w:rPr>
          <w:rFonts w:ascii="Arial" w:cs="Arial" w:eastAsia="Arial" w:hAnsi="Arial"/>
          <w:sz w:val="18"/>
          <w:szCs w:val="18"/>
          <w:color w:val="auto"/>
        </w:rPr>
        <w:t>5,824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675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1320"/>
        <w:spacing w:after="0"/>
        <w:tabs>
          <w:tab w:leader="none" w:pos="3460" w:val="left"/>
        </w:tabs>
        <w:rPr>
          <w:sz w:val="20"/>
          <w:szCs w:val="20"/>
          <w:color w:val="auto"/>
        </w:rPr>
      </w:pPr>
      <w:r>
        <w:rPr>
          <w:rFonts w:ascii="Arial" w:cs="Arial" w:eastAsia="Arial" w:hAnsi="Arial"/>
          <w:sz w:val="18"/>
          <w:szCs w:val="18"/>
          <w:color w:val="auto"/>
        </w:rPr>
        <w:t>300,672</w:t>
      </w:r>
      <w:r>
        <w:rPr>
          <w:sz w:val="20"/>
          <w:szCs w:val="20"/>
          <w:color w:val="auto"/>
        </w:rPr>
        <w:tab/>
      </w:r>
      <w:r>
        <w:rPr>
          <w:rFonts w:ascii="Arial" w:cs="Arial" w:eastAsia="Arial" w:hAnsi="Arial"/>
          <w:sz w:val="18"/>
          <w:szCs w:val="18"/>
          <w:color w:val="auto"/>
        </w:rPr>
        <w:t>266,366</w:t>
      </w:r>
    </w:p>
    <w:p>
      <w:pPr>
        <w:spacing w:after="0" w:line="63" w:lineRule="exact"/>
        <w:rPr>
          <w:sz w:val="20"/>
          <w:szCs w:val="20"/>
          <w:color w:val="auto"/>
        </w:rPr>
      </w:pPr>
    </w:p>
    <w:p>
      <w:pPr>
        <w:jc w:val="both"/>
        <w:ind w:left="1260"/>
        <w:spacing w:after="0"/>
        <w:tabs>
          <w:tab w:leader="none" w:pos="3400" w:val="left"/>
        </w:tabs>
        <w:rPr>
          <w:sz w:val="20"/>
          <w:szCs w:val="20"/>
          <w:color w:val="auto"/>
        </w:rPr>
      </w:pPr>
      <w:r>
        <w:rPr>
          <w:rFonts w:ascii="Arial" w:cs="Arial" w:eastAsia="Arial" w:hAnsi="Arial"/>
          <w:sz w:val="18"/>
          <w:szCs w:val="18"/>
          <w:color w:val="auto"/>
        </w:rPr>
        <w:t>(161,026)</w:t>
      </w:r>
      <w:r>
        <w:rPr>
          <w:sz w:val="20"/>
          <w:szCs w:val="20"/>
          <w:color w:val="auto"/>
        </w:rPr>
        <w:tab/>
      </w:r>
      <w:r>
        <w:rPr>
          <w:rFonts w:ascii="Arial" w:cs="Arial" w:eastAsia="Arial" w:hAnsi="Arial"/>
          <w:sz w:val="18"/>
          <w:szCs w:val="18"/>
          <w:color w:val="auto"/>
        </w:rPr>
        <w:t>(138,910)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675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1320"/>
        <w:spacing w:after="0"/>
        <w:tabs>
          <w:tab w:leader="none" w:pos="3460" w:val="left"/>
        </w:tabs>
        <w:rPr>
          <w:sz w:val="20"/>
          <w:szCs w:val="20"/>
          <w:color w:val="auto"/>
        </w:rPr>
      </w:pPr>
      <w:r>
        <w:rPr>
          <w:rFonts w:ascii="Arial" w:cs="Arial" w:eastAsia="Arial" w:hAnsi="Arial"/>
          <w:sz w:val="18"/>
          <w:szCs w:val="18"/>
          <w:color w:val="auto"/>
        </w:rPr>
        <w:t>139,646</w:t>
      </w:r>
      <w:r>
        <w:rPr>
          <w:sz w:val="20"/>
          <w:szCs w:val="20"/>
          <w:color w:val="auto"/>
        </w:rPr>
        <w:tab/>
      </w:r>
      <w:r>
        <w:rPr>
          <w:rFonts w:ascii="Arial" w:cs="Arial" w:eastAsia="Arial" w:hAnsi="Arial"/>
          <w:sz w:val="18"/>
          <w:szCs w:val="18"/>
          <w:color w:val="auto"/>
        </w:rPr>
        <w:t>127,456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360"/>
        <w:spacing w:after="0"/>
        <w:tabs>
          <w:tab w:leader="none" w:pos="3500" w:val="left"/>
        </w:tabs>
        <w:rPr>
          <w:sz w:val="20"/>
          <w:szCs w:val="20"/>
          <w:color w:val="auto"/>
        </w:rPr>
      </w:pPr>
      <w:r>
        <w:rPr>
          <w:rFonts w:ascii="Arial" w:cs="Arial" w:eastAsia="Arial" w:hAnsi="Arial"/>
          <w:sz w:val="18"/>
          <w:szCs w:val="18"/>
          <w:color w:val="auto"/>
        </w:rPr>
        <w:t>(50,606)</w:t>
      </w:r>
      <w:r>
        <w:rPr>
          <w:sz w:val="20"/>
          <w:szCs w:val="20"/>
          <w:color w:val="auto"/>
        </w:rPr>
        <w:tab/>
      </w:r>
      <w:r>
        <w:rPr>
          <w:rFonts w:ascii="Arial" w:cs="Arial" w:eastAsia="Arial" w:hAnsi="Arial"/>
          <w:sz w:val="18"/>
          <w:szCs w:val="18"/>
          <w:color w:val="auto"/>
        </w:rPr>
        <w:t>(59,210)</w:t>
      </w:r>
    </w:p>
    <w:p>
      <w:pPr>
        <w:spacing w:after="0" w:line="63" w:lineRule="exact"/>
        <w:rPr>
          <w:sz w:val="20"/>
          <w:szCs w:val="20"/>
          <w:color w:val="auto"/>
        </w:rPr>
      </w:pPr>
    </w:p>
    <w:p>
      <w:pPr>
        <w:jc w:val="both"/>
        <w:ind w:left="1440"/>
        <w:spacing w:after="0"/>
        <w:tabs>
          <w:tab w:leader="none" w:pos="3580" w:val="left"/>
        </w:tabs>
        <w:rPr>
          <w:sz w:val="20"/>
          <w:szCs w:val="20"/>
          <w:color w:val="auto"/>
        </w:rPr>
      </w:pPr>
      <w:r>
        <w:rPr>
          <w:rFonts w:ascii="Arial" w:cs="Arial" w:eastAsia="Arial" w:hAnsi="Arial"/>
          <w:sz w:val="18"/>
          <w:szCs w:val="18"/>
          <w:color w:val="auto"/>
        </w:rPr>
        <w:t>(1,551)</w:t>
      </w:r>
      <w:r>
        <w:rPr>
          <w:sz w:val="20"/>
          <w:szCs w:val="20"/>
          <w:color w:val="auto"/>
        </w:rPr>
        <w:tab/>
      </w:r>
      <w:r>
        <w:rPr>
          <w:rFonts w:ascii="Arial" w:cs="Arial" w:eastAsia="Arial" w:hAnsi="Arial"/>
          <w:sz w:val="18"/>
          <w:szCs w:val="18"/>
          <w:color w:val="auto"/>
        </w:rPr>
        <w:t>(2,012)</w:t>
      </w:r>
    </w:p>
    <w:p>
      <w:pPr>
        <w:spacing w:after="0" w:line="63" w:lineRule="exact"/>
        <w:rPr>
          <w:sz w:val="20"/>
          <w:szCs w:val="20"/>
          <w:color w:val="auto"/>
        </w:rPr>
      </w:pPr>
    </w:p>
    <w:p>
      <w:pPr>
        <w:jc w:val="both"/>
        <w:ind w:left="1440"/>
        <w:spacing w:after="0"/>
        <w:tabs>
          <w:tab w:leader="none" w:pos="3580" w:val="left"/>
        </w:tabs>
        <w:rPr>
          <w:sz w:val="20"/>
          <w:szCs w:val="20"/>
          <w:color w:val="auto"/>
        </w:rPr>
      </w:pPr>
      <w:r>
        <w:rPr>
          <w:rFonts w:ascii="Arial" w:cs="Arial" w:eastAsia="Arial" w:hAnsi="Arial"/>
          <w:sz w:val="18"/>
          <w:szCs w:val="18"/>
          <w:color w:val="auto"/>
        </w:rPr>
        <w:t>(2,883)</w:t>
      </w:r>
      <w:r>
        <w:rPr>
          <w:sz w:val="20"/>
          <w:szCs w:val="20"/>
          <w:color w:val="auto"/>
        </w:rPr>
        <w:tab/>
      </w:r>
      <w:r>
        <w:rPr>
          <w:rFonts w:ascii="Arial" w:cs="Arial" w:eastAsia="Arial" w:hAnsi="Arial"/>
          <w:sz w:val="18"/>
          <w:szCs w:val="18"/>
          <w:color w:val="auto"/>
        </w:rPr>
        <w:t>(4,826)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675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jc w:val="both"/>
        <w:ind w:left="1360"/>
        <w:spacing w:after="0"/>
        <w:tabs>
          <w:tab w:leader="none" w:pos="3500" w:val="left"/>
        </w:tabs>
        <w:rPr>
          <w:sz w:val="20"/>
          <w:szCs w:val="20"/>
          <w:color w:val="auto"/>
        </w:rPr>
      </w:pPr>
      <w:r>
        <w:rPr>
          <w:rFonts w:ascii="Arial" w:cs="Arial" w:eastAsia="Arial" w:hAnsi="Arial"/>
          <w:sz w:val="18"/>
          <w:szCs w:val="18"/>
          <w:color w:val="auto"/>
        </w:rPr>
        <w:t>(55,040)</w:t>
      </w:r>
      <w:r>
        <w:rPr>
          <w:sz w:val="20"/>
          <w:szCs w:val="20"/>
          <w:color w:val="auto"/>
        </w:rPr>
        <w:tab/>
      </w:r>
      <w:r>
        <w:rPr>
          <w:rFonts w:ascii="Arial" w:cs="Arial" w:eastAsia="Arial" w:hAnsi="Arial"/>
          <w:sz w:val="18"/>
          <w:szCs w:val="18"/>
          <w:color w:val="auto"/>
        </w:rPr>
        <w:t>(66,048)</w:t>
      </w:r>
    </w:p>
    <w:p>
      <w:pPr>
        <w:spacing w:after="0" w:line="77" w:lineRule="exact"/>
        <w:rPr>
          <w:sz w:val="20"/>
          <w:szCs w:val="20"/>
          <w:color w:val="auto"/>
        </w:rPr>
      </w:pPr>
    </w:p>
    <w:p>
      <w:pPr>
        <w:spacing w:after="0"/>
        <w:tabs>
          <w:tab w:leader="none" w:pos="1400" w:val="left"/>
          <w:tab w:leader="none" w:pos="2140" w:val="left"/>
          <w:tab w:leader="none" w:pos="3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84,606</w:t>
        <w:tab/>
        <w:t>$</w:t>
      </w:r>
      <w:r>
        <w:rPr>
          <w:sz w:val="20"/>
          <w:szCs w:val="20"/>
          <w:color w:val="auto"/>
        </w:rPr>
        <w:tab/>
      </w:r>
      <w:r>
        <w:rPr>
          <w:rFonts w:ascii="Arial" w:cs="Arial" w:eastAsia="Arial" w:hAnsi="Arial"/>
          <w:sz w:val="16"/>
          <w:szCs w:val="16"/>
          <w:color w:val="auto"/>
        </w:rPr>
        <w:t>61,408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48895</wp:posOffset>
            </wp:positionV>
            <wp:extent cx="2675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180"/>
          </w:cols>
          <w:pgMar w:left="240" w:top="125" w:right="239" w:bottom="1440" w:gutter="0" w:footer="0" w:header="0"/>
          <w:type w:val="continuous"/>
        </w:sectPr>
      </w:pPr>
    </w:p>
    <w:p>
      <w:pPr>
        <w:spacing w:after="0" w:line="84" w:lineRule="exact"/>
        <w:rPr>
          <w:sz w:val="20"/>
          <w:szCs w:val="20"/>
          <w:color w:val="auto"/>
        </w:rPr>
      </w:pPr>
    </w:p>
    <w:p>
      <w:pPr>
        <w:jc w:val="both"/>
        <w:ind w:left="340" w:hanging="332"/>
        <w:spacing w:after="0" w:line="268" w:lineRule="auto"/>
        <w:tabs>
          <w:tab w:leader="none" w:pos="34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For tax return purposes at December 31, 2013, we had U.S. federal loss carryforwards of $23.1 million that expire during the years 2020 and 2021. At December 31, 2013, we have net operating loss carryforwards in Luxembourg of $408.1 million that can be carried forward indefinitely, offset by a full valuation allowance (see discussion below). The remaining portion of the loss carryforwards are composed primarily of losses in various other foreign jurisdictions. The majority of these losses can be carried forward indefinitely. At December 31, 2013, there was a valuation allowance of $161.0 million primarily associated with foreign loss carryforwards.</w:t>
      </w:r>
    </w:p>
    <w:p>
      <w:pPr>
        <w:spacing w:after="0" w:line="207" w:lineRule="exact"/>
        <w:rPr>
          <w:rFonts w:ascii="Arial" w:cs="Arial" w:eastAsia="Arial" w:hAnsi="Arial"/>
          <w:sz w:val="23"/>
          <w:szCs w:val="23"/>
          <w:color w:val="auto"/>
          <w:vertAlign w:val="superscript"/>
        </w:rPr>
      </w:pPr>
    </w:p>
    <w:p>
      <w:pPr>
        <w:ind w:left="340" w:hanging="332"/>
        <w:spacing w:after="0" w:line="215"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For tax return purposes at December 31, 2013, we had: (1) U.S. general business credits of $28.0 million, which begin to expire in 2021; (2) U.S. alternative minimum tax credits of $2.5 million that can be carried forward indefinitely; and (3) U.S. foreign tax credits of $900,000, which begin to expire in 2019.</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2007 one of our Luxembourg entities has incurred losses that the Company believed would not be utilized and accordingly, the associated deferred tax asset was not recorded. During the fourth quarter of 2013 the Company has included the losses of the Luxembourg entity on its financial statements as a result of new information supporting the assertion of the ability to generate income in Luxembourg in future periods.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At December 31, 2013 the Luxembourg net operating loss carryforward was </w:t>
      </w:r>
      <w:r>
        <w:rPr>
          <w:rFonts w:ascii="Arial" w:cs="Arial" w:eastAsia="Arial" w:hAnsi="Arial"/>
          <w:sz w:val="16"/>
          <w:szCs w:val="16"/>
          <w:color w:val="auto"/>
        </w:rPr>
        <w:t>$408.1 million</w:t>
      </w:r>
      <w:r>
        <w:rPr>
          <w:rFonts w:ascii="Arial" w:cs="Arial" w:eastAsia="Arial" w:hAnsi="Arial"/>
          <w:sz w:val="18"/>
          <w:szCs w:val="18"/>
          <w:color w:val="auto"/>
        </w:rPr>
        <w:t>. A full valuation allowance is recorded for this asset due to a history of losses. The Company will continue to evaluate the need for a valuation allowance against this tax asset and will adjust the valuation allowance as deemed appropriate which, when adjusted, will result in an impact to the effective tax rate.</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Our deferred tax assets at December 31, 2013 do not include the tax effect on $55.2 million of excess tax benefits from employee stock plan exercises.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Common stock will be increased by $20.5 million when such excess tax benefits reduce cash taxes payable.</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do not provide U.S. deferred taxes on temporary differences related to our foreign investments that are considered permanent in duration. These temporary differences consist primarily of undistributed foreign earnings of $22.5 million and $48.8 million at December 31, 2013 and 2012, respectively. Foreign taxes have been provided on these undistributed foreign earnings. We have not computed the unrecognized deferred income tax liability on these temporary differences. There are many assumptions that must be considered to calculate the liability, thereby making it impractical to compute at this time.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benefits at January 1, 2011</w:t>
            </w:r>
          </w:p>
        </w:tc>
        <w:tc>
          <w:tcPr>
            <w:tcW w:w="150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44,049</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Gross increase to positions in prior years</w:t>
            </w: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2,132</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decrease to positions in prior years</w:t>
            </w:r>
          </w:p>
        </w:tc>
        <w:tc>
          <w:tcPr>
            <w:tcW w:w="8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(16,603)</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Gross increases to current period tax positions</w:t>
            </w: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1,866</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Audit 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Decrease related to lapsing of statute of limitations</w:t>
            </w: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(2,888)</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change in exchange rates</w:t>
            </w:r>
          </w:p>
        </w:tc>
        <w:tc>
          <w:tcPr>
            <w:tcW w:w="8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 2011</w:t>
            </w:r>
          </w:p>
        </w:tc>
        <w:tc>
          <w:tcPr>
            <w:tcW w:w="84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28,482</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48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Gross increase to positions in prior years</w:t>
            </w: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decrease to positions in prior years</w:t>
            </w:r>
          </w:p>
        </w:tc>
        <w:tc>
          <w:tcPr>
            <w:tcW w:w="8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Gross increases to current period tax positions</w:t>
            </w: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3,347</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Audit 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Decrease related to lapsing of statute of limitations</w:t>
            </w: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(5,769)</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change in exchange rates</w:t>
            </w:r>
          </w:p>
        </w:tc>
        <w:tc>
          <w:tcPr>
            <w:tcW w:w="8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 2012</w:t>
            </w:r>
          </w:p>
        </w:tc>
        <w:tc>
          <w:tcPr>
            <w:tcW w:w="84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26,433</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48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Gross increase to positions in prior years</w:t>
            </w: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2,154</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decrease to positions in prior years</w:t>
            </w:r>
          </w:p>
        </w:tc>
        <w:tc>
          <w:tcPr>
            <w:tcW w:w="8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Gross increases to current period tax positions</w:t>
            </w: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1,670</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Audit 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Decrease related to lapsing of statute of limitations</w:t>
            </w: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change in exchange rates</w:t>
            </w:r>
          </w:p>
        </w:tc>
        <w:tc>
          <w:tcPr>
            <w:tcW w:w="8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 2013</w:t>
            </w:r>
          </w:p>
        </w:tc>
        <w:tc>
          <w:tcPr>
            <w:tcW w:w="84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28,615</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56"/>
        </w:trPr>
        <w:tc>
          <w:tcPr>
            <w:tcW w:w="4840" w:type="dxa"/>
            <w:vAlign w:val="bottom"/>
          </w:tcPr>
          <w:p>
            <w:pPr>
              <w:spacing w:after="0"/>
              <w:rPr>
                <w:sz w:val="24"/>
                <w:szCs w:val="24"/>
                <w:color w:val="auto"/>
              </w:rPr>
            </w:pPr>
          </w:p>
        </w:tc>
        <w:tc>
          <w:tcPr>
            <w:tcW w:w="1500" w:type="dxa"/>
            <w:vAlign w:val="bottom"/>
            <w:gridSpan w:val="2"/>
          </w:tcPr>
          <w:p>
            <w:pPr>
              <w:jc w:val="right"/>
              <w:ind w:right="450"/>
              <w:spacing w:after="0"/>
              <w:rPr>
                <w:sz w:val="20"/>
                <w:szCs w:val="20"/>
                <w:color w:val="auto"/>
              </w:rPr>
            </w:pPr>
            <w:r>
              <w:rPr>
                <w:rFonts w:ascii="Arial" w:cs="Arial" w:eastAsia="Arial" w:hAnsi="Arial"/>
                <w:sz w:val="18"/>
                <w:szCs w:val="18"/>
                <w:color w:val="auto"/>
              </w:rPr>
              <w:t>73</w:t>
            </w: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At December 31,</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4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1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The amount of unrecognized tax benefits that, if</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recognized, would affect our effective tax rate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25,852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28,196</w:t>
            </w:r>
          </w:p>
        </w:tc>
      </w:tr>
      <w:tr>
        <w:trPr>
          <w:trHeight w:val="27"/>
        </w:trPr>
        <w:tc>
          <w:tcPr>
            <w:tcW w:w="128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benefits and interest income on tax overpayments as components of income tax expense. The net interest and penalties expense (benefit) recognized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6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89"/>
              </w:rPr>
              <w:t>Year Ended December 31,</w:t>
            </w:r>
          </w:p>
        </w:tc>
        <w:tc>
          <w:tcPr>
            <w:tcW w:w="12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2012</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r>
      <w:tr>
        <w:trPr>
          <w:trHeight w:val="27"/>
        </w:trPr>
        <w:tc>
          <w:tcPr>
            <w:tcW w:w="4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and penalties expense (benefit)</w:t>
            </w:r>
          </w:p>
        </w:tc>
        <w:tc>
          <w:tcPr>
            <w:tcW w:w="108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594"/>
        </w:trPr>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At December 31,</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6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2012</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4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08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8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3,095</w:t>
            </w:r>
          </w:p>
        </w:tc>
        <w:tc>
          <w:tcPr>
            <w:tcW w:w="1200" w:type="dxa"/>
            <w:vAlign w:val="bottom"/>
          </w:tcPr>
          <w:p>
            <w:pPr>
              <w:spacing w:after="0"/>
              <w:rPr>
                <w:sz w:val="21"/>
                <w:szCs w:val="2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Accrued penalties</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3,075</w:t>
            </w: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3,030</w:t>
            </w:r>
          </w:p>
        </w:tc>
        <w:tc>
          <w:tcPr>
            <w:tcW w:w="1200" w:type="dxa"/>
            <w:vAlign w:val="bottom"/>
          </w:tcPr>
          <w:p>
            <w:pPr>
              <w:spacing w:after="0"/>
              <w:rPr>
                <w:sz w:val="21"/>
                <w:szCs w:val="2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it is reasonably possible that our unrecognized tax benefits may decrease by approximately $2.1 million within the next twelve months due to the expiration of the statute of limitations. At December 31, 2013, we are not able to reasonably estimate the timing of future cash flows relating to our uncertain tax positions.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income tax returns in the U.S. federal jurisdiction and various states and foreign jurisdictions. We are subject to income tax examination by tax authorities in our major tax jurisdictions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ind w:left="40"/>
              <w:spacing w:after="0"/>
              <w:rPr>
                <w:sz w:val="20"/>
                <w:szCs w:val="20"/>
                <w:color w:val="auto"/>
              </w:rPr>
            </w:pPr>
            <w:r>
              <w:rPr>
                <w:rFonts w:ascii="Arial" w:cs="Arial" w:eastAsia="Arial" w:hAnsi="Arial"/>
                <w:sz w:val="18"/>
                <w:szCs w:val="18"/>
                <w:b w:val="1"/>
                <w:bCs w:val="1"/>
                <w:color w:val="auto"/>
              </w:rPr>
              <w:t>Tax Jurisdiction</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Years Subject to Audit</w:t>
            </w:r>
          </w:p>
        </w:tc>
      </w:tr>
      <w:tr>
        <w:trPr>
          <w:trHeight w:val="27"/>
        </w:trPr>
        <w:tc>
          <w:tcPr>
            <w:tcW w:w="3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Subsequent to 1998</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France</w:t>
            </w: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Subsequent to 2009</w:t>
            </w: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Subsequent to 2007</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Brazil</w:t>
            </w: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Subsequent to 2007</w:t>
            </w: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Subsequent to 2006</w:t>
            </w:r>
          </w:p>
        </w:tc>
      </w:tr>
      <w:tr>
        <w:trPr>
          <w:trHeight w:val="27"/>
        </w:trPr>
        <w:tc>
          <w:tcPr>
            <w:tcW w:w="3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American Taxpayer Relief Act of 2012 (the "Act") was signed into law on January 2, 2013 and extended several business tax provisions including: (1) the active financing income and controlled foreign corporation look-through exceptions to certain foreign income; and (2) the research and experimentation credit. The tax effects of the Act were recognized in the first quarter of 2013.</w:t>
      </w:r>
    </w:p>
    <w:p>
      <w:pPr>
        <w:spacing w:after="0" w:line="200" w:lineRule="exact"/>
        <w:rPr>
          <w:sz w:val="20"/>
          <w:szCs w:val="20"/>
          <w:color w:val="auto"/>
        </w:rPr>
      </w:pPr>
    </w:p>
    <w:p>
      <w:pPr>
        <w:spacing w:after="0" w:line="2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rental expense for factories, service and distribution locations, offices, and equipment was as follows: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4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4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r>
      <w:tr>
        <w:trPr>
          <w:trHeight w:val="27"/>
        </w:trPr>
        <w:tc>
          <w:tcPr>
            <w:tcW w:w="2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Rental expense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18,662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17,877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18,513</w:t>
            </w:r>
          </w:p>
        </w:tc>
      </w:tr>
      <w:tr>
        <w:trPr>
          <w:trHeight w:val="27"/>
        </w:trPr>
        <w:tc>
          <w:tcPr>
            <w:tcW w:w="29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08"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Future minimum lease payments at December 31, 2013, under noncancelable operating leases with initial or remaining terms in excess of one year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Minimum Payments</w:t>
            </w:r>
          </w:p>
        </w:tc>
      </w:tr>
      <w:tr>
        <w:trPr>
          <w:trHeight w:val="27"/>
        </w:trPr>
        <w:tc>
          <w:tcPr>
            <w:tcW w:w="4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ind w:right="4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11,710</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9,918</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8,341</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7,797</w:t>
            </w:r>
          </w:p>
        </w:tc>
      </w:tr>
      <w:tr>
        <w:trPr>
          <w:trHeight w:val="27"/>
        </w:trPr>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Beyond 2018</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7,155</w:t>
            </w:r>
          </w:p>
        </w:tc>
      </w:tr>
      <w:tr>
        <w:trPr>
          <w:trHeight w:val="27"/>
        </w:trPr>
        <w:tc>
          <w:tcPr>
            <w:tcW w:w="4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Future minimum lease payments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52,691</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 expense is recognized straight-line over the lease term, including renewal periods if reasonably assured. We lease most of our sales and distribution locations and administrative offices. Our leases typically contain renewal options similar to the original terms with lease payments that increase based on the consumer price index.</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2013</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2012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4"/>
          </w:tcPr>
          <w:p>
            <w:pPr>
              <w:jc w:val="right"/>
              <w:ind w:right="13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466"/>
        </w:trPr>
        <w:tc>
          <w:tcPr>
            <w:tcW w:w="72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660,000</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(140,000)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(54,328)</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490,509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465,672</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115,269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67,308</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(31,714)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(29,906)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3"/>
        </w:trPr>
        <w:tc>
          <w:tcPr>
            <w:tcW w:w="7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4"/>
                <w:szCs w:val="2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94"/>
        </w:trPr>
        <w:tc>
          <w:tcPr>
            <w:tcW w:w="72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6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6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79,303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36,551</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186,446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164,820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Refer to Note 6 for details regarding our secured credit facilities.</w:t>
      </w:r>
    </w:p>
    <w:p>
      <w:pPr>
        <w:ind w:left="340" w:hanging="332"/>
        <w:spacing w:after="0" w:line="182"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2010 and 2011, Transdata Incorporated (Transdata) filed lawsuits against four of our customers, CenterPoint Energy (CenterPoint), TriCounty Electric Cooperative, Inc. (Tri-County), San Diego Gas &amp; Electric Company (San Diego), and Texas-New Mexico Power Company (TNMP), as well as several other utilities, alleging infringement of three patents owned by Transdata related to the use of an antenna in a meter. Pursuant to our contractual obligations with our customers, we agreed, subject to certain exceptions, to indemnify and defend them in these lawsuits. The complaints seek unspecified damages as well as injunctive relief. CenterPoint, Tri-County, San Diego, and TNMP have denied all of the substantive allegations and filed counterclaims seeking a declaratory judgment that the patents are invalid and not infringed. In December 2011, the Judicial Panel on Multi-District Litigation consolidated all of these cases in the Western District of Oklahoma for pretrial proceedings. On April 17, 2011, the Oklahoma court stayed the litigation pending the resolution of re-examination proceedings in the United States Patent and Trademark Office (U.S. PTO). The U.S. PTO has issued re-examination certificates confirming the patentability of the original claims and allowing certain new claims added by TransData. The parties conducted a claim construction hearing on February 5, 2013 on one claim term -- "electric meter circuitry." After initially adopting defendants' proposed construction of the term, the Court granted TransData's motion for reconsideration by order of June 25, 2013, and has adopted TransData's proposed construction. On October 1, 2013, the Court issued an order construing other claim terms. Fact discovery is currently scheduled to close on March 31, 2014, with experts' reports to follow. No trials are scheduled.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and its subsidiaries are parties to various employment-related proceedings in jurisdictions where it does business. None of the proceedings are individually material to Itron, and we believe that we have made adequate provision such that the ultimate disposition of the proceedings will not materially affect Itron's business or financial condition.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 series of cases, approximately 300 former employees of Itron Sistemas e Technologia Ltda. (Itron Brazil), the majority of whose employment contracts were terminated in 2011, have sued Itron Brazil seeking payment of overtime and salary differential and alleging that the assumption of the employment relationship by Itron Brazil constituted illegal outsourcing under Brazilian law. In 2008, Itron Brazil entered into an agreement to provide installation and maintenance services to one of its customers and, to perform such services, hired over 800 employees of the previous provider of such services. In 2011, Itron Brazil determined to terminate the contract with its customer, which led to the termination of approximately 870 employees. Under applicable statutes of limitation, most additional employee claims must have been brought prior to October 31, 2013. Itron Brazil intends to vigorously defend these cases, but the ultimate outcome of the cases cannot be determined at this time.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31, 2013, we received a claim from one of our customers relating to alleged defects in meters sold to this customer since the year 2000. The customer asserts that it should be compensated for product and other related costs. Itron has engaged the customer in discussions to determine the factual basis for the claim. Since the discussions and related analysis are at an early stage, Itron is not yet able to estimate a potential range of loss. Currently, we do not believe that the outcome of this matter will have a material adverse effect on our business or financial condition, although an unfavorable outcome could have a material adverse effect on our results of operations for the period in which such a loss is recognized.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8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53,605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79,536</w:t>
            </w: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New product warranties</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8,735</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changes/adjustments to warranties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10,343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4,451</w:t>
            </w: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Claims activity</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(23,593)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(38,979)</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change in exchange rates</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45,146</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53,605</w:t>
            </w:r>
          </w:p>
        </w:tc>
      </w:tr>
      <w:tr>
        <w:trPr>
          <w:trHeight w:val="27"/>
        </w:trPr>
        <w:tc>
          <w:tcPr>
            <w:tcW w:w="4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warranty</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21,048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27,115</w:t>
            </w:r>
          </w:p>
        </w:tc>
      </w:tr>
      <w:tr>
        <w:trPr>
          <w:trHeight w:val="257"/>
        </w:trPr>
        <w:tc>
          <w:tcPr>
            <w:tcW w:w="4380" w:type="dxa"/>
            <w:vAlign w:val="bottom"/>
          </w:tcPr>
          <w:p>
            <w:pPr>
              <w:ind w:left="380"/>
              <w:spacing w:after="0"/>
              <w:rPr>
                <w:sz w:val="20"/>
                <w:szCs w:val="20"/>
                <w:color w:val="auto"/>
              </w:rPr>
            </w:pPr>
            <w:r>
              <w:rPr>
                <w:rFonts w:ascii="Arial" w:cs="Arial" w:eastAsia="Arial" w:hAnsi="Arial"/>
                <w:sz w:val="18"/>
                <w:szCs w:val="18"/>
                <w:color w:val="auto"/>
              </w:rPr>
              <w:t>Long-term warranty</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24,098</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26,490</w:t>
            </w:r>
          </w:p>
        </w:tc>
      </w:tr>
      <w:tr>
        <w:trPr>
          <w:trHeight w:val="20"/>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and other changes and adjustments to warranties. Warranty expense for the years ended December 31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0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4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r>
      <w:tr>
        <w:trPr>
          <w:trHeight w:val="27"/>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warranty expense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15,904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13,186</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49,851</w:t>
            </w:r>
          </w:p>
        </w:tc>
      </w:tr>
      <w:tr>
        <w:trPr>
          <w:trHeight w:val="27"/>
        </w:trPr>
        <w:tc>
          <w:tcPr>
            <w:tcW w:w="4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Warranty expense increased $2.7 million during the year ended December 31, 2013 compared with the prior year primarily as a result of an increased provision due to the identification of battery and firmware issues for a customer. Warranty expense for the year ended December 31, 2012 reflects a $5.3 million adjustment, which reduced a warranty accrual, originally recorded in 2011, as a result of lower than estimated replacements. Warranty expense for the year ended December 31, 2011 reflects a charge of $12.6 million associated with a vendor-supplied component in North America and a charge of $6.6 million resulting from the identification of a specific batch of C&amp;I meters that were manufactured in North America with a misaligned automated solder-feeder. Warranty expense for the year ended December 31, 2011 also reflects the benefit of an $8.6 million insurance recovery associated with the settlement of product claims in Sweden in 2010 and a warranty charge of $9.2 million related to certain products in Brazil.</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26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78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8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7"/>
        </w:trPr>
        <w:tc>
          <w:tcPr>
            <w:tcW w:w="7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9"/>
              </w:rPr>
              <w:t>(in thousands)</w:t>
            </w:r>
          </w:p>
        </w:tc>
        <w:tc>
          <w:tcPr>
            <w:tcW w:w="58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31,960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24,448</w:t>
            </w:r>
          </w:p>
        </w:tc>
      </w:tr>
      <w:tr>
        <w:trPr>
          <w:trHeight w:val="237"/>
        </w:trPr>
        <w:tc>
          <w:tcPr>
            <w:tcW w:w="782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4,039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8,832</w:t>
            </w: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(1,390)</w:t>
            </w:r>
          </w:p>
        </w:tc>
      </w:tr>
      <w:tr>
        <w:trPr>
          <w:trHeight w:val="237"/>
        </w:trPr>
        <w:tc>
          <w:tcPr>
            <w:tcW w:w="782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70</w:t>
            </w:r>
          </w:p>
        </w:tc>
      </w:tr>
      <w:tr>
        <w:trPr>
          <w:trHeight w:val="33"/>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33,528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31,960</w:t>
            </w: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 warranty</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2,385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2,031</w:t>
            </w:r>
          </w:p>
        </w:tc>
      </w:tr>
      <w:tr>
        <w:trPr>
          <w:trHeight w:val="33"/>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unearned revenue for extended warranty within Other long-term obligations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31,143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29,929</w:t>
            </w: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80"/>
        </w:trPr>
        <w:tc>
          <w:tcPr>
            <w:tcW w:w="3260" w:type="dxa"/>
            <w:vAlign w:val="bottom"/>
            <w:gridSpan w:val="2"/>
          </w:tcPr>
          <w:p>
            <w:pPr>
              <w:spacing w:after="0"/>
              <w:rPr>
                <w:sz w:val="20"/>
                <w:szCs w:val="20"/>
                <w:color w:val="auto"/>
              </w:rPr>
            </w:pPr>
            <w:r>
              <w:rPr>
                <w:rFonts w:ascii="Arial" w:cs="Arial" w:eastAsia="Arial" w:hAnsi="Arial"/>
                <w:sz w:val="18"/>
                <w:szCs w:val="18"/>
                <w:color w:val="auto"/>
              </w:rPr>
              <w:t>Plan costs are as follows: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67"/>
        </w:trPr>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4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r>
      <w:tr>
        <w:trPr>
          <w:trHeight w:val="27"/>
        </w:trPr>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Plan costs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26,755</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24,331</w:t>
            </w:r>
          </w:p>
        </w:tc>
      </w:tr>
      <w:tr>
        <w:trPr>
          <w:trHeight w:val="27"/>
        </w:trPr>
        <w:tc>
          <w:tcPr>
            <w:tcW w:w="12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is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ind w:left="20"/>
              <w:spacing w:after="0"/>
              <w:rPr>
                <w:sz w:val="20"/>
                <w:szCs w:val="20"/>
                <w:color w:val="auto"/>
              </w:rPr>
            </w:pPr>
            <w:r>
              <w:rPr>
                <w:rFonts w:ascii="Arial" w:cs="Arial" w:eastAsia="Arial" w:hAnsi="Arial"/>
                <w:sz w:val="18"/>
                <w:szCs w:val="18"/>
                <w:b w:val="1"/>
                <w:bCs w:val="1"/>
                <w:color w:val="auto"/>
                <w:w w:val="99"/>
              </w:rPr>
              <w:t>December 31, 2013</w:t>
            </w:r>
          </w:p>
        </w:tc>
        <w:tc>
          <w:tcPr>
            <w:tcW w:w="220" w:type="dxa"/>
            <w:vAlign w:val="bottom"/>
          </w:tcPr>
          <w:p>
            <w:pPr>
              <w:spacing w:after="0"/>
              <w:rPr>
                <w:sz w:val="20"/>
                <w:szCs w:val="20"/>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2012</w:t>
            </w: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gridSpan w:val="3"/>
          </w:tcPr>
          <w:p>
            <w:pPr>
              <w:ind w:left="11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IBNR accrual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2,206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r>
      <w:tr>
        <w:trPr>
          <w:trHeight w:val="27"/>
        </w:trPr>
        <w:tc>
          <w:tcPr>
            <w:tcW w:w="3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2011 Projects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fourth quarter of 2011, we announced the approval of projects to restructure our manufacturing operations to increase efficiency and lower our cost of manufacturing. We began implementing these projects in the fourth quarter of 2011.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2013, we had substantially completed these restructuring projects. We do not anticipate further expenses related to these restructuring projects to be recognized in the Consolidated Statements of Operations in future periods.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expected restructuring costs, the costs recognized in prior periods, the restructuring costs recognized during the year ended December 31, 2013, and the remaining expected restructuring costs as of December 31, 2013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Costs Recognized During</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the</w:t>
            </w:r>
          </w:p>
        </w:tc>
        <w:tc>
          <w:tcPr>
            <w:tcW w:w="120" w:type="dxa"/>
            <w:vAlign w:val="bottom"/>
          </w:tcPr>
          <w:p>
            <w:pPr>
              <w:spacing w:after="0"/>
              <w:rPr>
                <w:sz w:val="18"/>
                <w:szCs w:val="18"/>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Remaining Costs to be</w:t>
            </w:r>
          </w:p>
        </w:tc>
      </w:tr>
      <w:tr>
        <w:trPr>
          <w:trHeight w:val="216"/>
        </w:trPr>
        <w:tc>
          <w:tcPr>
            <w:tcW w:w="270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Total Expected Costs at</w:t>
            </w: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Costs Recognized in</w:t>
            </w: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Recognized at</w:t>
            </w:r>
          </w:p>
        </w:tc>
      </w:tr>
      <w:tr>
        <w:trPr>
          <w:trHeight w:val="234"/>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2013</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Prior Periods</w:t>
            </w:r>
          </w:p>
        </w:tc>
        <w:tc>
          <w:tcPr>
            <w:tcW w:w="20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 2013</w:t>
            </w:r>
          </w:p>
        </w:tc>
        <w:tc>
          <w:tcPr>
            <w:tcW w:w="120" w:type="dxa"/>
            <w:vAlign w:val="bottom"/>
          </w:tcPr>
          <w:p>
            <w:pPr>
              <w:spacing w:after="0"/>
              <w:rPr>
                <w:sz w:val="20"/>
                <w:szCs w:val="20"/>
                <w:color w:val="auto"/>
              </w:rPr>
            </w:pPr>
          </w:p>
        </w:tc>
        <w:tc>
          <w:tcPr>
            <w:tcW w:w="19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December 31, 2013</w:t>
            </w:r>
          </w:p>
        </w:tc>
      </w:tr>
      <w:tr>
        <w:trPr>
          <w:trHeight w:val="27"/>
        </w:trPr>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gridSpan w:val="5"/>
          </w:tcPr>
          <w:p>
            <w:pPr>
              <w:ind w:left="12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20,332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restructuring costs</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r>
      <w:tr>
        <w:trPr>
          <w:trHeight w:val="297"/>
        </w:trPr>
        <w:tc>
          <w:tcPr>
            <w:tcW w:w="27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74,145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69,747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4,398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8"/>
                <w:szCs w:val="18"/>
                <w:color w:val="auto"/>
              </w:rPr>
              <w:t>—</w:t>
            </w:r>
          </w:p>
        </w:tc>
      </w:tr>
      <w:tr>
        <w:trPr>
          <w:trHeight w:val="311"/>
        </w:trPr>
        <w:tc>
          <w:tcPr>
            <w:tcW w:w="2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i w:val="1"/>
                <w:iCs w:val="1"/>
                <w:color w:val="auto"/>
              </w:rPr>
              <w:t>Segments:</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Electricity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tcPr>
          <w:p>
            <w:pPr>
              <w:ind w:left="200"/>
              <w:spacing w:after="0"/>
              <w:rPr>
                <w:sz w:val="20"/>
                <w:szCs w:val="20"/>
                <w:color w:val="auto"/>
              </w:rPr>
            </w:pPr>
            <w:r>
              <w:rPr>
                <w:rFonts w:ascii="Arial" w:cs="Arial" w:eastAsia="Arial" w:hAnsi="Arial"/>
                <w:sz w:val="18"/>
                <w:szCs w:val="18"/>
                <w:color w:val="auto"/>
              </w:rPr>
              <w:t>Gas</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24,580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Water</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tcPr>
          <w:p>
            <w:pPr>
              <w:ind w:left="200"/>
              <w:spacing w:after="0"/>
              <w:rPr>
                <w:sz w:val="20"/>
                <w:szCs w:val="20"/>
                <w:color w:val="auto"/>
              </w:rPr>
            </w:pPr>
            <w:r>
              <w:rPr>
                <w:rFonts w:ascii="Arial" w:cs="Arial" w:eastAsia="Arial" w:hAnsi="Arial"/>
                <w:sz w:val="18"/>
                <w:szCs w:val="18"/>
                <w:color w:val="auto"/>
              </w:rPr>
              <w:t>Corporate unallocated</w:t>
            </w: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3,084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2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69,747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8"/>
                <w:szCs w:val="18"/>
                <w:color w:val="auto"/>
              </w:rPr>
              <w:t>—</w:t>
            </w: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10, 2013, our management approved new projects to restructure our operations to improve profitability and increase efficiencies. These new restructuring projects will reduce headcount and close or consolidate several manufacturing and office facilities. Overall, we expect to reduce our work force by approximately 9%.</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08"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began implementing these projects in the third quarter of 2013, and we expect to substantially complete these projects by December 31, 2014. Certain aspects of the projects are subject to a variety of labor and employment laws, rules, and regulations, which could result in a delay in implementing the projects at some locations.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expected restructuring costs as of December 31, 2013 were approximately $31.3 million, which is an increase of approximately $2.2 million from the total expected costs at September 30, 2013. The increase was the result of asset impairments recognized at a manufacturing site to be closed and a small increase in the total headcount reduction.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during the year ended December 31, 2013, and the remaining expected restructuring costs as of December 31, 2013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Costs Recognized During the</w:t>
            </w:r>
          </w:p>
        </w:tc>
        <w:tc>
          <w:tcPr>
            <w:tcW w:w="140" w:type="dxa"/>
            <w:vAlign w:val="bottom"/>
          </w:tcPr>
          <w:p>
            <w:pPr>
              <w:spacing w:after="0"/>
              <w:rPr>
                <w:sz w:val="18"/>
                <w:szCs w:val="18"/>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Remaining Costs to be</w:t>
            </w: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Total Expected Costs at</w:t>
            </w:r>
          </w:p>
        </w:tc>
        <w:tc>
          <w:tcPr>
            <w:tcW w:w="14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 December 31,</w:t>
            </w: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Recognized at December</w:t>
            </w:r>
          </w:p>
        </w:tc>
      </w:tr>
      <w:tr>
        <w:trPr>
          <w:trHeight w:val="234"/>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 2013</w:t>
            </w:r>
          </w:p>
        </w:tc>
        <w:tc>
          <w:tcPr>
            <w:tcW w:w="140" w:type="dxa"/>
            <w:vAlign w:val="bottom"/>
          </w:tcPr>
          <w:p>
            <w:pPr>
              <w:spacing w:after="0"/>
              <w:rPr>
                <w:sz w:val="20"/>
                <w:szCs w:val="20"/>
                <w:color w:val="auto"/>
              </w:rPr>
            </w:pPr>
          </w:p>
        </w:tc>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31, 2013</w:t>
            </w:r>
          </w:p>
        </w:tc>
      </w:tr>
      <w:tr>
        <w:trPr>
          <w:trHeight w:val="27"/>
        </w:trPr>
        <w:tc>
          <w:tcPr>
            <w:tcW w:w="3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97"/>
        </w:trPr>
        <w:tc>
          <w:tcPr>
            <w:tcW w:w="30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31,349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31,099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r>
      <w:tr>
        <w:trPr>
          <w:trHeight w:val="311"/>
        </w:trPr>
        <w:tc>
          <w:tcPr>
            <w:tcW w:w="3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i w:val="1"/>
                <w:iCs w:val="1"/>
                <w:color w:val="auto"/>
              </w:rPr>
              <w:t>Segments:</w:t>
            </w: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3040" w:type="dxa"/>
            <w:vAlign w:val="bottom"/>
          </w:tcPr>
          <w:p>
            <w:pPr>
              <w:ind w:left="200"/>
              <w:spacing w:after="0"/>
              <w:rPr>
                <w:sz w:val="20"/>
                <w:szCs w:val="20"/>
                <w:color w:val="auto"/>
              </w:rPr>
            </w:pPr>
            <w:r>
              <w:rPr>
                <w:rFonts w:ascii="Arial" w:cs="Arial" w:eastAsia="Arial" w:hAnsi="Arial"/>
                <w:sz w:val="18"/>
                <w:szCs w:val="18"/>
                <w:color w:val="auto"/>
              </w:rPr>
              <w:t>Gas</w:t>
            </w:r>
          </w:p>
        </w:tc>
        <w:tc>
          <w:tcPr>
            <w:tcW w:w="16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3040" w:type="dxa"/>
            <w:vAlign w:val="bottom"/>
          </w:tcPr>
          <w:p>
            <w:pPr>
              <w:ind w:left="200"/>
              <w:spacing w:after="0"/>
              <w:rPr>
                <w:sz w:val="20"/>
                <w:szCs w:val="20"/>
                <w:color w:val="auto"/>
              </w:rPr>
            </w:pPr>
            <w:r>
              <w:rPr>
                <w:rFonts w:ascii="Arial" w:cs="Arial" w:eastAsia="Arial" w:hAnsi="Arial"/>
                <w:sz w:val="18"/>
                <w:szCs w:val="18"/>
                <w:color w:val="auto"/>
              </w:rPr>
              <w:t>Corporate unallocated</w:t>
            </w:r>
          </w:p>
        </w:tc>
        <w:tc>
          <w:tcPr>
            <w:tcW w:w="16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31,349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the 2013 Projects resulted in approximately $850,000 of inventory obsolescence that was recorded in cost of revenues. This obsolescence expense resulted from the decision to stop manufacturing certain products in Latin America for which raw materials remained on hand.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within the restructuring related balance sheet accounts during the year ended December 31, 2013: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Impairments &amp;</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Accrued</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Net (Gain) Loss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Employee</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on Sale or</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Other Accrued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1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Disposal</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Costs</w:t>
            </w:r>
          </w:p>
        </w:tc>
        <w:tc>
          <w:tcPr>
            <w:tcW w:w="3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4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ind w:left="8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January 1,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Costs incurred and charged to expense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35,497</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(16,483)</w:t>
            </w: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Non-cash items</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(1,259)</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change in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Ending balance, December 31, 2013</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32,709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36,341</w:t>
            </w: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restructuring costs include expenses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portions of the restructuring related liability balances were $30.3 million and $13.2 million as of December 31, 2013 and 2012, respectively. The current portion of the liability is classified within "Other current liabilities" on the Consolidated Balance Sheets. The long-term portions of the restructuring related liability related balances were $6.0 million and $4.5 million as of December 31, 2013 and 2012, respectively. The long term portion of the restructuring liability is classified within "Other long-term liabilities" on the Consolidated Balance Sheets.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Assets held for sale are classified within other current assets and are reported at the lower of the carrying amount or the fair value, less costs to sell, and are no longer depreciated or amortized.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long-lived assets held for sale and long-lived assets held and used that were measured at fair value on a nonrecurring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 and the related recognized losses for the years ended December 31, 2013 and 2012:</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Net Carrying Value</w:t>
            </w: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Measurement (Level 3)</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Total Loss Recognized</w:t>
            </w:r>
          </w:p>
        </w:tc>
      </w:tr>
      <w:tr>
        <w:trPr>
          <w:trHeight w:val="27"/>
        </w:trPr>
        <w:tc>
          <w:tcPr>
            <w:tcW w:w="3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(in thousands)</w:t>
            </w: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380" w:type="dxa"/>
            <w:vAlign w:val="bottom"/>
          </w:tcPr>
          <w:p>
            <w:pPr>
              <w:jc w:val="right"/>
              <w:ind w:right="2890"/>
              <w:spacing w:after="0"/>
              <w:rPr>
                <w:sz w:val="20"/>
                <w:szCs w:val="20"/>
                <w:color w:val="auto"/>
              </w:rPr>
            </w:pPr>
            <w:r>
              <w:rPr>
                <w:rFonts w:ascii="Arial" w:cs="Arial" w:eastAsia="Arial" w:hAnsi="Arial"/>
                <w:sz w:val="18"/>
                <w:szCs w:val="18"/>
                <w:i w:val="1"/>
                <w:iCs w:val="1"/>
                <w:color w:val="auto"/>
                <w:w w:val="94"/>
              </w:rPr>
              <w:t>2013</w:t>
            </w: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
        </w:trPr>
        <w:tc>
          <w:tcPr>
            <w:tcW w:w="3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Long-lived assets held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3380" w:type="dxa"/>
            <w:vAlign w:val="bottom"/>
            <w:tcBorders>
              <w:bottom w:val="single" w:sz="8" w:color="CCEEFF"/>
            </w:tcBorders>
            <w:shd w:val="clear" w:color="auto" w:fill="CCEEFF"/>
          </w:tcPr>
          <w:p>
            <w:pPr>
              <w:jc w:val="right"/>
              <w:ind w:right="2890"/>
              <w:spacing w:after="0"/>
              <w:rPr>
                <w:sz w:val="20"/>
                <w:szCs w:val="20"/>
                <w:color w:val="auto"/>
              </w:rPr>
            </w:pPr>
            <w:r>
              <w:rPr>
                <w:rFonts w:ascii="Arial" w:cs="Arial" w:eastAsia="Arial" w:hAnsi="Arial"/>
                <w:sz w:val="18"/>
                <w:szCs w:val="18"/>
                <w:i w:val="1"/>
                <w:iCs w:val="1"/>
                <w:color w:val="auto"/>
                <w:w w:val="94"/>
              </w:rPr>
              <w:t>2012</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jc w:val="right"/>
              <w:ind w:right="730"/>
              <w:spacing w:after="0"/>
              <w:rPr>
                <w:sz w:val="20"/>
                <w:szCs w:val="20"/>
                <w:color w:val="auto"/>
              </w:rPr>
            </w:pPr>
            <w:r>
              <w:rPr>
                <w:rFonts w:ascii="Arial" w:cs="Arial" w:eastAsia="Arial" w:hAnsi="Arial"/>
                <w:sz w:val="18"/>
                <w:szCs w:val="18"/>
                <w:color w:val="auto"/>
              </w:rPr>
              <w:t>Long-lived assets held for sale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3,184</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3,184</w:t>
            </w:r>
          </w:p>
        </w:tc>
        <w:tc>
          <w:tcPr>
            <w:tcW w:w="90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disposal groups included in long-lived assets held for sale were determined based on the estimated proceeds from their expected sales, net of estimated selling costs. Long-lived assets held for sale at December 31, 2012 consist of one asset group that includes land, a building, and building improvements, which was sold in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and net operating income from the activities we have exited or will exit under the restructuring plan are not material to our operating segments or consolidated results.</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8, 2013, the Board authorized a twelve-month repurchase program of up to $50 million in shares of our common stock. From March 8, 2013 through December 31, 2013, we have repurchased 645,000 shares of our common stock, totaling $27.0 million, with $23.0 million remaining under the repurchase program. Repurchases are made in the open market or in privately negotiated transactions and in accordance with applicable securities laws. Refer to Part II, Item 5: "Market For Registrants Common Equity, Released Stockholder Matters and Issuer Purchases of Equity Securities" for additional information related to our share repurchase program.</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Other comprehensive income (loss) is reflected as a net increase (decrease) to shareholders’ equity and is not reflected in our results of operations. The changes in the components of accumulated other comprehensive income (loss), net of tax, were as follows:</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Net Unrealized</w:t>
            </w:r>
          </w:p>
        </w:tc>
        <w:tc>
          <w:tcPr>
            <w:tcW w:w="12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Net Unrealized</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Gain (Loss) on</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Gain (Loss) on</w:t>
            </w: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Pension Plan</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Accumulated Other</w:t>
            </w:r>
          </w:p>
        </w:tc>
      </w:t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Nonderivative</w:t>
            </w:r>
          </w:p>
        </w:tc>
        <w:tc>
          <w:tcPr>
            <w:tcW w:w="10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Benefit Liability</w:t>
            </w:r>
          </w:p>
        </w:tc>
        <w:tc>
          <w:tcPr>
            <w:tcW w:w="14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Comprehensive</w:t>
            </w: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Income (Loss)</w:t>
            </w:r>
          </w:p>
        </w:tc>
      </w:tr>
      <w:tr>
        <w:trPr>
          <w:trHeight w:val="33"/>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(34,974)</w:t>
            </w:r>
          </w:p>
        </w:tc>
      </w:tr>
      <w:tr>
        <w:trPr>
          <w:trHeight w:val="237"/>
        </w:trPr>
        <w:tc>
          <w:tcPr>
            <w:tcW w:w="400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(2,169)</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4000" w:type="dxa"/>
            <w:vAlign w:val="bottom"/>
          </w:tcPr>
          <w:p>
            <w:pPr>
              <w:ind w:left="20"/>
              <w:spacing w:after="0"/>
              <w:rPr>
                <w:sz w:val="20"/>
                <w:szCs w:val="20"/>
                <w:color w:val="auto"/>
              </w:rPr>
            </w:pPr>
            <w:r>
              <w:rPr>
                <w:rFonts w:ascii="Arial" w:cs="Arial" w:eastAsia="Arial" w:hAnsi="Arial"/>
                <w:sz w:val="16"/>
                <w:szCs w:val="16"/>
                <w:color w:val="auto"/>
              </w:rPr>
              <w:t>Current period other comprehensive income (loss)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4,520</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(8,866)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(2,186)</w:t>
            </w: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(37,160)</w:t>
            </w:r>
          </w:p>
        </w:tc>
      </w:tr>
      <w:tr>
        <w:trPr>
          <w:trHeight w:val="217"/>
        </w:trPr>
        <w:tc>
          <w:tcPr>
            <w:tcW w:w="400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21,405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(16,772)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2,944</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7"/>
        </w:trPr>
        <w:tc>
          <w:tcPr>
            <w:tcW w:w="4000" w:type="dxa"/>
            <w:vAlign w:val="bottom"/>
          </w:tcPr>
          <w:p>
            <w:pPr>
              <w:ind w:left="20"/>
              <w:spacing w:after="0"/>
              <w:rPr>
                <w:sz w:val="20"/>
                <w:szCs w:val="20"/>
                <w:color w:val="auto"/>
              </w:rPr>
            </w:pPr>
            <w:r>
              <w:rPr>
                <w:rFonts w:ascii="Arial" w:cs="Arial" w:eastAsia="Arial" w:hAnsi="Arial"/>
                <w:sz w:val="16"/>
                <w:szCs w:val="16"/>
                <w:color w:val="auto"/>
              </w:rPr>
              <w:t>Current period other comprehensive income (loss)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21,405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(16,940)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2,776</w:t>
            </w: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(34,384)</w:t>
            </w:r>
          </w:p>
        </w:tc>
      </w:tr>
      <w:tr>
        <w:trPr>
          <w:trHeight w:val="217"/>
        </w:trPr>
        <w:tc>
          <w:tcPr>
            <w:tcW w:w="400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6,496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13,610</w:t>
            </w: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w:t>
            </w:r>
          </w:p>
        </w:tc>
      </w:tr>
      <w:tr>
        <w:trPr>
          <w:trHeight w:val="217"/>
        </w:trPr>
        <w:tc>
          <w:tcPr>
            <w:tcW w:w="4000" w:type="dxa"/>
            <w:vAlign w:val="bottom"/>
          </w:tcPr>
          <w:p>
            <w:pPr>
              <w:ind w:left="20"/>
              <w:spacing w:after="0"/>
              <w:rPr>
                <w:sz w:val="20"/>
                <w:szCs w:val="20"/>
                <w:color w:val="auto"/>
              </w:rPr>
            </w:pPr>
            <w:r>
              <w:rPr>
                <w:rFonts w:ascii="Arial" w:cs="Arial" w:eastAsia="Arial" w:hAnsi="Arial"/>
                <w:sz w:val="16"/>
                <w:szCs w:val="16"/>
                <w:color w:val="auto"/>
              </w:rPr>
              <w:t>Current period other comprehensive income (loss)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12,662</w:t>
            </w: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(21,722)</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before-tax amount, income tax (provision) benefit, and net-of-tax amount related to each component of other comprehensive income (loss) during the reporting periods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6"/>
          </w:tcPr>
          <w:p>
            <w:pPr>
              <w:jc w:val="center"/>
              <w:ind w:left="579"/>
              <w:spacing w:after="0"/>
              <w:rPr>
                <w:sz w:val="20"/>
                <w:szCs w:val="20"/>
                <w:color w:val="auto"/>
              </w:rPr>
            </w:pPr>
            <w:r>
              <w:rPr>
                <w:rFonts w:ascii="Arial" w:cs="Arial" w:eastAsia="Arial" w:hAnsi="Arial"/>
                <w:sz w:val="16"/>
                <w:szCs w:val="16"/>
                <w:b w:val="1"/>
                <w:bCs w:val="1"/>
                <w:color w:val="auto"/>
                <w:w w:val="91"/>
              </w:rPr>
              <w:t>Year Ended December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(14,278)</w:t>
            </w: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4,200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16,164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(5,206)</w:t>
            </w:r>
          </w:p>
        </w:tc>
        <w:tc>
          <w:tcPr>
            <w:tcW w:w="0" w:type="dxa"/>
            <w:vAlign w:val="bottom"/>
          </w:tcPr>
          <w:p>
            <w:pPr>
              <w:spacing w:after="0"/>
              <w:rPr>
                <w:sz w:val="1"/>
                <w:szCs w:val="1"/>
                <w:color w:val="auto"/>
              </w:rPr>
            </w:pPr>
          </w:p>
        </w:tc>
      </w:tr>
      <w:tr>
        <w:trPr>
          <w:trHeight w:val="33"/>
        </w:trPr>
        <w:tc>
          <w:tcPr>
            <w:tcW w:w="7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0"/>
        </w:trPr>
        <w:tc>
          <w:tcPr>
            <w:tcW w:w="7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5,412</w:t>
            </w: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3,020</w:t>
            </w:r>
          </w:p>
        </w:tc>
        <w:tc>
          <w:tcPr>
            <w:tcW w:w="0" w:type="dxa"/>
            <w:vAlign w:val="bottom"/>
          </w:tcPr>
          <w:p>
            <w:pPr>
              <w:spacing w:after="0"/>
              <w:rPr>
                <w:sz w:val="1"/>
                <w:szCs w:val="1"/>
                <w:color w:val="auto"/>
              </w:rPr>
            </w:pPr>
          </w:p>
        </w:tc>
      </w:tr>
      <w:tr>
        <w:trPr>
          <w:trHeight w:val="33"/>
        </w:trPr>
        <w:tc>
          <w:tcPr>
            <w:tcW w:w="7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Net-of-tax amount</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0"/>
        </w:trPr>
        <w:tc>
          <w:tcPr>
            <w:tcW w:w="7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(8,866)</w:t>
            </w:r>
          </w:p>
        </w:tc>
        <w:tc>
          <w:tcPr>
            <w:tcW w:w="0" w:type="dxa"/>
            <w:vAlign w:val="bottom"/>
          </w:tcPr>
          <w:p>
            <w:pPr>
              <w:spacing w:after="0"/>
              <w:rPr>
                <w:sz w:val="1"/>
                <w:szCs w:val="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2,611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12,662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2,776</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AOCI components reclassified to the Consolidated Statements of Operations during the reporting periods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7"/>
          </w:tcPr>
          <w:p>
            <w:pPr>
              <w:jc w:val="center"/>
              <w:ind w:right="159"/>
              <w:spacing w:after="0"/>
              <w:rPr>
                <w:sz w:val="20"/>
                <w:szCs w:val="20"/>
                <w:color w:val="auto"/>
              </w:rPr>
            </w:pPr>
            <w:r>
              <w:rPr>
                <w:rFonts w:ascii="Arial" w:cs="Arial" w:eastAsia="Arial" w:hAnsi="Arial"/>
                <w:sz w:val="16"/>
                <w:szCs w:val="16"/>
                <w:b w:val="1"/>
                <w:bCs w:val="1"/>
                <w:color w:val="auto"/>
                <w:w w:val="92"/>
              </w:rPr>
              <w:t>Amount Reclassified from AOCI</w:t>
            </w:r>
            <w:r>
              <w:rPr>
                <w:rFonts w:ascii="Arial" w:cs="Arial" w:eastAsia="Arial" w:hAnsi="Arial"/>
                <w:sz w:val="21"/>
                <w:szCs w:val="21"/>
                <w:b w:val="1"/>
                <w:bCs w:val="1"/>
                <w:color w:val="auto"/>
                <w:w w:val="92"/>
                <w:vertAlign w:val="superscript"/>
              </w:rPr>
              <w:t>(1)</w:t>
            </w:r>
          </w:p>
        </w:tc>
        <w:tc>
          <w:tcPr>
            <w:tcW w:w="120" w:type="dxa"/>
            <w:vAlign w:val="bottom"/>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Arial" w:cs="Arial" w:eastAsia="Arial" w:hAnsi="Arial"/>
                <w:sz w:val="16"/>
                <w:szCs w:val="16"/>
                <w:b w:val="1"/>
                <w:bCs w:val="1"/>
                <w:color w:val="auto"/>
                <w:w w:val="95"/>
              </w:rPr>
              <w:t>Affected Line Item in the Income</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center"/>
              <w:ind w:left="519"/>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ind w:left="860"/>
              <w:spacing w:after="0"/>
              <w:rPr>
                <w:sz w:val="20"/>
                <w:szCs w:val="20"/>
                <w:color w:val="auto"/>
              </w:rPr>
            </w:pPr>
            <w:r>
              <w:rPr>
                <w:rFonts w:ascii="Arial" w:cs="Arial" w:eastAsia="Arial" w:hAnsi="Arial"/>
                <w:sz w:val="16"/>
                <w:szCs w:val="16"/>
                <w:b w:val="1"/>
                <w:bCs w:val="1"/>
                <w:color w:val="auto"/>
              </w:rPr>
              <w:t>Statement</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40"/>
              <w:spacing w:after="0"/>
              <w:rPr>
                <w:sz w:val="20"/>
                <w:szCs w:val="20"/>
                <w:color w:val="auto"/>
              </w:rPr>
            </w:pPr>
            <w:r>
              <w:rPr>
                <w:rFonts w:ascii="Arial" w:cs="Arial" w:eastAsia="Arial" w:hAnsi="Arial"/>
                <w:sz w:val="16"/>
                <w:szCs w:val="16"/>
                <w:b w:val="1"/>
                <w:bCs w:val="1"/>
                <w:color w:val="auto"/>
              </w:rPr>
              <w:t>Amortization of defined benefit pension items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42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Prior-service costs</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5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442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9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9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4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420" w:type="dxa"/>
            <w:vAlign w:val="bottom"/>
            <w:vMerge w:val="restart"/>
          </w:tcPr>
          <w:p>
            <w:pPr>
              <w:ind w:left="200"/>
              <w:spacing w:after="0"/>
              <w:rPr>
                <w:sz w:val="20"/>
                <w:szCs w:val="20"/>
                <w:color w:val="auto"/>
              </w:rPr>
            </w:pPr>
            <w:r>
              <w:rPr>
                <w:rFonts w:ascii="Arial" w:cs="Arial" w:eastAsia="Arial" w:hAnsi="Arial"/>
                <w:sz w:val="16"/>
                <w:szCs w:val="16"/>
                <w:color w:val="auto"/>
              </w:rPr>
              <w:t>Actuarial gains (losses)</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(926)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2560" w:type="dxa"/>
            <w:vAlign w:val="bottom"/>
            <w:gridSpan w:val="2"/>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0"/>
        </w:trPr>
        <w:tc>
          <w:tcPr>
            <w:tcW w:w="44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42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Loss on settlement</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5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442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4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420" w:type="dxa"/>
            <w:vAlign w:val="bottom"/>
            <w:vMerge w:val="restart"/>
          </w:tcPr>
          <w:p>
            <w:pPr>
              <w:ind w:left="20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560" w:type="dxa"/>
            <w:vAlign w:val="bottom"/>
            <w:gridSpan w:val="2"/>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0"/>
        </w:trPr>
        <w:tc>
          <w:tcPr>
            <w:tcW w:w="44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before tax</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237"/>
        </w:trPr>
        <w:tc>
          <w:tcPr>
            <w:tcW w:w="4420" w:type="dxa"/>
            <w:vAlign w:val="bottom"/>
          </w:tcPr>
          <w:p>
            <w:pPr>
              <w:ind w:left="520"/>
              <w:spacing w:after="0"/>
              <w:rPr>
                <w:sz w:val="20"/>
                <w:szCs w:val="20"/>
                <w:color w:val="auto"/>
              </w:rPr>
            </w:pPr>
            <w:r>
              <w:rPr>
                <w:rFonts w:ascii="Arial" w:cs="Arial" w:eastAsia="Arial" w:hAnsi="Arial"/>
                <w:sz w:val="16"/>
                <w:szCs w:val="16"/>
                <w:color w:val="auto"/>
              </w:rPr>
              <w:t>Tax benefit (provision)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0" w:type="dxa"/>
            <w:vAlign w:val="bottom"/>
          </w:tcPr>
          <w:p>
            <w:pPr>
              <w:spacing w:after="0"/>
              <w:rPr>
                <w:sz w:val="1"/>
                <w:szCs w:val="1"/>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291"/>
        </w:trPr>
        <w:tc>
          <w:tcPr>
            <w:tcW w:w="44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reclassifications for the period, net of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Amounts in parenthesis indicate debits to the Statements of Operations.</w:t>
      </w:r>
    </w:p>
    <w:p>
      <w:pPr>
        <w:ind w:left="340" w:hanging="332"/>
        <w:spacing w:after="0" w:line="182"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These AOCI components are included in the computation of net periodic pension cost. Refer to Note 8 for additional details.</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for additional details related to derivative activities that resulted in reclassification of AOCI to the Consolidated Statements of Operations.</w:t>
      </w:r>
    </w:p>
    <w:p>
      <w:pPr>
        <w:spacing w:after="0" w:line="200" w:lineRule="exact"/>
        <w:rPr>
          <w:sz w:val="20"/>
          <w:szCs w:val="20"/>
          <w:color w:val="auto"/>
        </w:rPr>
      </w:pPr>
    </w:p>
    <w:p>
      <w:pPr>
        <w:spacing w:after="0" w:line="3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at December 31, 2013 and 2012 do not reflect subsequent changes in the economy, interest rates, tax rates, and other variables that may affect the determination of fair value.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2013</w:t>
            </w:r>
          </w:p>
        </w:tc>
        <w:tc>
          <w:tcPr>
            <w:tcW w:w="700" w:type="dxa"/>
            <w:vAlign w:val="bottom"/>
          </w:tcPr>
          <w:p>
            <w:pPr>
              <w:spacing w:after="0"/>
              <w:rPr>
                <w:sz w:val="20"/>
                <w:szCs w:val="20"/>
                <w:color w:val="auto"/>
              </w:rPr>
            </w:pPr>
          </w:p>
        </w:tc>
        <w:tc>
          <w:tcPr>
            <w:tcW w:w="25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December 31, 2012</w:t>
            </w:r>
          </w:p>
        </w:tc>
      </w:tr>
      <w:tr>
        <w:trPr>
          <w:trHeight w:val="27"/>
        </w:trPr>
        <w:tc>
          <w:tcPr>
            <w:tcW w:w="466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Carrying Amount</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Carrying Amount</w:t>
            </w:r>
          </w:p>
        </w:tc>
        <w:tc>
          <w:tcPr>
            <w:tcW w:w="26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color w:val="auto"/>
              </w:rPr>
              <w:t>Assets</w:t>
            </w: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124,805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136,411</w:t>
            </w: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Foreign exchange forwards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4"/>
        </w:trPr>
        <w:tc>
          <w:tcPr>
            <w:tcW w:w="46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Credit facility</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620"/>
              <w:spacing w:after="0"/>
              <w:rPr>
                <w:sz w:val="20"/>
                <w:szCs w:val="20"/>
                <w:color w:val="auto"/>
              </w:rPr>
            </w:pPr>
            <w:r>
              <w:rPr>
                <w:rFonts w:ascii="Arial" w:cs="Arial" w:eastAsia="Arial" w:hAnsi="Arial"/>
                <w:sz w:val="18"/>
                <w:szCs w:val="18"/>
                <w:color w:val="auto"/>
              </w:rPr>
              <w:t>USD denominated term loan</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258,750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258,011</w:t>
            </w:r>
          </w:p>
        </w:tc>
        <w:tc>
          <w:tcPr>
            <w:tcW w:w="12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277,500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275,365</w:t>
            </w: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Multicurrency revolving line of credit</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119,609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138,751</w:t>
            </w: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2,725</w:t>
            </w:r>
          </w:p>
        </w:tc>
      </w:tr>
      <w:tr>
        <w:trPr>
          <w:trHeight w:val="27"/>
        </w:trPr>
        <w:tc>
          <w:tcPr>
            <w:tcW w:w="4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exchange forwards</w:t>
            </w: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46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2013, we separated the management of our Energy operating segment into Electricity and Gas to allow each business line to develop its own go-to-market strategy, prioritize its marketing and product development requirements, and focus on its strategic investments. Our sales, marketing, and delivery functions are managed under three business lines - Electricity, Gas, and Water. Our product development and manufacturing operations are now managed on a worldwide basis to promote a global perspective in our operations and processes and still maintain alignment with the business lines. The transition to the new organizational structure, including changes to operations and financial reporting systems, was completed in the fourth quarter of 2013. Our historical segment information for the years ended December 31, 2012 and 2011 has been recast to reflect our new operating segments.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Water operating segment includes both our global water and heat solutions.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three measures of segment performance: revenue, gross profit (margin), and operating income (margin). Our operating segments have distinct products, and, therefore, intersegment revenues are minimal. Corporate operating expenses, interest income, interest expense, other income (expense), and income tax provision (benefit)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EE"/>
                <w:w w:val="97"/>
              </w:rPr>
            </w:pPr>
            <w:hyperlink w:anchor="page1">
              <w:r>
                <w:rPr>
                  <w:rFonts w:ascii="Arial" w:cs="Arial" w:eastAsia="Arial" w:hAnsi="Arial"/>
                  <w:sz w:val="18"/>
                  <w:szCs w:val="18"/>
                  <w:color w:val="0000EE"/>
                  <w:w w:val="97"/>
                </w:rPr>
                <w:t>Table of Contents</w:t>
              </w:r>
            </w:hyperlink>
          </w:p>
        </w:tc>
        <w:tc>
          <w:tcPr>
            <w:tcW w:w="2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80"/>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86"/>
              </w:rPr>
              <w:t>Segment Products</w:t>
            </w:r>
          </w:p>
        </w:tc>
        <w:tc>
          <w:tcPr>
            <w:tcW w:w="2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4"/>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Electricity</w:t>
            </w: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w w:val="91"/>
              </w:rPr>
              <w:t>Standard electricity (electromechanical and electronic) meters; advanced electricity meters and communication modules; smart electricity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w w:val="94"/>
              </w:rPr>
              <w:t>meters; smart electricity communication modules; prepayment systems, including smart key, keypad, and smart card communication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w w:val="94"/>
              </w:rPr>
              <w:t>technologies; advanced systems, including handheld, mobile, and fixed network collection technologies; smart network technologies;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w w:val="94"/>
              </w:rPr>
              <w:t>meter data management software; knowledge application solutions; and professional services, including implementation, installation,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consulting, and analysis.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80"/>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Gas</w:t>
            </w: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w w:val="97"/>
              </w:rPr>
              <w:t>Standard gas meters; advanced gas meters and communication modules; smart gas meters; smart gas communication modules;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w w:val="91"/>
              </w:rPr>
              <w:t>prepayment systems, including smart key, keypad, and smart card communication technologies; advanced systems, including handheld,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w w:val="91"/>
              </w:rPr>
              <w:t>mobile, and fixed network collection technologies; smart network technologies; meter data management software; knowledge application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80" w:type="dxa"/>
            <w:vAlign w:val="bottom"/>
            <w:gridSpan w:val="9"/>
          </w:tcPr>
          <w:p>
            <w:pPr>
              <w:ind w:left="20"/>
              <w:spacing w:after="0"/>
              <w:rPr>
                <w:sz w:val="20"/>
                <w:szCs w:val="20"/>
                <w:color w:val="auto"/>
              </w:rPr>
            </w:pPr>
            <w:r>
              <w:rPr>
                <w:rFonts w:ascii="Arial" w:cs="Arial" w:eastAsia="Arial" w:hAnsi="Arial"/>
                <w:sz w:val="18"/>
                <w:szCs w:val="18"/>
                <w:color w:val="auto"/>
                <w:w w:val="92"/>
              </w:rPr>
              <w:t>solutions; and professional services, including implementation, installation, consulting, and analysis.</w:t>
            </w:r>
          </w:p>
        </w:tc>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796"/>
        </w:trPr>
        <w:tc>
          <w:tcPr>
            <w:tcW w:w="1400" w:type="dxa"/>
            <w:vAlign w:val="bottom"/>
            <w:gridSpan w:val="2"/>
          </w:tcPr>
          <w:p>
            <w:pPr>
              <w:ind w:left="40"/>
              <w:spacing w:after="0"/>
              <w:rPr>
                <w:sz w:val="20"/>
                <w:szCs w:val="20"/>
                <w:color w:val="auto"/>
              </w:rPr>
            </w:pPr>
            <w:r>
              <w:rPr>
                <w:rFonts w:ascii="Arial" w:cs="Arial" w:eastAsia="Arial" w:hAnsi="Arial"/>
                <w:sz w:val="18"/>
                <w:szCs w:val="18"/>
                <w:i w:val="1"/>
                <w:iCs w:val="1"/>
                <w:color w:val="auto"/>
              </w:rPr>
              <w:t>Water</w:t>
            </w: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w w:val="91"/>
              </w:rPr>
              <w:t>Standard water and heat meters; advanced and smart water meters and communication modules; advanced systems including handheld,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1"/>
          </w:tcPr>
          <w:p>
            <w:pPr>
              <w:ind w:left="20"/>
              <w:spacing w:after="0"/>
              <w:rPr>
                <w:sz w:val="20"/>
                <w:szCs w:val="20"/>
                <w:color w:val="auto"/>
              </w:rPr>
            </w:pPr>
            <w:r>
              <w:rPr>
                <w:rFonts w:ascii="Arial" w:cs="Arial" w:eastAsia="Arial" w:hAnsi="Arial"/>
                <w:sz w:val="18"/>
                <w:szCs w:val="18"/>
                <w:color w:val="auto"/>
                <w:w w:val="92"/>
              </w:rPr>
              <w:t>mobile, and fixed network collection technologies; meter data management software; knowledge application solutions; and professional</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0" w:type="dxa"/>
            <w:vAlign w:val="bottom"/>
            <w:gridSpan w:val="8"/>
          </w:tcPr>
          <w:p>
            <w:pPr>
              <w:ind w:left="20"/>
              <w:spacing w:after="0"/>
              <w:rPr>
                <w:sz w:val="20"/>
                <w:szCs w:val="20"/>
                <w:color w:val="auto"/>
              </w:rPr>
            </w:pPr>
            <w:r>
              <w:rPr>
                <w:rFonts w:ascii="Arial" w:cs="Arial" w:eastAsia="Arial" w:hAnsi="Arial"/>
                <w:sz w:val="18"/>
                <w:szCs w:val="18"/>
                <w:color w:val="auto"/>
                <w:w w:val="90"/>
              </w:rPr>
              <w:t>services including implementation, installation, consulting, analysis, and system management.</w:t>
            </w: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59"/>
        </w:trPr>
        <w:tc>
          <w:tcPr>
            <w:tcW w:w="8200" w:type="dxa"/>
            <w:vAlign w:val="bottom"/>
            <w:gridSpan w:val="10"/>
          </w:tcPr>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67"/>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14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2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Electricity</w:t>
            </w:r>
          </w:p>
        </w:tc>
        <w:tc>
          <w:tcPr>
            <w:tcW w:w="2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836,553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1,024,340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1,239,428</w:t>
            </w:r>
          </w:p>
        </w:tc>
        <w:tc>
          <w:tcPr>
            <w:tcW w:w="1420" w:type="dxa"/>
            <w:vAlign w:val="bottom"/>
          </w:tcPr>
          <w:p>
            <w:pPr>
              <w:spacing w:after="0"/>
              <w:rPr>
                <w:sz w:val="21"/>
                <w:szCs w:val="21"/>
                <w:color w:val="auto"/>
              </w:rPr>
            </w:pPr>
          </w:p>
        </w:tc>
      </w:tr>
      <w:tr>
        <w:trPr>
          <w:trHeight w:val="243"/>
        </w:trPr>
        <w:tc>
          <w:tcPr>
            <w:tcW w:w="1400" w:type="dxa"/>
            <w:vAlign w:val="bottom"/>
            <w:gridSpan w:val="2"/>
          </w:tcPr>
          <w:p>
            <w:pPr>
              <w:ind w:left="380"/>
              <w:spacing w:after="0"/>
              <w:rPr>
                <w:sz w:val="20"/>
                <w:szCs w:val="20"/>
                <w:color w:val="auto"/>
              </w:rPr>
            </w:pPr>
            <w:r>
              <w:rPr>
                <w:rFonts w:ascii="Arial" w:cs="Arial" w:eastAsia="Arial" w:hAnsi="Arial"/>
                <w:sz w:val="18"/>
                <w:szCs w:val="18"/>
                <w:color w:val="auto"/>
              </w:rPr>
              <w:t>Gas</w:t>
            </w:r>
          </w:p>
        </w:tc>
        <w:tc>
          <w:tcPr>
            <w:tcW w:w="2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570,297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627,193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672,999</w:t>
            </w: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Water</w:t>
            </w:r>
          </w:p>
        </w:tc>
        <w:tc>
          <w:tcPr>
            <w:tcW w:w="2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541,878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526,645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521,697</w:t>
            </w:r>
          </w:p>
        </w:tc>
        <w:tc>
          <w:tcPr>
            <w:tcW w:w="1420" w:type="dxa"/>
            <w:vAlign w:val="bottom"/>
          </w:tcPr>
          <w:p>
            <w:pPr>
              <w:spacing w:after="0"/>
              <w:rPr>
                <w:sz w:val="23"/>
                <w:szCs w:val="23"/>
                <w:color w:val="auto"/>
              </w:rPr>
            </w:pPr>
          </w:p>
        </w:tc>
      </w:tr>
      <w:tr>
        <w:trPr>
          <w:trHeight w:val="237"/>
        </w:trPr>
        <w:tc>
          <w:tcPr>
            <w:tcW w:w="4340" w:type="dxa"/>
            <w:vAlign w:val="bottom"/>
            <w:gridSpan w:val="3"/>
          </w:tcPr>
          <w:p>
            <w:pPr>
              <w:ind w:left="720"/>
              <w:spacing w:after="0"/>
              <w:rPr>
                <w:sz w:val="20"/>
                <w:szCs w:val="20"/>
                <w:color w:val="auto"/>
              </w:rPr>
            </w:pPr>
            <w:r>
              <w:rPr>
                <w:rFonts w:ascii="Arial" w:cs="Arial" w:eastAsia="Arial" w:hAnsi="Arial"/>
                <w:sz w:val="18"/>
                <w:szCs w:val="18"/>
                <w:color w:val="auto"/>
              </w:rPr>
              <w:t>Total Company</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1,948,728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2,178,178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2,434,124</w:t>
            </w:r>
          </w:p>
        </w:tc>
        <w:tc>
          <w:tcPr>
            <w:tcW w:w="1420" w:type="dxa"/>
            <w:vAlign w:val="bottom"/>
          </w:tcPr>
          <w:p>
            <w:pPr>
              <w:spacing w:after="0"/>
              <w:rPr>
                <w:sz w:val="20"/>
                <w:szCs w:val="20"/>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9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251"/>
        </w:trPr>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profit</w:t>
            </w:r>
          </w:p>
        </w:tc>
        <w:tc>
          <w:tcPr>
            <w:tcW w:w="2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Electricity</w:t>
            </w:r>
          </w:p>
        </w:tc>
        <w:tc>
          <w:tcPr>
            <w:tcW w:w="2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218,913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323,632</w:t>
            </w:r>
          </w:p>
        </w:tc>
        <w:tc>
          <w:tcPr>
            <w:tcW w:w="1420" w:type="dxa"/>
            <w:vAlign w:val="bottom"/>
          </w:tcPr>
          <w:p>
            <w:pPr>
              <w:spacing w:after="0"/>
              <w:rPr>
                <w:sz w:val="21"/>
                <w:szCs w:val="21"/>
                <w:color w:val="auto"/>
              </w:rPr>
            </w:pPr>
          </w:p>
        </w:tc>
      </w:tr>
      <w:tr>
        <w:trPr>
          <w:trHeight w:val="243"/>
        </w:trPr>
        <w:tc>
          <w:tcPr>
            <w:tcW w:w="1400" w:type="dxa"/>
            <w:vAlign w:val="bottom"/>
            <w:gridSpan w:val="2"/>
          </w:tcPr>
          <w:p>
            <w:pPr>
              <w:ind w:left="380"/>
              <w:spacing w:after="0"/>
              <w:rPr>
                <w:sz w:val="20"/>
                <w:szCs w:val="20"/>
                <w:color w:val="auto"/>
              </w:rPr>
            </w:pPr>
            <w:r>
              <w:rPr>
                <w:rFonts w:ascii="Arial" w:cs="Arial" w:eastAsia="Arial" w:hAnsi="Arial"/>
                <w:sz w:val="18"/>
                <w:szCs w:val="18"/>
                <w:color w:val="auto"/>
              </w:rPr>
              <w:t>Gas</w:t>
            </w:r>
          </w:p>
        </w:tc>
        <w:tc>
          <w:tcPr>
            <w:tcW w:w="2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207,915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235,391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254,943</w:t>
            </w: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Water</w:t>
            </w:r>
          </w:p>
        </w:tc>
        <w:tc>
          <w:tcPr>
            <w:tcW w:w="2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167,883</w:t>
            </w:r>
          </w:p>
        </w:tc>
        <w:tc>
          <w:tcPr>
            <w:tcW w:w="1420" w:type="dxa"/>
            <w:vAlign w:val="bottom"/>
          </w:tcPr>
          <w:p>
            <w:pPr>
              <w:spacing w:after="0"/>
              <w:rPr>
                <w:sz w:val="23"/>
                <w:szCs w:val="23"/>
                <w:color w:val="auto"/>
              </w:rPr>
            </w:pPr>
          </w:p>
        </w:tc>
      </w:tr>
      <w:tr>
        <w:trPr>
          <w:trHeight w:val="237"/>
        </w:trPr>
        <w:tc>
          <w:tcPr>
            <w:tcW w:w="4340" w:type="dxa"/>
            <w:vAlign w:val="bottom"/>
            <w:gridSpan w:val="3"/>
          </w:tcPr>
          <w:p>
            <w:pPr>
              <w:ind w:left="720"/>
              <w:spacing w:after="0"/>
              <w:rPr>
                <w:sz w:val="20"/>
                <w:szCs w:val="20"/>
                <w:color w:val="auto"/>
              </w:rPr>
            </w:pPr>
            <w:r>
              <w:rPr>
                <w:rFonts w:ascii="Arial" w:cs="Arial" w:eastAsia="Arial" w:hAnsi="Arial"/>
                <w:sz w:val="18"/>
                <w:szCs w:val="18"/>
                <w:color w:val="auto"/>
              </w:rPr>
              <w:t>Total Company</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614,533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715,147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746,458</w:t>
            </w:r>
          </w:p>
        </w:tc>
        <w:tc>
          <w:tcPr>
            <w:tcW w:w="1420" w:type="dxa"/>
            <w:vAlign w:val="bottom"/>
          </w:tcPr>
          <w:p>
            <w:pPr>
              <w:spacing w:after="0"/>
              <w:rPr>
                <w:sz w:val="20"/>
                <w:szCs w:val="20"/>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3060" w:type="dxa"/>
            <w:vAlign w:val="bottom"/>
            <w:tcBorders>
              <w:bottom w:val="single" w:sz="8" w:color="CCEEFF"/>
            </w:tcBorders>
            <w:gridSpan w:val="2"/>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251"/>
        </w:trPr>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Electricity</w:t>
            </w:r>
          </w:p>
        </w:tc>
        <w:tc>
          <w:tcPr>
            <w:tcW w:w="2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(235,908)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(218,284)</w:t>
            </w:r>
          </w:p>
        </w:tc>
        <w:tc>
          <w:tcPr>
            <w:tcW w:w="1420" w:type="dxa"/>
            <w:vAlign w:val="bottom"/>
          </w:tcPr>
          <w:p>
            <w:pPr>
              <w:spacing w:after="0"/>
              <w:rPr>
                <w:sz w:val="21"/>
                <w:szCs w:val="21"/>
                <w:color w:val="auto"/>
              </w:rPr>
            </w:pPr>
          </w:p>
        </w:tc>
      </w:tr>
      <w:tr>
        <w:trPr>
          <w:trHeight w:val="243"/>
        </w:trPr>
        <w:tc>
          <w:tcPr>
            <w:tcW w:w="1400" w:type="dxa"/>
            <w:vAlign w:val="bottom"/>
            <w:gridSpan w:val="2"/>
          </w:tcPr>
          <w:p>
            <w:pPr>
              <w:ind w:left="380"/>
              <w:spacing w:after="0"/>
              <w:rPr>
                <w:sz w:val="20"/>
                <w:szCs w:val="20"/>
                <w:color w:val="auto"/>
              </w:rPr>
            </w:pPr>
            <w:r>
              <w:rPr>
                <w:rFonts w:ascii="Arial" w:cs="Arial" w:eastAsia="Arial" w:hAnsi="Arial"/>
                <w:sz w:val="18"/>
                <w:szCs w:val="18"/>
                <w:color w:val="auto"/>
              </w:rPr>
              <w:t>Gas</w:t>
            </w:r>
          </w:p>
        </w:tc>
        <w:tc>
          <w:tcPr>
            <w:tcW w:w="2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83,882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110,557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105,453</w:t>
            </w:r>
          </w:p>
        </w:tc>
        <w:tc>
          <w:tcPr>
            <w:tcW w:w="14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Water</w:t>
            </w:r>
          </w:p>
        </w:tc>
        <w:tc>
          <w:tcPr>
            <w:tcW w:w="2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(303,772)</w:t>
            </w:r>
          </w:p>
        </w:tc>
        <w:tc>
          <w:tcPr>
            <w:tcW w:w="1420" w:type="dxa"/>
            <w:vAlign w:val="bottom"/>
          </w:tcPr>
          <w:p>
            <w:pPr>
              <w:spacing w:after="0"/>
              <w:rPr>
                <w:sz w:val="21"/>
                <w:szCs w:val="21"/>
                <w:color w:val="auto"/>
              </w:rPr>
            </w:pPr>
          </w:p>
        </w:tc>
      </w:tr>
      <w:tr>
        <w:trPr>
          <w:trHeight w:val="243"/>
        </w:trPr>
        <w:tc>
          <w:tcPr>
            <w:tcW w:w="4340" w:type="dxa"/>
            <w:vAlign w:val="bottom"/>
            <w:gridSpan w:val="3"/>
          </w:tcPr>
          <w:p>
            <w:pPr>
              <w:ind w:left="380"/>
              <w:spacing w:after="0"/>
              <w:rPr>
                <w:sz w:val="20"/>
                <w:szCs w:val="20"/>
                <w:color w:val="auto"/>
              </w:rPr>
            </w:pPr>
            <w:r>
              <w:rPr>
                <w:rFonts w:ascii="Arial" w:cs="Arial" w:eastAsia="Arial" w:hAnsi="Arial"/>
                <w:sz w:val="18"/>
                <w:szCs w:val="18"/>
                <w:color w:val="auto"/>
              </w:rPr>
              <w:t>Corporate unallocated</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(43,453)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(42,580)</w:t>
            </w:r>
          </w:p>
        </w:tc>
        <w:tc>
          <w:tcPr>
            <w:tcW w:w="142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44"/>
        </w:trPr>
        <w:tc>
          <w:tcPr>
            <w:tcW w:w="43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Total Company</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(459,183)</w:t>
            </w:r>
          </w:p>
        </w:tc>
        <w:tc>
          <w:tcPr>
            <w:tcW w:w="1420" w:type="dxa"/>
            <w:vAlign w:val="bottom"/>
          </w:tcPr>
          <w:p>
            <w:pPr>
              <w:spacing w:after="0"/>
              <w:rPr>
                <w:sz w:val="21"/>
                <w:szCs w:val="21"/>
                <w:color w:val="auto"/>
              </w:rPr>
            </w:pPr>
          </w:p>
        </w:tc>
      </w:tr>
      <w:tr>
        <w:trPr>
          <w:trHeight w:val="243"/>
        </w:trPr>
        <w:tc>
          <w:tcPr>
            <w:tcW w:w="4340" w:type="dxa"/>
            <w:vAlign w:val="bottom"/>
            <w:gridSpan w:val="3"/>
          </w:tcPr>
          <w:p>
            <w:pPr>
              <w:ind w:left="40"/>
              <w:spacing w:after="0"/>
              <w:rPr>
                <w:sz w:val="20"/>
                <w:szCs w:val="20"/>
                <w:color w:val="auto"/>
              </w:rPr>
            </w:pPr>
            <w:r>
              <w:rPr>
                <w:rFonts w:ascii="Arial" w:cs="Arial" w:eastAsia="Arial" w:hAnsi="Arial"/>
                <w:sz w:val="18"/>
                <w:szCs w:val="18"/>
                <w:color w:val="auto"/>
              </w:rPr>
              <w:t>Total other income (expense)</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(14,907)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(42,583)</w:t>
            </w:r>
          </w:p>
        </w:tc>
        <w:tc>
          <w:tcPr>
            <w:tcW w:w="142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69"/>
        </w:trPr>
        <w:tc>
          <w:tcPr>
            <w:tcW w:w="4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(148,254)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136,219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(501,766)</w:t>
            </w:r>
          </w:p>
        </w:tc>
        <w:tc>
          <w:tcPr>
            <w:tcW w:w="1420" w:type="dxa"/>
            <w:vAlign w:val="bottom"/>
          </w:tcPr>
          <w:p>
            <w:pPr>
              <w:spacing w:after="0"/>
              <w:rPr>
                <w:sz w:val="22"/>
                <w:szCs w:val="22"/>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2013, no single customer represented more than 10% of total Company or the Electricity, Gas or Water operating segment revenues.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2012, no single customer represented more than 10% of total Company or the Gas or Water operating segment revenues, and one customer accounted for 17% of the Electricity operating segment revenues.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2011, no single customer represented more than 10% of total Company or the Gas or Water operating segment revenues, and one customer from the Electricity operating segment accounted for 15% and a second customer accounted for 14% of the Electricity operating segment revenues.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08" w:right="2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43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80"/>
        </w:trPr>
        <w:tc>
          <w:tcPr>
            <w:tcW w:w="4340" w:type="dxa"/>
            <w:vAlign w:val="bottom"/>
            <w:gridSpan w:val="2"/>
          </w:tcPr>
          <w:p>
            <w:pPr>
              <w:spacing w:after="0"/>
              <w:rPr>
                <w:sz w:val="20"/>
                <w:szCs w:val="20"/>
                <w:color w:val="auto"/>
              </w:rPr>
            </w:pPr>
            <w:r>
              <w:rPr>
                <w:rFonts w:ascii="Arial" w:cs="Arial" w:eastAsia="Arial" w:hAnsi="Arial"/>
                <w:sz w:val="18"/>
                <w:szCs w:val="18"/>
                <w:color w:val="auto"/>
              </w:rPr>
              <w:t>Revenues by region were as follows: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r>
      <w:tr>
        <w:trPr>
          <w:trHeight w:val="27"/>
        </w:trPr>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 and Canada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851,295</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1,014,739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1,182,775</w:t>
            </w:r>
          </w:p>
        </w:tc>
      </w:tr>
      <w:tr>
        <w:trPr>
          <w:trHeight w:val="243"/>
        </w:trPr>
        <w:tc>
          <w:tcPr>
            <w:tcW w:w="4340" w:type="dxa"/>
            <w:vAlign w:val="bottom"/>
            <w:gridSpan w:val="2"/>
          </w:tcPr>
          <w:p>
            <w:pPr>
              <w:ind w:left="40"/>
              <w:spacing w:after="0"/>
              <w:rPr>
                <w:sz w:val="20"/>
                <w:szCs w:val="20"/>
                <w:color w:val="auto"/>
              </w:rPr>
            </w:pPr>
            <w:r>
              <w:rPr>
                <w:rFonts w:ascii="Arial" w:cs="Arial" w:eastAsia="Arial" w:hAnsi="Arial"/>
                <w:sz w:val="18"/>
                <w:szCs w:val="18"/>
                <w:color w:val="auto"/>
              </w:rPr>
              <w:t>Europe, Middle East, and Africa (EMEA)</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858,026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878,615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899,642</w:t>
            </w:r>
          </w:p>
        </w:tc>
      </w:tr>
      <w:tr>
        <w:trPr>
          <w:trHeight w:val="27"/>
        </w:trPr>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284,824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351,707</w:t>
            </w:r>
          </w:p>
        </w:tc>
      </w:tr>
      <w:tr>
        <w:trPr>
          <w:trHeight w:val="237"/>
        </w:trPr>
        <w:tc>
          <w:tcPr>
            <w:tcW w:w="4340" w:type="dxa"/>
            <w:vAlign w:val="bottom"/>
            <w:gridSpan w:val="2"/>
          </w:tcPr>
          <w:p>
            <w:pPr>
              <w:ind w:left="38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1,948,728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2,178,178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2,434,124</w:t>
            </w:r>
          </w:p>
        </w:tc>
      </w:tr>
      <w:tr>
        <w:trPr>
          <w:trHeight w:val="27"/>
        </w:trPr>
        <w:tc>
          <w:tcPr>
            <w:tcW w:w="1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by geographic area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At December 31,</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r>
      <w:tr>
        <w:trPr>
          <w:trHeight w:val="27"/>
        </w:trPr>
        <w:tc>
          <w:tcPr>
            <w:tcW w:w="43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 thousands)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107,153</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Outside United States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158,866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156,823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155,517</w:t>
            </w:r>
          </w:p>
        </w:tc>
      </w:tr>
      <w:tr>
        <w:trPr>
          <w:trHeight w:val="27"/>
        </w:trPr>
        <w:tc>
          <w:tcPr>
            <w:tcW w:w="4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plant, and equipment, net</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246,820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262,670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r>
      <w:tr>
        <w:trPr>
          <w:trHeight w:val="27"/>
        </w:trPr>
        <w:tc>
          <w:tcPr>
            <w:tcW w:w="4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Electricity</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46,535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62,860</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Gas</w:t>
            </w:r>
          </w:p>
        </w:tc>
        <w:tc>
          <w:tcPr>
            <w:tcW w:w="11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27,266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29,968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34,275</w:t>
            </w:r>
          </w:p>
        </w:tc>
      </w:tr>
      <w:tr>
        <w:trPr>
          <w:trHeight w:val="27"/>
        </w:trPr>
        <w:tc>
          <w:tcPr>
            <w:tcW w:w="4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24,797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32,313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Corporate Unallocated</w:t>
            </w:r>
          </w:p>
        </w:tc>
        <w:tc>
          <w:tcPr>
            <w:tcW w:w="11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Company</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98,845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109,471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129,466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108" w:right="1440"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Quarterly Results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2013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Statement of operations data: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(loss) attributable to Itron, Inc.</w:t>
      </w:r>
    </w:p>
    <w:p>
      <w:pPr>
        <w:spacing w:after="0" w:line="379" w:lineRule="exact"/>
        <w:rPr>
          <w:sz w:val="20"/>
          <w:szCs w:val="20"/>
          <w:color w:val="auto"/>
        </w:rPr>
      </w:pPr>
    </w:p>
    <w:p>
      <w:pPr>
        <w:ind w:left="380" w:right="140"/>
        <w:spacing w:after="0" w:line="486" w:lineRule="auto"/>
        <w:rPr>
          <w:sz w:val="20"/>
          <w:szCs w:val="20"/>
          <w:color w:val="auto"/>
        </w:rPr>
      </w:pPr>
      <w:r>
        <w:rPr>
          <w:rFonts w:ascii="Arial" w:cs="Arial" w:eastAsia="Arial" w:hAnsi="Arial"/>
          <w:sz w:val="13"/>
          <w:szCs w:val="13"/>
          <w:color w:val="auto"/>
        </w:rPr>
        <w:t>Earnings (loss) per common share - Basic Earnings (loss) per common share - Diluted</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Stock Price: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High</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Low</w:t>
      </w: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2012</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Statement of operations data: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(loss) attributable to Itron, Inc.</w:t>
      </w:r>
    </w:p>
    <w:p>
      <w:pPr>
        <w:spacing w:after="0" w:line="379" w:lineRule="exact"/>
        <w:rPr>
          <w:sz w:val="20"/>
          <w:szCs w:val="20"/>
          <w:color w:val="auto"/>
        </w:rPr>
      </w:pPr>
    </w:p>
    <w:p>
      <w:pPr>
        <w:ind w:left="380" w:right="140"/>
        <w:spacing w:after="0" w:line="486" w:lineRule="auto"/>
        <w:rPr>
          <w:sz w:val="20"/>
          <w:szCs w:val="20"/>
          <w:color w:val="auto"/>
        </w:rPr>
      </w:pPr>
      <w:r>
        <w:rPr>
          <w:rFonts w:ascii="Arial" w:cs="Arial" w:eastAsia="Arial" w:hAnsi="Arial"/>
          <w:sz w:val="13"/>
          <w:szCs w:val="13"/>
          <w:color w:val="auto"/>
        </w:rPr>
        <w:t>Earnings (loss) per common share - Basic Earnings (loss) per common share - Diluted</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Stock Price: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High</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First Quarter</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Second Quarter</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Fourth Quarter</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 Year</w:t>
            </w:r>
          </w:p>
        </w:tc>
      </w:tr>
      <w:tr>
        <w:trPr>
          <w:trHeight w:val="190"/>
        </w:trPr>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6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w w:val="96"/>
              </w:rPr>
              <w:t>(in thousands, except per common share and stock price data)</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81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447,536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482,175</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495,491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523,526</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1,948,728</w:t>
            </w:r>
          </w:p>
        </w:tc>
      </w:tr>
      <w:tr>
        <w:trPr>
          <w:trHeight w:val="270"/>
        </w:trPr>
        <w:tc>
          <w:tcPr>
            <w:tcW w:w="22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140,123</w:t>
            </w:r>
          </w:p>
        </w:tc>
        <w:tc>
          <w:tcPr>
            <w:tcW w:w="280" w:type="dxa"/>
            <w:vAlign w:val="bottom"/>
          </w:tcPr>
          <w:p>
            <w:pPr>
              <w:spacing w:after="0"/>
              <w:rPr>
                <w:sz w:val="23"/>
                <w:szCs w:val="23"/>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159,588</w:t>
            </w:r>
          </w:p>
        </w:tc>
        <w:tc>
          <w:tcPr>
            <w:tcW w:w="30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150,084</w:t>
            </w:r>
          </w:p>
        </w:tc>
        <w:tc>
          <w:tcPr>
            <w:tcW w:w="24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164,738</w:t>
            </w:r>
          </w:p>
        </w:tc>
        <w:tc>
          <w:tcPr>
            <w:tcW w:w="3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614,533</w:t>
            </w:r>
          </w:p>
        </w:tc>
      </w:tr>
      <w:tr>
        <w:trPr>
          <w:trHeight w:val="270"/>
        </w:trPr>
        <w:tc>
          <w:tcPr>
            <w:tcW w:w="22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2,570</w:t>
            </w:r>
          </w:p>
        </w:tc>
        <w:tc>
          <w:tcPr>
            <w:tcW w:w="280" w:type="dxa"/>
            <w:vAlign w:val="bottom"/>
          </w:tcPr>
          <w:p>
            <w:pPr>
              <w:spacing w:after="0"/>
              <w:rPr>
                <w:sz w:val="23"/>
                <w:szCs w:val="23"/>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12,399</w:t>
            </w:r>
          </w:p>
        </w:tc>
        <w:tc>
          <w:tcPr>
            <w:tcW w:w="30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(7,348)</w:t>
            </w: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(154,430)</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(146,809)</w:t>
            </w:r>
          </w:p>
        </w:tc>
      </w:tr>
      <w:tr>
        <w:trPr>
          <w:trHeight w:val="54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0.07</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0.31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(0.19)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(3.74)</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0.06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0.31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(0.19)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(3.74)</w:t>
            </w:r>
          </w:p>
        </w:tc>
      </w:tr>
      <w:tr>
        <w:trPr>
          <w:trHeight w:val="810"/>
        </w:trPr>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47.90</w:t>
            </w:r>
          </w:p>
        </w:tc>
        <w:tc>
          <w:tcPr>
            <w:tcW w:w="280" w:type="dxa"/>
            <w:vAlign w:val="bottom"/>
          </w:tcPr>
          <w:p>
            <w:pPr>
              <w:spacing w:after="0"/>
              <w:rPr>
                <w:sz w:val="24"/>
                <w:szCs w:val="24"/>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47.00</w:t>
            </w:r>
          </w:p>
        </w:tc>
        <w:tc>
          <w:tcPr>
            <w:tcW w:w="300" w:type="dxa"/>
            <w:vAlign w:val="bottom"/>
          </w:tcPr>
          <w:p>
            <w:pPr>
              <w:spacing w:after="0"/>
              <w:rPr>
                <w:sz w:val="24"/>
                <w:szCs w:val="24"/>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43.72</w:t>
            </w:r>
          </w:p>
        </w:tc>
        <w:tc>
          <w:tcPr>
            <w:tcW w:w="240" w:type="dxa"/>
            <w:vAlign w:val="bottom"/>
          </w:tcPr>
          <w:p>
            <w:pPr>
              <w:spacing w:after="0"/>
              <w:rPr>
                <w:sz w:val="24"/>
                <w:szCs w:val="24"/>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45.76</w:t>
            </w:r>
          </w:p>
        </w:tc>
        <w:tc>
          <w:tcPr>
            <w:tcW w:w="32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47.90</w:t>
            </w:r>
          </w:p>
        </w:tc>
      </w:tr>
      <w:tr>
        <w:trPr>
          <w:trHeight w:val="270"/>
        </w:trPr>
        <w:tc>
          <w:tcPr>
            <w:tcW w:w="22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41.50</w:t>
            </w:r>
          </w:p>
        </w:tc>
        <w:tc>
          <w:tcPr>
            <w:tcW w:w="280" w:type="dxa"/>
            <w:vAlign w:val="bottom"/>
          </w:tcPr>
          <w:p>
            <w:pPr>
              <w:spacing w:after="0"/>
              <w:rPr>
                <w:sz w:val="23"/>
                <w:szCs w:val="23"/>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39.15</w:t>
            </w:r>
          </w:p>
        </w:tc>
        <w:tc>
          <w:tcPr>
            <w:tcW w:w="30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37.16</w:t>
            </w:r>
          </w:p>
        </w:tc>
        <w:tc>
          <w:tcPr>
            <w:tcW w:w="24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38.79</w:t>
            </w:r>
          </w:p>
        </w:tc>
        <w:tc>
          <w:tcPr>
            <w:tcW w:w="3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37.16</w:t>
            </w:r>
          </w:p>
        </w:tc>
      </w:tr>
      <w:tr>
        <w:trPr>
          <w:trHeight w:val="108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571,640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579,140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504,063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523,335</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2,178,178</w:t>
            </w:r>
          </w:p>
        </w:tc>
      </w:tr>
      <w:tr>
        <w:trPr>
          <w:trHeight w:val="270"/>
        </w:trPr>
        <w:tc>
          <w:tcPr>
            <w:tcW w:w="22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183,105</w:t>
            </w:r>
          </w:p>
        </w:tc>
        <w:tc>
          <w:tcPr>
            <w:tcW w:w="280" w:type="dxa"/>
            <w:vAlign w:val="bottom"/>
          </w:tcPr>
          <w:p>
            <w:pPr>
              <w:spacing w:after="0"/>
              <w:rPr>
                <w:sz w:val="23"/>
                <w:szCs w:val="23"/>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196,745</w:t>
            </w:r>
          </w:p>
        </w:tc>
        <w:tc>
          <w:tcPr>
            <w:tcW w:w="30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171,797</w:t>
            </w:r>
          </w:p>
        </w:tc>
        <w:tc>
          <w:tcPr>
            <w:tcW w:w="24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163,500</w:t>
            </w:r>
          </w:p>
        </w:tc>
        <w:tc>
          <w:tcPr>
            <w:tcW w:w="3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715,147</w:t>
            </w:r>
          </w:p>
        </w:tc>
      </w:tr>
      <w:tr>
        <w:trPr>
          <w:trHeight w:val="270"/>
        </w:trPr>
        <w:tc>
          <w:tcPr>
            <w:tcW w:w="22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25,353</w:t>
            </w:r>
          </w:p>
        </w:tc>
        <w:tc>
          <w:tcPr>
            <w:tcW w:w="280" w:type="dxa"/>
            <w:vAlign w:val="bottom"/>
          </w:tcPr>
          <w:p>
            <w:pPr>
              <w:spacing w:after="0"/>
              <w:rPr>
                <w:sz w:val="23"/>
                <w:szCs w:val="23"/>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31,615</w:t>
            </w:r>
          </w:p>
        </w:tc>
        <w:tc>
          <w:tcPr>
            <w:tcW w:w="30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35,347</w:t>
            </w:r>
          </w:p>
        </w:tc>
        <w:tc>
          <w:tcPr>
            <w:tcW w:w="24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15,960</w:t>
            </w:r>
          </w:p>
        </w:tc>
        <w:tc>
          <w:tcPr>
            <w:tcW w:w="3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108,275</w:t>
            </w:r>
          </w:p>
        </w:tc>
      </w:tr>
      <w:tr>
        <w:trPr>
          <w:trHeight w:val="54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0.64</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0.79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0.90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0.40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2.73</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0.63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0.79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0.89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0.40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2.71</w:t>
            </w:r>
          </w:p>
        </w:tc>
      </w:tr>
      <w:tr>
        <w:trPr>
          <w:trHeight w:val="810"/>
        </w:trPr>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48.23</w:t>
            </w:r>
          </w:p>
        </w:tc>
        <w:tc>
          <w:tcPr>
            <w:tcW w:w="280" w:type="dxa"/>
            <w:vAlign w:val="bottom"/>
          </w:tcPr>
          <w:p>
            <w:pPr>
              <w:spacing w:after="0"/>
              <w:rPr>
                <w:sz w:val="24"/>
                <w:szCs w:val="24"/>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45.42</w:t>
            </w:r>
          </w:p>
        </w:tc>
        <w:tc>
          <w:tcPr>
            <w:tcW w:w="300" w:type="dxa"/>
            <w:vAlign w:val="bottom"/>
          </w:tcPr>
          <w:p>
            <w:pPr>
              <w:spacing w:after="0"/>
              <w:rPr>
                <w:sz w:val="24"/>
                <w:szCs w:val="24"/>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45.85</w:t>
            </w:r>
          </w:p>
        </w:tc>
        <w:tc>
          <w:tcPr>
            <w:tcW w:w="240" w:type="dxa"/>
            <w:vAlign w:val="bottom"/>
          </w:tcPr>
          <w:p>
            <w:pPr>
              <w:spacing w:after="0"/>
              <w:rPr>
                <w:sz w:val="24"/>
                <w:szCs w:val="24"/>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45.26</w:t>
            </w:r>
          </w:p>
        </w:tc>
        <w:tc>
          <w:tcPr>
            <w:tcW w:w="32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48.23</w:t>
            </w:r>
          </w:p>
        </w:tc>
      </w:tr>
      <w:tr>
        <w:trPr>
          <w:trHeight w:val="270"/>
        </w:trPr>
        <w:tc>
          <w:tcPr>
            <w:tcW w:w="22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36.60</w:t>
            </w:r>
          </w:p>
        </w:tc>
        <w:tc>
          <w:tcPr>
            <w:tcW w:w="280" w:type="dxa"/>
            <w:vAlign w:val="bottom"/>
          </w:tcPr>
          <w:p>
            <w:pPr>
              <w:spacing w:after="0"/>
              <w:rPr>
                <w:sz w:val="23"/>
                <w:szCs w:val="23"/>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33.50</w:t>
            </w:r>
          </w:p>
        </w:tc>
        <w:tc>
          <w:tcPr>
            <w:tcW w:w="30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38.28</w:t>
            </w:r>
          </w:p>
        </w:tc>
        <w:tc>
          <w:tcPr>
            <w:tcW w:w="240" w:type="dxa"/>
            <w:vAlign w:val="bottom"/>
          </w:tcPr>
          <w:p>
            <w:pPr>
              <w:spacing w:after="0"/>
              <w:rPr>
                <w:sz w:val="23"/>
                <w:szCs w:val="23"/>
                <w:color w:val="auto"/>
              </w:rPr>
            </w:pP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38.71</w:t>
            </w:r>
          </w:p>
        </w:tc>
        <w:tc>
          <w:tcPr>
            <w:tcW w:w="3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-3936365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-3593465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-3250565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-2907665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-2564765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-2221230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-1878330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-1535430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-1192530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-849630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-506095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-163195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500"/>
            <w:col w:w="7880"/>
          </w:cols>
          <w:pgMar w:left="240" w:top="125" w:right="239" w:bottom="1440" w:gutter="0" w:footer="0" w:header="0"/>
        </w:sect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2013, we incurred a goodwill impairment charge of $173.2 million. In addition we incurred costs of $1.7 million in 2012 and $4.4 million in 2013 related to restructuring projects approved in 2011. Further, in 2013, new restructuring projects were approved to increase efficiency and lower our cost of manufacturing, for which we incurred costs of $31.1 million in 2013.</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Subsequent to December 31, 2013 we repurchased 75,203 shares of our common stock under the stock repurchase program authorized by the Board of Directors on March 8, 2013. The average price paid per share was $39.20.</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7, 2014, Itron's Board of Directors authorized a new repurchase program of up to $50 million of our common stock over a 12-month period, which will take effect following the expiration of the current stock repurchase program on March 7, 2014. Repurchases are made in the open market or in privately negotiated transactions and in accordance with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2013, or in any period subsequent to such date, through the date of this report.</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75"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2013,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46" w:lineRule="exact"/>
        <w:rPr>
          <w:rFonts w:ascii="Arial" w:cs="Arial" w:eastAsia="Arial" w:hAnsi="Arial"/>
          <w:sz w:val="18"/>
          <w:szCs w:val="18"/>
          <w:b w:val="1"/>
          <w:bCs w:val="1"/>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29" w:lineRule="exact"/>
        <w:rPr>
          <w:rFonts w:ascii="Arial" w:cs="Arial" w:eastAsia="Arial" w:hAnsi="Arial"/>
          <w:sz w:val="18"/>
          <w:szCs w:val="18"/>
          <w:b w:val="1"/>
          <w:bCs w:val="1"/>
          <w:color w:val="auto"/>
        </w:rPr>
      </w:pPr>
    </w:p>
    <w:p>
      <w:pPr>
        <w:jc w:val="both"/>
        <w:ind w:left="660" w:hanging="328"/>
        <w:spacing w:after="0" w:line="293"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Management’s Annual Report on Internal Control Over Financial Reporting</w:t>
      </w:r>
      <w:r>
        <w:rPr>
          <w:rFonts w:ascii="Arial" w:cs="Arial" w:eastAsia="Arial" w:hAnsi="Arial"/>
          <w:sz w:val="16"/>
          <w:szCs w:val="16"/>
          <w:color w:val="auto"/>
        </w:rPr>
        <w:t>. Our management is responsible for establishing and maintaining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Integrated Framework</w:t>
      </w:r>
      <w:r>
        <w:rPr>
          <w:rFonts w:ascii="Arial" w:cs="Arial" w:eastAsia="Arial" w:hAnsi="Arial"/>
          <w:sz w:val="16"/>
          <w:szCs w:val="16"/>
          <w:color w:val="auto"/>
        </w:rPr>
        <w:t xml:space="preserve"> issued by the Committee of Sponsoring Organizations of the Treadway Commission (1992 Framework). Based on our evaluation under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w:t>
      </w:r>
      <w:r>
        <w:rPr>
          <w:rFonts w:ascii="Arial" w:cs="Arial" w:eastAsia="Arial" w:hAnsi="Arial"/>
          <w:sz w:val="16"/>
          <w:szCs w:val="16"/>
          <w:color w:val="auto"/>
        </w:rPr>
        <w:t>, our management concluded that our internal control over financial reporting was effective as of December 31, 2013.</w:t>
      </w:r>
    </w:p>
    <w:p>
      <w:pPr>
        <w:spacing w:after="0" w:line="110"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The effectiveness of our internal control over financial reporting as of December 31, 2013 has been audited by Ernst &amp; Young LLP, an independent registered public accounting firm, as stated in their report that is included in this Annual Report on Form 10-K.</w:t>
      </w:r>
    </w:p>
    <w:p>
      <w:pPr>
        <w:spacing w:after="0" w:line="143" w:lineRule="exact"/>
        <w:rPr>
          <w:rFonts w:ascii="Arial" w:cs="Arial" w:eastAsia="Arial" w:hAnsi="Arial"/>
          <w:sz w:val="16"/>
          <w:szCs w:val="16"/>
          <w:color w:val="auto"/>
        </w:rPr>
      </w:pPr>
    </w:p>
    <w:p>
      <w:pPr>
        <w:jc w:val="both"/>
        <w:ind w:left="660" w:hanging="328"/>
        <w:spacing w:after="0" w:line="288"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 Company’s disclosure controls, including the Company’s internal controls, are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 reasonable level of assurance that the stated objectives are met. We concluded, as stated in (a) above, that the Company’s internal control over financial reporting was effective in providing this reasonable level of assurance as of December 31, 2013. The Company’s management, including the Chief Executive Officer and Chief Financial Officer, does not expect that the Company’s disclosure controls or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prevented or detected. These inherent limitations include the fact that judgments in decision-making can be faulty. Additionally, controls can be circumvented by the individual acts of some persons, by collusion of two or more people, or by management override of the control. Because of the inherent limitations in a control system, misstatements due to error or fraud may occur and not be prevented or detected.</w:t>
      </w:r>
    </w:p>
    <w:p>
      <w:pPr>
        <w:spacing w:after="0" w:line="169"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While we are continuing the process of upgrading our global enterprise resource software system, there have been no changes in our internal control over financial reporting during the year ended December 31, 2013 that materially affected, or are reasonably likely to materially affect,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Report of Independent Registered Public Accounting Firm.</w:t>
      </w:r>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Itron, Inc.</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Itron, Inc.’s internal control over financial reporting as of December 31, 2013, based on criteria established in Internal Control—Integrated Framework issued by the Committee of Sponsoring Organizations of the Treadway Commission (1992 framework) (the COSO criteria). Itron,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Itron, Inc. maintained, in all material respects, effective internal control over financial reporting as of December 31, 2013, based on the COSO criteria.</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Itron, Inc. as of December 31, 2013 and 2012, and the related consolidated statements of operations, comprehensive income (loss), equity, and cash flows for each of the three years in the period ended December 31, 2013 of Itron, Inc. and our report dated February 25, 2014 expressed an unqualified opinion thereon.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2014</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was required to be disclosed in a report on Form 8-K during the fourth quarter of 2013 that was not reported.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“Proposal 1 – Election of Directors” appearing in our Proxy Statement for the Annual Meeting of Shareholders to be held on May 1, 2014 (the 2014 Proxy Statement) sets forth certain information with regard to our directors as required by Item 401 of Regulation S-K and is incorporated herein by reference.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Inc. as required by Item 401 of Regulation S-K is set forth under the caption “Management” in Part I of this Annual Report on Form 10-K.</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“Section 16(a) Beneficial Ownership Reporting Compliance” appearing in the 2014 Proxy Statement sets forth certain information as required by Item 405 of Regulation S-K and is incorporated herein by reference.</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section entitled “Corporate Governance” appearing in the 2014 Proxy Statement sets forth certain information with respect to the Registrant’s code of conduct and ethics as required by Item 406 of Regulation S-K and is incorporated herein by reference. Our code of conduct and ethics can be accessed on our website, at </w:t>
      </w:r>
      <w:r>
        <w:rPr>
          <w:rFonts w:ascii="Arial" w:cs="Arial" w:eastAsia="Arial" w:hAnsi="Arial"/>
          <w:sz w:val="18"/>
          <w:szCs w:val="18"/>
          <w:u w:val="single" w:color="auto"/>
          <w:color w:val="auto"/>
        </w:rPr>
        <w:t>www.itron.com</w:t>
      </w:r>
      <w:r>
        <w:rPr>
          <w:rFonts w:ascii="Arial" w:cs="Arial" w:eastAsia="Arial" w:hAnsi="Arial"/>
          <w:sz w:val="18"/>
          <w:szCs w:val="18"/>
          <w:color w:val="auto"/>
        </w:rPr>
        <w:t xml:space="preserve"> under the Investors section.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 holders may recommend nominees to Itron's board of directors during 2014, as set forth by Item 407(c)(3) of Regulation S-K.</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“Corporate Governance” appearing in the 2014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spacing w:after="0" w:line="2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sections entitled “Compensation of Directors” and “Executive Compensation” appearing in the 2014 Proxy Statement set forth certain information with respect to the compensation of directors and management of Itron as required by Item 402 of Regulation S-K and are incorporated herein by reference.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2014 Proxy Statement sets forth certain information regarding members of the Compensation Committee required by Item 407(e)(4) of Regulation S-K and is incorporated herein by reference.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“Compensation Committee Report” appearing in the 2014 Proxy Statement sets forth certain information required by Item 407(e)(5) of Regulation S-K and is incorporated herein by reference.</w:t>
      </w:r>
    </w:p>
    <w:p>
      <w:pPr>
        <w:spacing w:after="0" w:line="220"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“Equity Compensation Plan Information” appearing in the 2014 Proxy Statement sets forth certain information required by Item 201(d) of Regulation S-K and is incorporated herein by reference.</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section entitled “Security Ownership of Certain Beneficial Owners and Management” appearing in the 2014 Proxy Statement sets forth certain information with respect to the ownership of our common stock as required by Item 403 of Regulation S-K and is incorporated herein by reference.</w:t>
      </w:r>
    </w:p>
    <w:p>
      <w:pPr>
        <w:spacing w:after="0" w:line="19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“Corporate Governance” appearing in the 2014 Proxy Statement sets forth certain information required by Item 404 of Regulation S-K and is incorporated herein by reference.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2014 Proxy Statement sets forth certain information with respect to director independence as required by Item 407(a) of Regulation S-K and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section entitled “Independent Registered Public Accounting Firm’s Audit Fees and Services” appearing in the 2014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tab/>
        <w:t>EXHIBITS, FINANCIAL STATEMENT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Schedule II: Valuation and Qualifying Accounts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Financial Statement Schedules not listed above have been omitted because of the absence of conditions under which they are required or because the required information is included in the Consolidated Financial Statements or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Exhibit</w:t>
            </w:r>
          </w:p>
        </w:tc>
        <w:tc>
          <w:tcPr>
            <w:tcW w:w="1004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92"/>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Articles of Incorporation of Itron, Inc. (Filed as Exhibit 3.1 to Itron, Inc.’s Annual Report on Form 10-K, filed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March 27, 2003 -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Bylaws of Itron, Inc. (Filed as Exhibit 3.2 to Itron, Inc.’s Current Report on Form 8-K, filed on September 7, 2011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Credit Agreement dated August 5, 2011 among Itron, Inc. and a syndicate of banks led by Wells Fargo Bank, National Association,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JPMorgan Chase Bank, N.A., and J.P. Morgan Europe Limited. (Filed as Exhibit 4.1 to Itron, Inc.’s Current Report on Form 8-K, filed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August 8, 2011 -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Security Agreement dated August 5, 2011 among Itron, Inc. and Wells Fargo Bank, National Association. (Filed as Exhibit 4.2 to Itron,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Inc.’s Current Report on Form 8-K, filed on August 8, 2011 -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Form of Amended and Restated Change in Control Severance Agreement for Executive Officers. * (Filed as Exhibit 10.1 to Itron, Inc.’s</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Annual Report on Form 10-K, filed on February 22, 2013 - File No. 0-22418)</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Schedule of certain executive officers who are parties to Change in Control Severance Agreements with Itron, Inc. * (attached hereto)</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First Amendment to Change in Control Agreement between Itron, Inc. and Marcel Regnier. * (Filed as Exhibit 10.2 to Itron, Inc.’s</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Current Report on Form 8-K, filed on April 2, 2012 -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Employee Agreement between Itron Holding France and Marcel Regnier. * (Filed as Exhibit 10.1 to Itron, Inc.’s Current Report on Form</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8-K, filed on April 2, 2012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Form of Indemnification Agreements between Itron, Inc. and certain directors and officers. * (Filed as Exhibit 10.9 to Itron, Inc.’s Annual</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10-K, filed on March 30, 2000 - File No. 0-22418)</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Schedule of directors and executive officers who are parties to Indemnification Agreements with Itron, Inc. * (attached hereto)</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2000 Stock Incentive Plan. (Filed as Appendix A to Itron, Inc.’s Proxy Statement for the 2007 Annual Meeting of</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Shareholders, filed on March 26, 2007 -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2010 Stock Incentive Plan. (Filed as Appendix A to Itron, Inc.’s Proxy Statement for the 2010 Annual Meeting of Shareholders, filed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March 17, 2010 -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Executive Management Incentive Plan. * (Filed as Appendix B to Itron, Inc.’s Proxy Statement for the 2010 Annual Meeting of</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Shareholders, filed on March 17, 2010 - File No. 0-22418)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980" w:type="dxa"/>
            <w:vAlign w:val="bottom"/>
          </w:tcPr>
          <w:p>
            <w:pPr>
              <w:jc w:val="center"/>
              <w:ind w:right="2408"/>
              <w:spacing w:after="0"/>
              <w:rPr>
                <w:sz w:val="20"/>
                <w:szCs w:val="20"/>
                <w:color w:val="auto"/>
              </w:rPr>
            </w:pPr>
            <w:r>
              <w:rPr>
                <w:rFonts w:ascii="Arial" w:cs="Arial" w:eastAsia="Arial" w:hAnsi="Arial"/>
                <w:sz w:val="14"/>
                <w:szCs w:val="14"/>
                <w:b w:val="1"/>
                <w:bCs w:val="1"/>
                <w:color w:val="auto"/>
                <w:w w:val="98"/>
              </w:rPr>
              <w:t>Exhibit</w:t>
            </w:r>
          </w:p>
        </w:tc>
        <w:tc>
          <w:tcPr>
            <w:tcW w:w="3900" w:type="dxa"/>
            <w:vAlign w:val="bottom"/>
            <w:vMerge w:val="restart"/>
          </w:tcPr>
          <w:p>
            <w:pPr>
              <w:ind w:left="2480"/>
              <w:spacing w:after="0"/>
              <w:rPr>
                <w:sz w:val="20"/>
                <w:szCs w:val="20"/>
                <w:color w:val="auto"/>
              </w:rPr>
            </w:pPr>
            <w:r>
              <w:rPr>
                <w:rFonts w:ascii="Arial" w:cs="Arial" w:eastAsia="Arial" w:hAnsi="Arial"/>
                <w:sz w:val="14"/>
                <w:szCs w:val="14"/>
                <w:b w:val="1"/>
                <w:bCs w:val="1"/>
                <w:color w:val="auto"/>
                <w:w w:val="91"/>
              </w:rPr>
              <w:t>Description of Exhibits</w:t>
            </w:r>
          </w:p>
        </w:tc>
        <w:tc>
          <w:tcPr>
            <w:tcW w:w="0" w:type="dxa"/>
            <w:vAlign w:val="bottom"/>
          </w:tcPr>
          <w:p>
            <w:pPr>
              <w:spacing w:after="0"/>
              <w:rPr>
                <w:sz w:val="1"/>
                <w:szCs w:val="1"/>
                <w:color w:val="auto"/>
              </w:rPr>
            </w:pPr>
          </w:p>
        </w:tc>
      </w:tr>
      <w:tr>
        <w:trPr>
          <w:trHeight w:val="186"/>
        </w:trPr>
        <w:tc>
          <w:tcPr>
            <w:tcW w:w="2980" w:type="dxa"/>
            <w:vAlign w:val="bottom"/>
          </w:tcPr>
          <w:p>
            <w:pPr>
              <w:jc w:val="center"/>
              <w:ind w:right="2408"/>
              <w:spacing w:after="0"/>
              <w:rPr>
                <w:sz w:val="20"/>
                <w:szCs w:val="20"/>
                <w:color w:val="auto"/>
              </w:rPr>
            </w:pPr>
            <w:r>
              <w:rPr>
                <w:rFonts w:ascii="Arial" w:cs="Arial" w:eastAsia="Arial" w:hAnsi="Arial"/>
                <w:sz w:val="14"/>
                <w:szCs w:val="14"/>
                <w:b w:val="1"/>
                <w:bCs w:val="1"/>
                <w:color w:val="auto"/>
                <w:w w:val="94"/>
              </w:rPr>
              <w:t>Number</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p>
      <w:pPr>
        <w:jc w:val="right"/>
        <w:ind w:left="440" w:right="80"/>
        <w:spacing w:after="0" w:line="308" w:lineRule="auto"/>
        <w:rPr>
          <w:sz w:val="20"/>
          <w:szCs w:val="20"/>
          <w:color w:val="auto"/>
        </w:rPr>
      </w:pPr>
      <w:r>
        <w:rPr>
          <w:rFonts w:ascii="Arial" w:cs="Arial" w:eastAsia="Arial" w:hAnsi="Arial"/>
          <w:sz w:val="17"/>
          <w:szCs w:val="17"/>
          <w:color w:val="auto"/>
        </w:rPr>
        <w:t>10.10       Terms of the Amended and Restated Equity Grant Program for Nonemployee Directors under the Itron, Inc. Amended and Restated 2000 Stock Incentive Plan. (Filed as Exhibit 10.4 to Itron, Inc.’s Annual Report on Form 10-K, filed on February 26, 2008 - File No. 0-22418)</w:t>
      </w:r>
    </w:p>
    <w:p>
      <w:pPr>
        <w:spacing w:after="0" w:line="214" w:lineRule="exact"/>
        <w:rPr>
          <w:sz w:val="20"/>
          <w:szCs w:val="20"/>
          <w:color w:val="auto"/>
        </w:rPr>
      </w:pPr>
    </w:p>
    <w:p>
      <w:pPr>
        <w:ind w:left="1420" w:right="60" w:hanging="975"/>
        <w:spacing w:after="0" w:line="264" w:lineRule="auto"/>
        <w:tabs>
          <w:tab w:leader="none" w:pos="14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Non-Qualified Stock Option Grant Notice and Agreement for Nonemployee Directors under the Itron, Inc. Amended and Restated 2000 Stock Incentive Plan. (Filed as Exhibit 10.9 to Itron, Inc.’s Annual Report on Form 10-K, filed on February 26, 2009 - File No. 0-22418)</w:t>
      </w:r>
    </w:p>
    <w:p>
      <w:pPr>
        <w:spacing w:after="0" w:line="249" w:lineRule="exact"/>
        <w:rPr>
          <w:sz w:val="20"/>
          <w:szCs w:val="20"/>
          <w:color w:val="auto"/>
        </w:rPr>
      </w:pPr>
    </w:p>
    <w:p>
      <w:pPr>
        <w:ind w:left="1420" w:right="40" w:hanging="978"/>
        <w:spacing w:after="0" w:line="264" w:lineRule="auto"/>
        <w:tabs>
          <w:tab w:leader="none" w:pos="14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Stock Option Grant Notice and Agreement for use in connection with both incentive and non-qualified stock options granted under Itron, Inc.'s Amended and Restated 2000 Stock Incentive Plan. * (Filed as Exhibit 10.6 to Itron, Inc.’s Current Report on Form 8-K, filed on February 18, 2010 - File No. 0-22418)</w:t>
      </w:r>
    </w:p>
    <w:p>
      <w:pPr>
        <w:spacing w:after="0" w:line="249" w:lineRule="exact"/>
        <w:rPr>
          <w:sz w:val="20"/>
          <w:szCs w:val="20"/>
          <w:color w:val="auto"/>
        </w:rPr>
      </w:pPr>
    </w:p>
    <w:p>
      <w:pPr>
        <w:ind w:left="1420" w:right="20" w:hanging="978"/>
        <w:spacing w:after="0" w:line="286" w:lineRule="auto"/>
        <w:tabs>
          <w:tab w:leader="none" w:pos="14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Form of Restricted Stock Unit (RSU) Award Notice and Agreement for U.S. Participants for use in connection with the Company’s Long-Term Performance Plan (LTPP) and issued under Itron, Inc.'s Amended and Restated 2000 Stock Incentive Plan. * (Filed as Exhibit 10.1 to Itron, Inc.’s Current Report on Form 8-K, filed on February 18, 2010 - File No. 0-22418)</w:t>
      </w:r>
    </w:p>
    <w:p>
      <w:pPr>
        <w:spacing w:after="0" w:line="233" w:lineRule="exact"/>
        <w:rPr>
          <w:sz w:val="20"/>
          <w:szCs w:val="20"/>
          <w:color w:val="auto"/>
        </w:rPr>
      </w:pPr>
    </w:p>
    <w:p>
      <w:pPr>
        <w:ind w:left="1420" w:right="220" w:hanging="978"/>
        <w:spacing w:after="0" w:line="264" w:lineRule="auto"/>
        <w:tabs>
          <w:tab w:leader="none" w:pos="14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RSU Award Notice and Agreement for International Participants (excluding France) for use in connection with the Company’s LTPP and issued under Itron, Inc.'s Amended and Restated 2000 Stock Incentive Plan. * (Filed as Exhibit 10.2 to Itron, Inc.’s Current Report on Form 8-K, filed on February 18, 2010 - File No. 0-22418)</w:t>
      </w:r>
    </w:p>
    <w:p>
      <w:pPr>
        <w:spacing w:after="0" w:line="249" w:lineRule="exact"/>
        <w:rPr>
          <w:sz w:val="20"/>
          <w:szCs w:val="20"/>
          <w:color w:val="auto"/>
        </w:rPr>
      </w:pPr>
    </w:p>
    <w:p>
      <w:pPr>
        <w:ind w:left="1420" w:hanging="978"/>
        <w:spacing w:after="0" w:line="264" w:lineRule="auto"/>
        <w:tabs>
          <w:tab w:leader="none" w:pos="14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RSU Award Notice and Agreement for Participants in France for use in connection with Itron, Inc.'s LTPP and issued under Itron, Inc.'s Amended and Restated 2000 Stock Incentive Plan. * (Filed as Exhibit 10.3 to Itron, Inc.’s Current Report on Form 8-K, filed on February 18, 2010 - File No. 0-22418)</w:t>
      </w:r>
    </w:p>
    <w:p>
      <w:pPr>
        <w:spacing w:after="0" w:line="249" w:lineRule="exact"/>
        <w:rPr>
          <w:sz w:val="20"/>
          <w:szCs w:val="20"/>
          <w:color w:val="auto"/>
        </w:rPr>
      </w:pPr>
    </w:p>
    <w:p>
      <w:pPr>
        <w:ind w:left="1420" w:hanging="978"/>
        <w:spacing w:after="0" w:line="264" w:lineRule="auto"/>
        <w:tabs>
          <w:tab w:leader="none" w:pos="14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RSU Award Notice and Agreement for all Participants (excluding France) for use in connection with Itron, Inc.'s Amended and Restated 2000 Stock Incentive Plan. * (Filed as Exhibit 10.4 to Itron, Inc.’s Current Report on Form 8-K, filed on February 18, 2010 - File No. 0-22418)</w:t>
      </w:r>
    </w:p>
    <w:p>
      <w:pPr>
        <w:spacing w:after="0" w:line="249" w:lineRule="exact"/>
        <w:rPr>
          <w:sz w:val="20"/>
          <w:szCs w:val="20"/>
          <w:color w:val="auto"/>
        </w:rPr>
      </w:pPr>
    </w:p>
    <w:p>
      <w:pPr>
        <w:jc w:val="right"/>
        <w:ind w:left="440" w:right="20"/>
        <w:spacing w:after="0" w:line="308" w:lineRule="auto"/>
        <w:rPr>
          <w:sz w:val="20"/>
          <w:szCs w:val="20"/>
          <w:color w:val="auto"/>
        </w:rPr>
      </w:pPr>
      <w:r>
        <w:rPr>
          <w:rFonts w:ascii="Arial" w:cs="Arial" w:eastAsia="Arial" w:hAnsi="Arial"/>
          <w:sz w:val="17"/>
          <w:szCs w:val="17"/>
          <w:color w:val="auto"/>
        </w:rPr>
        <w:t>10.17       Form of RSU Award Notice and Agreement for Participants in France for use in connection with Itron, Inc.'s Amended and Restated 2000 Stock Incentive Plan. * (Filed as Exhibit 10.5 to Itron, Inc.’s Current Report on Form 8-K, filed on February 18, 2010 - File No. 0-22418)</w:t>
      </w:r>
    </w:p>
    <w:p>
      <w:pPr>
        <w:spacing w:after="0" w:line="214" w:lineRule="exact"/>
        <w:rPr>
          <w:sz w:val="20"/>
          <w:szCs w:val="20"/>
          <w:color w:val="auto"/>
        </w:rPr>
      </w:pPr>
    </w:p>
    <w:p>
      <w:pPr>
        <w:jc w:val="right"/>
        <w:ind w:left="440" w:right="240"/>
        <w:spacing w:after="0" w:line="308" w:lineRule="auto"/>
        <w:rPr>
          <w:sz w:val="20"/>
          <w:szCs w:val="20"/>
          <w:color w:val="auto"/>
        </w:rPr>
      </w:pPr>
      <w:r>
        <w:rPr>
          <w:rFonts w:ascii="Arial" w:cs="Arial" w:eastAsia="Arial" w:hAnsi="Arial"/>
          <w:sz w:val="17"/>
          <w:szCs w:val="17"/>
          <w:color w:val="auto"/>
        </w:rPr>
        <w:t>10.18       Form of Long Term Performance RSU Award Notice and Agreement for U.S. Participants for use in connection with Itron, Inc.'s 2010 Stock Incentive Plan. * (Filed as Exhibit 10.4 to Itron, Inc.’s Quarterly Report on Form 10-Q, filed on May 3, 2013 - File No. 0-22418)</w:t>
      </w:r>
    </w:p>
    <w:p>
      <w:pPr>
        <w:spacing w:after="0" w:line="214" w:lineRule="exact"/>
        <w:rPr>
          <w:sz w:val="20"/>
          <w:szCs w:val="20"/>
          <w:color w:val="auto"/>
        </w:rPr>
      </w:pPr>
    </w:p>
    <w:p>
      <w:pPr>
        <w:ind w:left="1420" w:right="240" w:hanging="978"/>
        <w:spacing w:after="0" w:line="264" w:lineRule="auto"/>
        <w:tabs>
          <w:tab w:leader="none" w:pos="14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Form of Long Term Performance RSU Award Notice and Agreement for International Participants (excluding France) for use in connection with Itron, Inc.'s 2010 Stock Incentive Plan. * (Filed as Exhibit 10.19 to Itron, Inc.’s Annual Report on Form 10-K, filed on February 25, 2011 - File No. 0-22418)</w:t>
      </w:r>
    </w:p>
    <w:p>
      <w:pPr>
        <w:spacing w:after="0" w:line="249"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Form of Long Term Performance RSU Award Notice and Agreement for Participants in France for use in connection with Itron, Inc.'s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2010 Stock Incentive Plan. * (Filed as Exhibit 10.5 to Itron, Inc.’s Quarterly Report on Form 10-Q, filed on May 3, 2013 - File No. 0-</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22418)</w:t>
      </w:r>
    </w:p>
    <w:p>
      <w:pPr>
        <w:spacing w:after="0" w:line="278" w:lineRule="exact"/>
        <w:rPr>
          <w:sz w:val="20"/>
          <w:szCs w:val="20"/>
          <w:color w:val="auto"/>
        </w:rPr>
      </w:pPr>
    </w:p>
    <w:p>
      <w:pPr>
        <w:ind w:left="1420" w:right="360" w:hanging="978"/>
        <w:spacing w:after="0" w:line="342" w:lineRule="auto"/>
        <w:tabs>
          <w:tab w:leader="none" w:pos="14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Form of RSU Award Notice and Agreement for all Participants (excluding France) for use in connection with Itron, Inc.'s 2010 Stock Incentive Plan. * (Filed as Exhibit 10.1 to Itron, Inc.’s Quarterly Report on Form 10-Q, filed on May 3, 2013 - File No. 0-22418)</w:t>
      </w:r>
    </w:p>
    <w:p>
      <w:pPr>
        <w:spacing w:after="0" w:line="191" w:lineRule="exact"/>
        <w:rPr>
          <w:sz w:val="20"/>
          <w:szCs w:val="20"/>
          <w:color w:val="auto"/>
        </w:rPr>
      </w:pPr>
    </w:p>
    <w:p>
      <w:pPr>
        <w:ind w:left="1420" w:right="20" w:hanging="978"/>
        <w:spacing w:after="0" w:line="308" w:lineRule="auto"/>
        <w:tabs>
          <w:tab w:leader="none" w:pos="14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Form of RSU Award Notice and Agreement for Participants in France for use in connection with Itron, Inc.'s 2010 Stock Incentive Plan. * (Filed as Exhibit 10.2 to Itron, Inc.’s Quarterly Report on Form 10-Q, filed on May 3, 2013 - File No. 0-22418)</w:t>
      </w:r>
    </w:p>
    <w:p>
      <w:pPr>
        <w:spacing w:after="0" w:line="214" w:lineRule="exact"/>
        <w:rPr>
          <w:sz w:val="20"/>
          <w:szCs w:val="20"/>
          <w:color w:val="auto"/>
        </w:rPr>
      </w:pPr>
    </w:p>
    <w:p>
      <w:pPr>
        <w:jc w:val="center"/>
        <w:ind w:left="340" w:right="340"/>
        <w:spacing w:after="0" w:line="277" w:lineRule="auto"/>
        <w:rPr>
          <w:sz w:val="20"/>
          <w:szCs w:val="20"/>
          <w:color w:val="auto"/>
        </w:rPr>
      </w:pPr>
      <w:r>
        <w:rPr>
          <w:rFonts w:ascii="Arial" w:cs="Arial" w:eastAsia="Arial" w:hAnsi="Arial"/>
          <w:sz w:val="18"/>
          <w:szCs w:val="18"/>
          <w:color w:val="auto"/>
        </w:rPr>
        <w:t>10.23       Form of RSU Award Notice and Agreement for Non-employee Directors for use in connection with Itron, Inc.'s 2010 Stock Incentive Plan. * (Filed as Exhibit 10.3 to Itron, Inc.’s Quarterly Report on Form 10-Q, filed on May 3, 2013 - File No. 0-22418)</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125"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Exhibit</w:t>
            </w:r>
          </w:p>
        </w:tc>
        <w:tc>
          <w:tcPr>
            <w:tcW w:w="1004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92"/>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Form of Stock Option Grant Notice and Agreement for use in connection with both incentive and non-qualified stock options granted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under Itron, Inc.'s 2010 Stock Incentive Plan. * (Filed as Exhibit 10.23 to Itron, Inc's Annual Report on Form 10-K, filed on February 22,</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2013 - File No. 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Executive Deferred Compensation Plan. * (Filed as Exhibit 10.1 to Itron, Inc.’s Quarterly Report on Form 10-Q, filed on November 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2011 -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2002 Employee Stock Purchase Plan. (Filed as Exhibit 10.20 to Itron’s Annual Report on Form 10-K, filed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February 26, 2009 -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Stock Option Plan for Nonemployee Directors. (Filed as Exhibit 10.11 to Itron, Inc.’s Registration Statement on Form S-1 dated July 22,</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Offer Letter, dated as of November 16, 2012, between Itron, Inc. and Philip C. Mezey. * (Filed as Exhibit 10.1 to Itron, Inc.’s Current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on November 19, 2012 -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Offer Letter, dated as of November 16, 2012, between Itron, Inc. and John W. Holleran. * (Filed as Exhibit 10.2 to Itron, Inc.’s Current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on November 19, 2012 - File No. 0-22418)</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Subsidiaries of Itron, Inc.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Ernst &amp; Young LLP Independent Registered Public Accounting Firm.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Schema.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101.DEF **</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101.PRE**</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(attached hereto)</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420" w:hanging="82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93" w:lineRule="exact"/>
        <w:rPr>
          <w:sz w:val="20"/>
          <w:szCs w:val="20"/>
          <w:color w:val="auto"/>
        </w:rPr>
      </w:pPr>
    </w:p>
    <w:p>
      <w:pPr>
        <w:ind w:left="1420" w:right="100" w:hanging="874"/>
        <w:spacing w:after="0" w:line="297" w:lineRule="auto"/>
        <w:tabs>
          <w:tab w:leader="none" w:pos="1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these interactive data files are deemed not filed and otherwise are not subject to liability.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Liberty Lake, State of Washington, on the 25th day of February, 2014.</w:t>
      </w:r>
    </w:p>
    <w:p>
      <w:pPr>
        <w:spacing w:after="0" w:line="9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ITRON, INC.</w:t>
      </w:r>
    </w:p>
    <w:p>
      <w:pPr>
        <w:spacing w:after="0" w:line="385" w:lineRule="exact"/>
        <w:rPr>
          <w:sz w:val="20"/>
          <w:szCs w:val="20"/>
          <w:color w:val="auto"/>
        </w:rPr>
      </w:pPr>
    </w:p>
    <w:p>
      <w:pPr>
        <w:ind w:left="394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9"/>
          <w:szCs w:val="19"/>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34925</wp:posOffset>
            </wp:positionV>
            <wp:extent cx="45624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7"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Steven M. Helmbrecht</w:t>
      </w:r>
    </w:p>
    <w:p>
      <w:pPr>
        <w:spacing w:after="0" w:line="63"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25th day of February, 2014.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tcPr>
          <w:p>
            <w:pPr>
              <w:jc w:val="center"/>
              <w:ind w:right="1567"/>
              <w:spacing w:after="0"/>
              <w:rPr>
                <w:sz w:val="20"/>
                <w:szCs w:val="20"/>
                <w:color w:val="auto"/>
              </w:rPr>
            </w:pPr>
            <w:r>
              <w:rPr>
                <w:rFonts w:ascii="Arial" w:cs="Arial" w:eastAsia="Arial" w:hAnsi="Arial"/>
                <w:sz w:val="18"/>
                <w:szCs w:val="18"/>
                <w:b w:val="1"/>
                <w:bCs w:val="1"/>
                <w:color w:val="auto"/>
                <w:w w:val="88"/>
              </w:rPr>
              <w:t>Signatures</w:t>
            </w:r>
          </w:p>
        </w:tc>
        <w:tc>
          <w:tcPr>
            <w:tcW w:w="220" w:type="dxa"/>
            <w:vAlign w:val="bottom"/>
          </w:tcPr>
          <w:p>
            <w:pPr>
              <w:spacing w:after="0"/>
              <w:rPr>
                <w:sz w:val="20"/>
                <w:szCs w:val="20"/>
                <w:color w:val="auto"/>
              </w:rPr>
            </w:pPr>
          </w:p>
        </w:tc>
        <w:tc>
          <w:tcPr>
            <w:tcW w:w="6700" w:type="dxa"/>
            <w:vAlign w:val="bottom"/>
          </w:tcPr>
          <w:p>
            <w:pPr>
              <w:ind w:left="3180"/>
              <w:spacing w:after="0"/>
              <w:rPr>
                <w:sz w:val="20"/>
                <w:szCs w:val="20"/>
                <w:color w:val="auto"/>
              </w:rPr>
            </w:pPr>
            <w:r>
              <w:rPr>
                <w:rFonts w:ascii="Arial" w:cs="Arial" w:eastAsia="Arial" w:hAnsi="Arial"/>
                <w:sz w:val="18"/>
                <w:szCs w:val="18"/>
                <w:b w:val="1"/>
                <w:bCs w:val="1"/>
                <w:color w:val="auto"/>
              </w:rPr>
              <w:t>Title</w:t>
            </w:r>
          </w:p>
        </w:tc>
      </w:tr>
      <w:tr>
        <w:trPr>
          <w:trHeight w:val="27"/>
        </w:trPr>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700" w:type="dxa"/>
            <w:vAlign w:val="bottom"/>
            <w:tcBorders>
              <w:bottom w:val="single" w:sz="8" w:color="auto"/>
            </w:tcBorders>
          </w:tcPr>
          <w:p>
            <w:pPr>
              <w:spacing w:after="0"/>
              <w:rPr>
                <w:sz w:val="2"/>
                <w:szCs w:val="2"/>
                <w:color w:val="auto"/>
              </w:rPr>
            </w:pPr>
          </w:p>
        </w:tc>
      </w:tr>
      <w:tr>
        <w:trPr>
          <w:trHeight w:val="582"/>
        </w:trPr>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80"/>
              </w:rPr>
              <w:t>/s/</w:t>
            </w:r>
          </w:p>
        </w:tc>
        <w:tc>
          <w:tcPr>
            <w:tcW w:w="2780" w:type="dxa"/>
            <w:vAlign w:val="bottom"/>
            <w:tcBorders>
              <w:bottom w:val="single" w:sz="8" w:color="auto"/>
            </w:tcBorders>
          </w:tcPr>
          <w:p>
            <w:pPr>
              <w:jc w:val="center"/>
              <w:ind w:right="1327"/>
              <w:spacing w:after="0"/>
              <w:rPr>
                <w:sz w:val="20"/>
                <w:szCs w:val="20"/>
                <w:color w:val="auto"/>
              </w:rPr>
            </w:pPr>
            <w:r>
              <w:rPr>
                <w:rFonts w:ascii="Arial" w:cs="Arial" w:eastAsia="Arial" w:hAnsi="Arial"/>
                <w:sz w:val="14"/>
                <w:szCs w:val="14"/>
                <w:color w:val="auto"/>
                <w:w w:val="99"/>
              </w:rPr>
              <w:t>PHILIP C. MEZEY</w:t>
            </w:r>
          </w:p>
        </w:tc>
        <w:tc>
          <w:tcPr>
            <w:tcW w:w="2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4"/>
        </w:trPr>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tcPr>
          <w:p>
            <w:pPr>
              <w:jc w:val="center"/>
              <w:ind w:right="1527"/>
              <w:spacing w:after="0"/>
              <w:rPr>
                <w:sz w:val="20"/>
                <w:szCs w:val="20"/>
                <w:color w:val="auto"/>
              </w:rPr>
            </w:pPr>
            <w:r>
              <w:rPr>
                <w:rFonts w:ascii="Arial" w:cs="Arial" w:eastAsia="Arial" w:hAnsi="Arial"/>
                <w:sz w:val="14"/>
                <w:szCs w:val="14"/>
                <w:b w:val="1"/>
                <w:bCs w:val="1"/>
                <w:color w:val="auto"/>
                <w:w w:val="96"/>
              </w:rPr>
              <w:t>Philip C. Mezey</w:t>
            </w:r>
          </w:p>
        </w:tc>
        <w:tc>
          <w:tcPr>
            <w:tcW w:w="220" w:type="dxa"/>
            <w:vAlign w:val="bottom"/>
          </w:tcPr>
          <w:p>
            <w:pPr>
              <w:spacing w:after="0"/>
              <w:rPr>
                <w:sz w:val="21"/>
                <w:szCs w:val="21"/>
                <w:color w:val="auto"/>
              </w:rPr>
            </w:pPr>
          </w:p>
        </w:tc>
        <w:tc>
          <w:tcPr>
            <w:tcW w:w="6700" w:type="dxa"/>
            <w:vAlign w:val="bottom"/>
          </w:tcPr>
          <w:p>
            <w:pPr>
              <w:ind w:left="40"/>
              <w:spacing w:after="0"/>
              <w:rPr>
                <w:sz w:val="20"/>
                <w:szCs w:val="20"/>
                <w:color w:val="auto"/>
              </w:rPr>
            </w:pPr>
            <w:r>
              <w:rPr>
                <w:rFonts w:ascii="Arial" w:cs="Arial" w:eastAsia="Arial" w:hAnsi="Arial"/>
                <w:sz w:val="14"/>
                <w:szCs w:val="14"/>
                <w:color w:val="auto"/>
              </w:rPr>
              <w:t>President and Chief Executive Officer (Principal Executive Officer), Director</w:t>
            </w:r>
          </w:p>
        </w:tc>
      </w:tr>
      <w:tr>
        <w:trPr>
          <w:trHeight w:val="600"/>
        </w:trPr>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/s/</w:t>
            </w:r>
          </w:p>
        </w:tc>
        <w:tc>
          <w:tcPr>
            <w:tcW w:w="2980" w:type="dxa"/>
            <w:vAlign w:val="bottom"/>
            <w:tcBorders>
              <w:bottom w:val="single" w:sz="8" w:color="auto"/>
            </w:tcBorders>
            <w:gridSpan w:val="2"/>
          </w:tcPr>
          <w:p>
            <w:pPr>
              <w:jc w:val="center"/>
              <w:ind w:right="1107"/>
              <w:spacing w:after="0"/>
              <w:rPr>
                <w:sz w:val="20"/>
                <w:szCs w:val="20"/>
                <w:color w:val="auto"/>
              </w:rPr>
            </w:pPr>
            <w:r>
              <w:rPr>
                <w:rFonts w:ascii="Arial" w:cs="Arial" w:eastAsia="Arial" w:hAnsi="Arial"/>
                <w:sz w:val="14"/>
                <w:szCs w:val="14"/>
                <w:color w:val="auto"/>
              </w:rPr>
              <w:t>STEVEN M. HELMBRECHT</w:t>
            </w:r>
          </w:p>
        </w:tc>
        <w:tc>
          <w:tcPr>
            <w:tcW w:w="2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4"/>
        </w:trPr>
        <w:tc>
          <w:tcPr>
            <w:tcW w:w="1460" w:type="dxa"/>
            <w:vAlign w:val="bottom"/>
          </w:tcPr>
          <w:p>
            <w:pPr>
              <w:spacing w:after="0"/>
              <w:rPr>
                <w:sz w:val="21"/>
                <w:szCs w:val="21"/>
                <w:color w:val="auto"/>
              </w:rPr>
            </w:pPr>
          </w:p>
        </w:tc>
        <w:tc>
          <w:tcPr>
            <w:tcW w:w="2980" w:type="dxa"/>
            <w:vAlign w:val="bottom"/>
            <w:gridSpan w:val="2"/>
          </w:tcPr>
          <w:p>
            <w:pPr>
              <w:ind w:left="80"/>
              <w:spacing w:after="0"/>
              <w:rPr>
                <w:sz w:val="20"/>
                <w:szCs w:val="20"/>
                <w:color w:val="auto"/>
              </w:rPr>
            </w:pPr>
            <w:r>
              <w:rPr>
                <w:rFonts w:ascii="Arial" w:cs="Arial" w:eastAsia="Arial" w:hAnsi="Arial"/>
                <w:sz w:val="14"/>
                <w:szCs w:val="14"/>
                <w:b w:val="1"/>
                <w:bCs w:val="1"/>
                <w:color w:val="auto"/>
              </w:rPr>
              <w:t>Steven M. Helmbrecht</w:t>
            </w:r>
          </w:p>
        </w:tc>
        <w:tc>
          <w:tcPr>
            <w:tcW w:w="220" w:type="dxa"/>
            <w:vAlign w:val="bottom"/>
          </w:tcPr>
          <w:p>
            <w:pPr>
              <w:spacing w:after="0"/>
              <w:rPr>
                <w:sz w:val="21"/>
                <w:szCs w:val="21"/>
                <w:color w:val="auto"/>
              </w:rPr>
            </w:pPr>
          </w:p>
        </w:tc>
        <w:tc>
          <w:tcPr>
            <w:tcW w:w="6700" w:type="dxa"/>
            <w:vAlign w:val="bottom"/>
          </w:tcPr>
          <w:p>
            <w:pPr>
              <w:ind w:left="40"/>
              <w:spacing w:after="0"/>
              <w:rPr>
                <w:sz w:val="20"/>
                <w:szCs w:val="20"/>
                <w:color w:val="auto"/>
              </w:rPr>
            </w:pPr>
            <w:r>
              <w:rPr>
                <w:rFonts w:ascii="Arial" w:cs="Arial" w:eastAsia="Arial" w:hAnsi="Arial"/>
                <w:sz w:val="14"/>
                <w:szCs w:val="14"/>
                <w:color w:val="auto"/>
              </w:rPr>
              <w:t>Executive Vice President and Chief Financial Officer (Principal Financial and Accounting Officer)</w:t>
            </w:r>
          </w:p>
        </w:tc>
      </w:tr>
      <w:tr>
        <w:trPr>
          <w:trHeight w:val="600"/>
        </w:trPr>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80"/>
              </w:rPr>
              <w:t>/s/</w:t>
            </w:r>
          </w:p>
        </w:tc>
        <w:tc>
          <w:tcPr>
            <w:tcW w:w="2780" w:type="dxa"/>
            <w:vAlign w:val="bottom"/>
            <w:tcBorders>
              <w:bottom w:val="single" w:sz="8" w:color="auto"/>
            </w:tcBorders>
          </w:tcPr>
          <w:p>
            <w:pPr>
              <w:jc w:val="center"/>
              <w:ind w:right="1307"/>
              <w:spacing w:after="0"/>
              <w:rPr>
                <w:sz w:val="20"/>
                <w:szCs w:val="20"/>
                <w:color w:val="auto"/>
              </w:rPr>
            </w:pPr>
            <w:r>
              <w:rPr>
                <w:rFonts w:ascii="Arial" w:cs="Arial" w:eastAsia="Arial" w:hAnsi="Arial"/>
                <w:sz w:val="14"/>
                <w:szCs w:val="14"/>
                <w:color w:val="auto"/>
              </w:rPr>
              <w:t>KIRBY A. DYESS</w:t>
            </w:r>
          </w:p>
        </w:tc>
        <w:tc>
          <w:tcPr>
            <w:tcW w:w="2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4"/>
        </w:trPr>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tcPr>
          <w:p>
            <w:pPr>
              <w:jc w:val="center"/>
              <w:ind w:right="1587"/>
              <w:spacing w:after="0"/>
              <w:rPr>
                <w:sz w:val="20"/>
                <w:szCs w:val="20"/>
                <w:color w:val="auto"/>
              </w:rPr>
            </w:pPr>
            <w:r>
              <w:rPr>
                <w:rFonts w:ascii="Arial" w:cs="Arial" w:eastAsia="Arial" w:hAnsi="Arial"/>
                <w:sz w:val="14"/>
                <w:szCs w:val="14"/>
                <w:b w:val="1"/>
                <w:bCs w:val="1"/>
                <w:color w:val="auto"/>
                <w:w w:val="93"/>
              </w:rPr>
              <w:t>Kirby A. Dyess</w:t>
            </w:r>
          </w:p>
        </w:tc>
        <w:tc>
          <w:tcPr>
            <w:tcW w:w="220" w:type="dxa"/>
            <w:vAlign w:val="bottom"/>
          </w:tcPr>
          <w:p>
            <w:pPr>
              <w:spacing w:after="0"/>
              <w:rPr>
                <w:sz w:val="21"/>
                <w:szCs w:val="21"/>
                <w:color w:val="auto"/>
              </w:rPr>
            </w:pPr>
          </w:p>
        </w:tc>
        <w:tc>
          <w:tcPr>
            <w:tcW w:w="6700" w:type="dxa"/>
            <w:vAlign w:val="bottom"/>
          </w:tcPr>
          <w:p>
            <w:pPr>
              <w:ind w:left="40"/>
              <w:spacing w:after="0"/>
              <w:rPr>
                <w:sz w:val="20"/>
                <w:szCs w:val="20"/>
                <w:color w:val="auto"/>
              </w:rPr>
            </w:pPr>
            <w:r>
              <w:rPr>
                <w:rFonts w:ascii="Arial" w:cs="Arial" w:eastAsia="Arial" w:hAnsi="Arial"/>
                <w:sz w:val="14"/>
                <w:szCs w:val="14"/>
                <w:color w:val="auto"/>
              </w:rPr>
              <w:t>Director</w:t>
            </w:r>
          </w:p>
        </w:tc>
      </w:tr>
      <w:tr>
        <w:trPr>
          <w:trHeight w:val="600"/>
        </w:trPr>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80"/>
              </w:rPr>
              <w:t>/s/</w:t>
            </w:r>
          </w:p>
        </w:tc>
        <w:tc>
          <w:tcPr>
            <w:tcW w:w="2780" w:type="dxa"/>
            <w:vAlign w:val="bottom"/>
            <w:tcBorders>
              <w:bottom w:val="single" w:sz="8" w:color="auto"/>
            </w:tcBorders>
          </w:tcPr>
          <w:p>
            <w:pPr>
              <w:jc w:val="center"/>
              <w:ind w:right="1287"/>
              <w:spacing w:after="0"/>
              <w:rPr>
                <w:sz w:val="20"/>
                <w:szCs w:val="20"/>
                <w:color w:val="auto"/>
              </w:rPr>
            </w:pPr>
            <w:r>
              <w:rPr>
                <w:rFonts w:ascii="Arial" w:cs="Arial" w:eastAsia="Arial" w:hAnsi="Arial"/>
                <w:sz w:val="14"/>
                <w:szCs w:val="14"/>
                <w:color w:val="auto"/>
                <w:w w:val="96"/>
              </w:rPr>
              <w:t>JON E. ELIASSEN</w:t>
            </w:r>
          </w:p>
        </w:tc>
        <w:tc>
          <w:tcPr>
            <w:tcW w:w="2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4"/>
        </w:trPr>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tcPr>
          <w:p>
            <w:pPr>
              <w:jc w:val="center"/>
              <w:ind w:right="1587"/>
              <w:spacing w:after="0"/>
              <w:rPr>
                <w:sz w:val="20"/>
                <w:szCs w:val="20"/>
                <w:color w:val="auto"/>
              </w:rPr>
            </w:pPr>
            <w:r>
              <w:rPr>
                <w:rFonts w:ascii="Arial" w:cs="Arial" w:eastAsia="Arial" w:hAnsi="Arial"/>
                <w:sz w:val="14"/>
                <w:szCs w:val="14"/>
                <w:b w:val="1"/>
                <w:bCs w:val="1"/>
                <w:color w:val="auto"/>
                <w:w w:val="89"/>
              </w:rPr>
              <w:t>Jon E. Eliassen</w:t>
            </w:r>
          </w:p>
        </w:tc>
        <w:tc>
          <w:tcPr>
            <w:tcW w:w="220" w:type="dxa"/>
            <w:vAlign w:val="bottom"/>
          </w:tcPr>
          <w:p>
            <w:pPr>
              <w:spacing w:after="0"/>
              <w:rPr>
                <w:sz w:val="21"/>
                <w:szCs w:val="21"/>
                <w:color w:val="auto"/>
              </w:rPr>
            </w:pPr>
          </w:p>
        </w:tc>
        <w:tc>
          <w:tcPr>
            <w:tcW w:w="6700" w:type="dxa"/>
            <w:vAlign w:val="bottom"/>
          </w:tcPr>
          <w:p>
            <w:pPr>
              <w:ind w:left="40"/>
              <w:spacing w:after="0"/>
              <w:rPr>
                <w:sz w:val="20"/>
                <w:szCs w:val="20"/>
                <w:color w:val="auto"/>
              </w:rPr>
            </w:pPr>
            <w:r>
              <w:rPr>
                <w:rFonts w:ascii="Arial" w:cs="Arial" w:eastAsia="Arial" w:hAnsi="Arial"/>
                <w:sz w:val="14"/>
                <w:szCs w:val="14"/>
                <w:color w:val="auto"/>
              </w:rPr>
              <w:t>Chairman of the Board</w:t>
            </w:r>
          </w:p>
        </w:tc>
      </w:tr>
      <w:tr>
        <w:trPr>
          <w:trHeight w:val="600"/>
        </w:trPr>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/s/</w:t>
            </w:r>
          </w:p>
        </w:tc>
        <w:tc>
          <w:tcPr>
            <w:tcW w:w="2980" w:type="dxa"/>
            <w:vAlign w:val="bottom"/>
            <w:tcBorders>
              <w:bottom w:val="single" w:sz="8" w:color="auto"/>
            </w:tcBorders>
            <w:gridSpan w:val="2"/>
          </w:tcPr>
          <w:p>
            <w:pPr>
              <w:jc w:val="center"/>
              <w:ind w:right="1087"/>
              <w:spacing w:after="0"/>
              <w:rPr>
                <w:sz w:val="20"/>
                <w:szCs w:val="20"/>
                <w:color w:val="auto"/>
              </w:rPr>
            </w:pPr>
            <w:r>
              <w:rPr>
                <w:rFonts w:ascii="Arial" w:cs="Arial" w:eastAsia="Arial" w:hAnsi="Arial"/>
                <w:sz w:val="14"/>
                <w:szCs w:val="14"/>
                <w:color w:val="auto"/>
                <w:w w:val="98"/>
              </w:rPr>
              <w:t>CHARLES H. GAYLORD, JR.</w:t>
            </w:r>
          </w:p>
        </w:tc>
        <w:tc>
          <w:tcPr>
            <w:tcW w:w="2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4"/>
        </w:trPr>
        <w:tc>
          <w:tcPr>
            <w:tcW w:w="1460" w:type="dxa"/>
            <w:vAlign w:val="bottom"/>
          </w:tcPr>
          <w:p>
            <w:pPr>
              <w:spacing w:after="0"/>
              <w:rPr>
                <w:sz w:val="21"/>
                <w:szCs w:val="21"/>
                <w:color w:val="auto"/>
              </w:rPr>
            </w:pPr>
          </w:p>
        </w:tc>
        <w:tc>
          <w:tcPr>
            <w:tcW w:w="29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Charles H. Gaylord, Jr.</w:t>
            </w:r>
          </w:p>
        </w:tc>
        <w:tc>
          <w:tcPr>
            <w:tcW w:w="220" w:type="dxa"/>
            <w:vAlign w:val="bottom"/>
          </w:tcPr>
          <w:p>
            <w:pPr>
              <w:spacing w:after="0"/>
              <w:rPr>
                <w:sz w:val="21"/>
                <w:szCs w:val="21"/>
                <w:color w:val="auto"/>
              </w:rPr>
            </w:pPr>
          </w:p>
        </w:tc>
        <w:tc>
          <w:tcPr>
            <w:tcW w:w="6700" w:type="dxa"/>
            <w:vAlign w:val="bottom"/>
          </w:tcPr>
          <w:p>
            <w:pPr>
              <w:ind w:left="40"/>
              <w:spacing w:after="0"/>
              <w:rPr>
                <w:sz w:val="20"/>
                <w:szCs w:val="20"/>
                <w:color w:val="auto"/>
              </w:rPr>
            </w:pPr>
            <w:r>
              <w:rPr>
                <w:rFonts w:ascii="Arial" w:cs="Arial" w:eastAsia="Arial" w:hAnsi="Arial"/>
                <w:sz w:val="14"/>
                <w:szCs w:val="14"/>
                <w:color w:val="auto"/>
              </w:rPr>
              <w:t>Director</w:t>
            </w:r>
          </w:p>
        </w:tc>
      </w:tr>
      <w:tr>
        <w:trPr>
          <w:trHeight w:val="600"/>
        </w:trPr>
        <w:tc>
          <w:tcPr>
            <w:tcW w:w="44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color w:val="auto"/>
              </w:rPr>
              <w:t>/s/  THOMAS S. GLANVILLE</w:t>
            </w:r>
          </w:p>
        </w:tc>
        <w:tc>
          <w:tcPr>
            <w:tcW w:w="2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4"/>
        </w:trPr>
        <w:tc>
          <w:tcPr>
            <w:tcW w:w="1460" w:type="dxa"/>
            <w:vAlign w:val="bottom"/>
          </w:tcPr>
          <w:p>
            <w:pPr>
              <w:spacing w:after="0"/>
              <w:rPr>
                <w:sz w:val="21"/>
                <w:szCs w:val="21"/>
                <w:color w:val="auto"/>
              </w:rPr>
            </w:pPr>
          </w:p>
        </w:tc>
        <w:tc>
          <w:tcPr>
            <w:tcW w:w="2980" w:type="dxa"/>
            <w:vAlign w:val="bottom"/>
            <w:gridSpan w:val="2"/>
          </w:tcPr>
          <w:p>
            <w:pPr>
              <w:jc w:val="center"/>
              <w:ind w:right="1387"/>
              <w:spacing w:after="0"/>
              <w:rPr>
                <w:sz w:val="20"/>
                <w:szCs w:val="20"/>
                <w:color w:val="auto"/>
              </w:rPr>
            </w:pPr>
            <w:r>
              <w:rPr>
                <w:rFonts w:ascii="Arial" w:cs="Arial" w:eastAsia="Arial" w:hAnsi="Arial"/>
                <w:sz w:val="14"/>
                <w:szCs w:val="14"/>
                <w:b w:val="1"/>
                <w:bCs w:val="1"/>
                <w:color w:val="auto"/>
                <w:w w:val="93"/>
              </w:rPr>
              <w:t>Thomas S. Glanville</w:t>
            </w:r>
          </w:p>
        </w:tc>
        <w:tc>
          <w:tcPr>
            <w:tcW w:w="220" w:type="dxa"/>
            <w:vAlign w:val="bottom"/>
          </w:tcPr>
          <w:p>
            <w:pPr>
              <w:spacing w:after="0"/>
              <w:rPr>
                <w:sz w:val="21"/>
                <w:szCs w:val="21"/>
                <w:color w:val="auto"/>
              </w:rPr>
            </w:pPr>
          </w:p>
        </w:tc>
        <w:tc>
          <w:tcPr>
            <w:tcW w:w="6700" w:type="dxa"/>
            <w:vAlign w:val="bottom"/>
          </w:tcPr>
          <w:p>
            <w:pPr>
              <w:ind w:left="40"/>
              <w:spacing w:after="0"/>
              <w:rPr>
                <w:sz w:val="20"/>
                <w:szCs w:val="20"/>
                <w:color w:val="auto"/>
              </w:rPr>
            </w:pPr>
            <w:r>
              <w:rPr>
                <w:rFonts w:ascii="Arial" w:cs="Arial" w:eastAsia="Arial" w:hAnsi="Arial"/>
                <w:sz w:val="14"/>
                <w:szCs w:val="14"/>
                <w:color w:val="auto"/>
              </w:rPr>
              <w:t>Director</w:t>
            </w:r>
          </w:p>
        </w:tc>
      </w:tr>
      <w:tr>
        <w:trPr>
          <w:trHeight w:val="600"/>
        </w:trPr>
        <w:tc>
          <w:tcPr>
            <w:tcW w:w="146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/s/</w:t>
            </w:r>
          </w:p>
        </w:tc>
        <w:tc>
          <w:tcPr>
            <w:tcW w:w="2980" w:type="dxa"/>
            <w:vAlign w:val="bottom"/>
            <w:tcBorders>
              <w:bottom w:val="single" w:sz="8" w:color="auto"/>
            </w:tcBorders>
            <w:gridSpan w:val="2"/>
          </w:tcPr>
          <w:p>
            <w:pPr>
              <w:jc w:val="center"/>
              <w:ind w:right="1387"/>
              <w:spacing w:after="0"/>
              <w:rPr>
                <w:sz w:val="20"/>
                <w:szCs w:val="20"/>
                <w:color w:val="auto"/>
              </w:rPr>
            </w:pPr>
            <w:r>
              <w:rPr>
                <w:rFonts w:ascii="Arial" w:cs="Arial" w:eastAsia="Arial" w:hAnsi="Arial"/>
                <w:sz w:val="14"/>
                <w:szCs w:val="14"/>
                <w:color w:val="auto"/>
                <w:w w:val="99"/>
              </w:rPr>
              <w:t>SHARON L. NELSON</w:t>
            </w:r>
          </w:p>
        </w:tc>
        <w:tc>
          <w:tcPr>
            <w:tcW w:w="2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4"/>
        </w:trPr>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tcPr>
          <w:p>
            <w:pPr>
              <w:jc w:val="center"/>
              <w:ind w:right="1567"/>
              <w:spacing w:after="0"/>
              <w:rPr>
                <w:sz w:val="20"/>
                <w:szCs w:val="20"/>
                <w:color w:val="auto"/>
              </w:rPr>
            </w:pPr>
            <w:r>
              <w:rPr>
                <w:rFonts w:ascii="Arial" w:cs="Arial" w:eastAsia="Arial" w:hAnsi="Arial"/>
                <w:sz w:val="14"/>
                <w:szCs w:val="14"/>
                <w:b w:val="1"/>
                <w:bCs w:val="1"/>
                <w:color w:val="auto"/>
                <w:w w:val="92"/>
              </w:rPr>
              <w:t>Sharon L. Nelson</w:t>
            </w:r>
          </w:p>
        </w:tc>
        <w:tc>
          <w:tcPr>
            <w:tcW w:w="220" w:type="dxa"/>
            <w:vAlign w:val="bottom"/>
          </w:tcPr>
          <w:p>
            <w:pPr>
              <w:spacing w:after="0"/>
              <w:rPr>
                <w:sz w:val="21"/>
                <w:szCs w:val="21"/>
                <w:color w:val="auto"/>
              </w:rPr>
            </w:pPr>
          </w:p>
        </w:tc>
        <w:tc>
          <w:tcPr>
            <w:tcW w:w="6700" w:type="dxa"/>
            <w:vAlign w:val="bottom"/>
          </w:tcPr>
          <w:p>
            <w:pPr>
              <w:ind w:left="40"/>
              <w:spacing w:after="0"/>
              <w:rPr>
                <w:sz w:val="20"/>
                <w:szCs w:val="20"/>
                <w:color w:val="auto"/>
              </w:rPr>
            </w:pPr>
            <w:r>
              <w:rPr>
                <w:rFonts w:ascii="Arial" w:cs="Arial" w:eastAsia="Arial" w:hAnsi="Arial"/>
                <w:sz w:val="14"/>
                <w:szCs w:val="14"/>
                <w:color w:val="auto"/>
              </w:rPr>
              <w:t>Director</w:t>
            </w:r>
          </w:p>
        </w:tc>
      </w:tr>
      <w:tr>
        <w:trPr>
          <w:trHeight w:val="600"/>
        </w:trPr>
        <w:tc>
          <w:tcPr>
            <w:tcW w:w="1460" w:type="dxa"/>
            <w:vAlign w:val="bottom"/>
            <w:tcBorders>
              <w:bottom w:val="single" w:sz="8" w:color="auto"/>
            </w:tcBorders>
          </w:tcPr>
          <w:p>
            <w:pPr>
              <w:ind w:left="1320"/>
              <w:spacing w:after="0"/>
              <w:rPr>
                <w:sz w:val="20"/>
                <w:szCs w:val="20"/>
                <w:color w:val="auto"/>
              </w:rPr>
            </w:pPr>
            <w:r>
              <w:rPr>
                <w:rFonts w:ascii="Arial" w:cs="Arial" w:eastAsia="Arial" w:hAnsi="Arial"/>
                <w:sz w:val="14"/>
                <w:szCs w:val="14"/>
                <w:color w:val="auto"/>
                <w:w w:val="80"/>
              </w:rPr>
              <w:t>/s/</w:t>
            </w:r>
          </w:p>
        </w:tc>
        <w:tc>
          <w:tcPr>
            <w:tcW w:w="2980" w:type="dxa"/>
            <w:vAlign w:val="bottom"/>
            <w:tcBorders>
              <w:bottom w:val="single" w:sz="8" w:color="auto"/>
            </w:tcBorders>
            <w:gridSpan w:val="2"/>
          </w:tcPr>
          <w:p>
            <w:pPr>
              <w:jc w:val="center"/>
              <w:ind w:right="1387"/>
              <w:spacing w:after="0"/>
              <w:rPr>
                <w:sz w:val="20"/>
                <w:szCs w:val="20"/>
                <w:color w:val="auto"/>
              </w:rPr>
            </w:pPr>
            <w:r>
              <w:rPr>
                <w:rFonts w:ascii="Arial" w:cs="Arial" w:eastAsia="Arial" w:hAnsi="Arial"/>
                <w:sz w:val="14"/>
                <w:szCs w:val="14"/>
                <w:color w:val="auto"/>
              </w:rPr>
              <w:t>MICHAEL V. PULLI</w:t>
            </w:r>
          </w:p>
        </w:tc>
        <w:tc>
          <w:tcPr>
            <w:tcW w:w="2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4"/>
        </w:trPr>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tcPr>
          <w:p>
            <w:pPr>
              <w:jc w:val="center"/>
              <w:ind w:right="1567"/>
              <w:spacing w:after="0"/>
              <w:rPr>
                <w:sz w:val="20"/>
                <w:szCs w:val="20"/>
                <w:color w:val="auto"/>
              </w:rPr>
            </w:pPr>
            <w:r>
              <w:rPr>
                <w:rFonts w:ascii="Arial" w:cs="Arial" w:eastAsia="Arial" w:hAnsi="Arial"/>
                <w:sz w:val="14"/>
                <w:szCs w:val="14"/>
                <w:b w:val="1"/>
                <w:bCs w:val="1"/>
                <w:color w:val="auto"/>
                <w:w w:val="96"/>
              </w:rPr>
              <w:t>Michael V. Pulli</w:t>
            </w:r>
          </w:p>
        </w:tc>
        <w:tc>
          <w:tcPr>
            <w:tcW w:w="220" w:type="dxa"/>
            <w:vAlign w:val="bottom"/>
          </w:tcPr>
          <w:p>
            <w:pPr>
              <w:spacing w:after="0"/>
              <w:rPr>
                <w:sz w:val="21"/>
                <w:szCs w:val="21"/>
                <w:color w:val="auto"/>
              </w:rPr>
            </w:pPr>
          </w:p>
        </w:tc>
        <w:tc>
          <w:tcPr>
            <w:tcW w:w="6700" w:type="dxa"/>
            <w:vAlign w:val="bottom"/>
          </w:tcPr>
          <w:p>
            <w:pPr>
              <w:ind w:left="40"/>
              <w:spacing w:after="0"/>
              <w:rPr>
                <w:sz w:val="20"/>
                <w:szCs w:val="20"/>
                <w:color w:val="auto"/>
              </w:rPr>
            </w:pPr>
            <w:r>
              <w:rPr>
                <w:rFonts w:ascii="Arial" w:cs="Arial" w:eastAsia="Arial" w:hAnsi="Arial"/>
                <w:sz w:val="14"/>
                <w:szCs w:val="14"/>
                <w:color w:val="auto"/>
              </w:rPr>
              <w:t>Director</w:t>
            </w:r>
          </w:p>
        </w:tc>
      </w:tr>
      <w:tr>
        <w:trPr>
          <w:trHeight w:val="600"/>
        </w:trPr>
        <w:tc>
          <w:tcPr>
            <w:tcW w:w="1660" w:type="dxa"/>
            <w:vAlign w:val="bottom"/>
            <w:tcBorders>
              <w:bottom w:val="single" w:sz="8" w:color="auto"/>
            </w:tcBorders>
            <w:gridSpan w:val="2"/>
          </w:tcPr>
          <w:p>
            <w:pPr>
              <w:ind w:left="1400"/>
              <w:spacing w:after="0"/>
              <w:rPr>
                <w:sz w:val="20"/>
                <w:szCs w:val="20"/>
                <w:color w:val="auto"/>
              </w:rPr>
            </w:pPr>
            <w:r>
              <w:rPr>
                <w:rFonts w:ascii="Arial" w:cs="Arial" w:eastAsia="Arial" w:hAnsi="Arial"/>
                <w:sz w:val="14"/>
                <w:szCs w:val="14"/>
                <w:color w:val="auto"/>
              </w:rPr>
              <w:t>/s/</w:t>
            </w:r>
          </w:p>
        </w:tc>
        <w:tc>
          <w:tcPr>
            <w:tcW w:w="2780" w:type="dxa"/>
            <w:vAlign w:val="bottom"/>
            <w:tcBorders>
              <w:bottom w:val="single" w:sz="8" w:color="auto"/>
            </w:tcBorders>
          </w:tcPr>
          <w:p>
            <w:pPr>
              <w:jc w:val="center"/>
              <w:ind w:right="1567"/>
              <w:spacing w:after="0"/>
              <w:rPr>
                <w:sz w:val="20"/>
                <w:szCs w:val="20"/>
                <w:color w:val="auto"/>
              </w:rPr>
            </w:pPr>
            <w:r>
              <w:rPr>
                <w:rFonts w:ascii="Arial" w:cs="Arial" w:eastAsia="Arial" w:hAnsi="Arial"/>
                <w:sz w:val="14"/>
                <w:szCs w:val="14"/>
                <w:color w:val="auto"/>
                <w:w w:val="98"/>
              </w:rPr>
              <w:t>GARY E. PRUITT</w:t>
            </w:r>
          </w:p>
        </w:tc>
        <w:tc>
          <w:tcPr>
            <w:tcW w:w="2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4"/>
        </w:trPr>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tcPr>
          <w:p>
            <w:pPr>
              <w:jc w:val="center"/>
              <w:ind w:right="1587"/>
              <w:spacing w:after="0"/>
              <w:rPr>
                <w:sz w:val="20"/>
                <w:szCs w:val="20"/>
                <w:color w:val="auto"/>
              </w:rPr>
            </w:pPr>
            <w:r>
              <w:rPr>
                <w:rFonts w:ascii="Arial" w:cs="Arial" w:eastAsia="Arial" w:hAnsi="Arial"/>
                <w:sz w:val="14"/>
                <w:szCs w:val="14"/>
                <w:b w:val="1"/>
                <w:bCs w:val="1"/>
                <w:color w:val="auto"/>
                <w:w w:val="98"/>
              </w:rPr>
              <w:t>Gary E. Pruitt</w:t>
            </w:r>
          </w:p>
        </w:tc>
        <w:tc>
          <w:tcPr>
            <w:tcW w:w="220" w:type="dxa"/>
            <w:vAlign w:val="bottom"/>
          </w:tcPr>
          <w:p>
            <w:pPr>
              <w:spacing w:after="0"/>
              <w:rPr>
                <w:sz w:val="21"/>
                <w:szCs w:val="21"/>
                <w:color w:val="auto"/>
              </w:rPr>
            </w:pPr>
          </w:p>
        </w:tc>
        <w:tc>
          <w:tcPr>
            <w:tcW w:w="6700" w:type="dxa"/>
            <w:vAlign w:val="bottom"/>
          </w:tcPr>
          <w:p>
            <w:pPr>
              <w:ind w:left="40"/>
              <w:spacing w:after="0"/>
              <w:rPr>
                <w:sz w:val="20"/>
                <w:szCs w:val="20"/>
                <w:color w:val="auto"/>
              </w:rPr>
            </w:pPr>
            <w:r>
              <w:rPr>
                <w:rFonts w:ascii="Arial" w:cs="Arial" w:eastAsia="Arial" w:hAnsi="Arial"/>
                <w:sz w:val="14"/>
                <w:szCs w:val="14"/>
                <w:color w:val="auto"/>
              </w:rPr>
              <w:t>Director</w:t>
            </w:r>
          </w:p>
        </w:tc>
      </w:tr>
      <w:tr>
        <w:trPr>
          <w:trHeight w:val="600"/>
        </w:trPr>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/s/</w:t>
            </w:r>
          </w:p>
        </w:tc>
        <w:tc>
          <w:tcPr>
            <w:tcW w:w="2980" w:type="dxa"/>
            <w:vAlign w:val="bottom"/>
            <w:tcBorders>
              <w:bottom w:val="single" w:sz="8" w:color="auto"/>
            </w:tcBorders>
            <w:gridSpan w:val="2"/>
          </w:tcPr>
          <w:p>
            <w:pPr>
              <w:jc w:val="center"/>
              <w:ind w:right="1387"/>
              <w:spacing w:after="0"/>
              <w:rPr>
                <w:sz w:val="20"/>
                <w:szCs w:val="20"/>
                <w:color w:val="auto"/>
              </w:rPr>
            </w:pPr>
            <w:r>
              <w:rPr>
                <w:rFonts w:ascii="Arial" w:cs="Arial" w:eastAsia="Arial" w:hAnsi="Arial"/>
                <w:sz w:val="14"/>
                <w:szCs w:val="14"/>
                <w:color w:val="auto"/>
              </w:rPr>
              <w:t>GRAHAM M. WILSON</w:t>
            </w:r>
          </w:p>
        </w:tc>
        <w:tc>
          <w:tcPr>
            <w:tcW w:w="2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4"/>
        </w:trPr>
        <w:tc>
          <w:tcPr>
            <w:tcW w:w="1460" w:type="dxa"/>
            <w:vAlign w:val="bottom"/>
          </w:tcPr>
          <w:p>
            <w:pPr>
              <w:spacing w:after="0"/>
              <w:rPr>
                <w:sz w:val="21"/>
                <w:szCs w:val="21"/>
                <w:color w:val="auto"/>
              </w:rPr>
            </w:pPr>
          </w:p>
        </w:tc>
        <w:tc>
          <w:tcPr>
            <w:tcW w:w="2980" w:type="dxa"/>
            <w:vAlign w:val="bottom"/>
            <w:gridSpan w:val="2"/>
          </w:tcPr>
          <w:p>
            <w:pPr>
              <w:jc w:val="center"/>
              <w:ind w:right="1387"/>
              <w:spacing w:after="0"/>
              <w:rPr>
                <w:sz w:val="20"/>
                <w:szCs w:val="20"/>
                <w:color w:val="auto"/>
              </w:rPr>
            </w:pPr>
            <w:r>
              <w:rPr>
                <w:rFonts w:ascii="Arial" w:cs="Arial" w:eastAsia="Arial" w:hAnsi="Arial"/>
                <w:sz w:val="14"/>
                <w:szCs w:val="14"/>
                <w:b w:val="1"/>
                <w:bCs w:val="1"/>
                <w:color w:val="auto"/>
                <w:w w:val="98"/>
              </w:rPr>
              <w:t>Graham M. Wilson</w:t>
            </w:r>
          </w:p>
        </w:tc>
        <w:tc>
          <w:tcPr>
            <w:tcW w:w="220" w:type="dxa"/>
            <w:vAlign w:val="bottom"/>
          </w:tcPr>
          <w:p>
            <w:pPr>
              <w:spacing w:after="0"/>
              <w:rPr>
                <w:sz w:val="21"/>
                <w:szCs w:val="21"/>
                <w:color w:val="auto"/>
              </w:rPr>
            </w:pPr>
          </w:p>
        </w:tc>
        <w:tc>
          <w:tcPr>
            <w:tcW w:w="6700" w:type="dxa"/>
            <w:vAlign w:val="bottom"/>
          </w:tcPr>
          <w:p>
            <w:pPr>
              <w:ind w:left="40"/>
              <w:spacing w:after="0"/>
              <w:rPr>
                <w:sz w:val="20"/>
                <w:szCs w:val="20"/>
                <w:color w:val="auto"/>
              </w:rPr>
            </w:pPr>
            <w:r>
              <w:rPr>
                <w:rFonts w:ascii="Arial" w:cs="Arial" w:eastAsia="Arial" w:hAnsi="Arial"/>
                <w:sz w:val="14"/>
                <w:szCs w:val="14"/>
                <w:color w:val="auto"/>
              </w:rPr>
              <w:t>Director</w:t>
            </w:r>
          </w:p>
        </w:tc>
      </w:tr>
      <w:tr>
        <w:trPr>
          <w:trHeight w:val="600"/>
        </w:trPr>
        <w:tc>
          <w:tcPr>
            <w:tcW w:w="14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w w:val="94"/>
              </w:rPr>
              <w:t>/s/</w:t>
            </w:r>
          </w:p>
        </w:tc>
        <w:tc>
          <w:tcPr>
            <w:tcW w:w="2980" w:type="dxa"/>
            <w:vAlign w:val="bottom"/>
            <w:tcBorders>
              <w:bottom w:val="single" w:sz="8" w:color="auto"/>
            </w:tcBorders>
            <w:gridSpan w:val="2"/>
          </w:tcPr>
          <w:p>
            <w:pPr>
              <w:jc w:val="center"/>
              <w:ind w:right="1387"/>
              <w:spacing w:after="0"/>
              <w:rPr>
                <w:sz w:val="20"/>
                <w:szCs w:val="20"/>
                <w:color w:val="auto"/>
              </w:rPr>
            </w:pPr>
            <w:r>
              <w:rPr>
                <w:rFonts w:ascii="Arial" w:cs="Arial" w:eastAsia="Arial" w:hAnsi="Arial"/>
                <w:sz w:val="14"/>
                <w:szCs w:val="14"/>
                <w:color w:val="auto"/>
              </w:rPr>
              <w:t>LYNDA L. ZIEGLER</w:t>
            </w:r>
          </w:p>
        </w:tc>
        <w:tc>
          <w:tcPr>
            <w:tcW w:w="2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4"/>
        </w:trPr>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tcPr>
          <w:p>
            <w:pPr>
              <w:jc w:val="center"/>
              <w:ind w:right="1587"/>
              <w:spacing w:after="0"/>
              <w:rPr>
                <w:sz w:val="20"/>
                <w:szCs w:val="20"/>
                <w:color w:val="auto"/>
              </w:rPr>
            </w:pPr>
            <w:r>
              <w:rPr>
                <w:rFonts w:ascii="Arial" w:cs="Arial" w:eastAsia="Arial" w:hAnsi="Arial"/>
                <w:sz w:val="14"/>
                <w:szCs w:val="14"/>
                <w:b w:val="1"/>
                <w:bCs w:val="1"/>
                <w:color w:val="auto"/>
                <w:w w:val="96"/>
              </w:rPr>
              <w:t>Lynda L. Ziegler</w:t>
            </w:r>
          </w:p>
        </w:tc>
        <w:tc>
          <w:tcPr>
            <w:tcW w:w="220" w:type="dxa"/>
            <w:vAlign w:val="bottom"/>
          </w:tcPr>
          <w:p>
            <w:pPr>
              <w:spacing w:after="0"/>
              <w:rPr>
                <w:sz w:val="21"/>
                <w:szCs w:val="21"/>
                <w:color w:val="auto"/>
              </w:rPr>
            </w:pPr>
          </w:p>
        </w:tc>
        <w:tc>
          <w:tcPr>
            <w:tcW w:w="6700" w:type="dxa"/>
            <w:vAlign w:val="bottom"/>
          </w:tcPr>
          <w:p>
            <w:pPr>
              <w:ind w:left="40"/>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5" w:right="23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669"/>
        </w:trPr>
        <w:tc>
          <w:tcPr>
            <w:tcW w:w="5980" w:type="dxa"/>
            <w:vAlign w:val="bottom"/>
            <w:gridSpan w:val="5"/>
          </w:tcPr>
          <w:p>
            <w:pPr>
              <w:spacing w:after="0"/>
              <w:rPr>
                <w:sz w:val="20"/>
                <w:szCs w:val="20"/>
                <w:color w:val="auto"/>
              </w:rPr>
            </w:pPr>
            <w:r>
              <w:rPr>
                <w:rFonts w:ascii="Arial" w:cs="Arial" w:eastAsia="Arial" w:hAnsi="Arial"/>
                <w:sz w:val="18"/>
                <w:szCs w:val="18"/>
                <w:b w:val="1"/>
                <w:bCs w:val="1"/>
                <w:color w:val="auto"/>
              </w:rPr>
              <w:t>SCHEDULE II:  VALUATION AND QUALIFYING ACCOUNTS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49"/>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Balance at</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Additions</w:t>
            </w:r>
          </w:p>
        </w:tc>
        <w:tc>
          <w:tcPr>
            <w:tcW w:w="2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Beginning of</w:t>
            </w:r>
          </w:p>
        </w:tc>
        <w:tc>
          <w:tcPr>
            <w:tcW w:w="28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Charged to Costs</w:t>
            </w:r>
          </w:p>
        </w:tc>
        <w:tc>
          <w:tcPr>
            <w:tcW w:w="2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End of Period,</w:t>
            </w:r>
          </w:p>
        </w:tc>
      </w:tr>
      <w:tr>
        <w:trPr>
          <w:trHeight w:val="234"/>
        </w:trPr>
        <w:tc>
          <w:tcPr>
            <w:tcW w:w="4460" w:type="dxa"/>
            <w:vAlign w:val="bottom"/>
            <w:gridSpan w:val="3"/>
          </w:tcPr>
          <w:p>
            <w:pPr>
              <w:ind w:left="4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Period</w:t>
            </w:r>
          </w:p>
        </w:tc>
        <w:tc>
          <w:tcPr>
            <w:tcW w:w="28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Adjustments</w:t>
            </w:r>
          </w:p>
        </w:tc>
        <w:tc>
          <w:tcPr>
            <w:tcW w:w="24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and Expenses</w:t>
            </w:r>
          </w:p>
        </w:tc>
        <w:tc>
          <w:tcPr>
            <w:tcW w:w="24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Noncurrent</w:t>
            </w:r>
          </w:p>
        </w:tc>
      </w:tr>
      <w:tr>
        <w:trPr>
          <w:trHeight w:val="27"/>
        </w:trPr>
        <w:tc>
          <w:tcPr>
            <w:tcW w:w="12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4460" w:type="dxa"/>
            <w:vAlign w:val="bottom"/>
            <w:gridSpan w:val="3"/>
          </w:tcPr>
          <w:p>
            <w:pPr>
              <w:ind w:left="80"/>
              <w:spacing w:after="0"/>
              <w:rPr>
                <w:sz w:val="20"/>
                <w:szCs w:val="20"/>
                <w:color w:val="auto"/>
              </w:rPr>
            </w:pPr>
            <w:r>
              <w:rPr>
                <w:rFonts w:ascii="Arial" w:cs="Arial" w:eastAsia="Arial" w:hAnsi="Arial"/>
                <w:sz w:val="18"/>
                <w:szCs w:val="18"/>
                <w:i w:val="1"/>
                <w:iCs w:val="1"/>
                <w:color w:val="auto"/>
              </w:rPr>
              <w:t>Year ended December 31, 2013:</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Deferred tax assets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138,910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161,026</w:t>
            </w:r>
          </w:p>
        </w:tc>
      </w:tr>
      <w:tr>
        <w:trPr>
          <w:trHeight w:val="243"/>
        </w:trPr>
        <w:tc>
          <w:tcPr>
            <w:tcW w:w="4460" w:type="dxa"/>
            <w:vAlign w:val="bottom"/>
            <w:gridSpan w:val="3"/>
          </w:tcPr>
          <w:p>
            <w:pPr>
              <w:ind w:left="80"/>
              <w:spacing w:after="0"/>
              <w:rPr>
                <w:sz w:val="20"/>
                <w:szCs w:val="20"/>
                <w:color w:val="auto"/>
              </w:rPr>
            </w:pPr>
            <w:r>
              <w:rPr>
                <w:rFonts w:ascii="Arial" w:cs="Arial" w:eastAsia="Arial" w:hAnsi="Arial"/>
                <w:sz w:val="18"/>
                <w:szCs w:val="18"/>
                <w:i w:val="1"/>
                <w:iCs w:val="1"/>
                <w:color w:val="auto"/>
              </w:rPr>
              <w:t>Year ended December 31, 2012:</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Deferred tax assets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124,244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138,910</w:t>
            </w:r>
          </w:p>
        </w:tc>
      </w:tr>
      <w:tr>
        <w:trPr>
          <w:trHeight w:val="243"/>
        </w:trPr>
        <w:tc>
          <w:tcPr>
            <w:tcW w:w="4460" w:type="dxa"/>
            <w:vAlign w:val="bottom"/>
            <w:gridSpan w:val="3"/>
          </w:tcPr>
          <w:p>
            <w:pPr>
              <w:ind w:left="80"/>
              <w:spacing w:after="0"/>
              <w:rPr>
                <w:sz w:val="20"/>
                <w:szCs w:val="20"/>
                <w:color w:val="auto"/>
              </w:rPr>
            </w:pPr>
            <w:r>
              <w:rPr>
                <w:rFonts w:ascii="Arial" w:cs="Arial" w:eastAsia="Arial" w:hAnsi="Arial"/>
                <w:sz w:val="18"/>
                <w:szCs w:val="18"/>
                <w:i w:val="1"/>
                <w:iCs w:val="1"/>
                <w:color w:val="auto"/>
              </w:rPr>
              <w:t>Year ended December 31, 2011:</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Deferred tax assets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115,138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124,244</w:t>
            </w:r>
          </w:p>
        </w:tc>
      </w:tr>
      <w:tr>
        <w:trPr>
          <w:trHeight w:val="675"/>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780"/>
          </w:cols>
          <w:pgMar w:left="240" w:top="108" w:right="87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Richard B. Christensen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J.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 C. Cadieux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de Vere White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J.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Holleran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Byron Jackson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Phillip Le Bris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Chuck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Pontin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Marcel Regnier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 P. Serff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Shannon M. Votava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right="140" w:hanging="204"/>
        <w:spacing w:after="0" w:line="277"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Regnier's change in control agreement includes a modification relating to French laws (Filed as Exhibit 10.2 to Itron, Inc.’s Current Report on Form 8-K, filed on April 2, 2012 - File No. 0-22418)</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MariLyn R. Blair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M. Burks,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 C. Cadieux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J.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Kirby A. Dyess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E. Eliassen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H. Gaylord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Holleran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Phillip Le Bris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Chuck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Sharon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Pontin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W. 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E. Pruitt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V. Pulli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Marcel Regnier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 P. Serff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Shannon M. Votava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Whitney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M. Wilson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Lynda L. Ziegler</w:t>
      </w:r>
    </w:p>
    <w:p>
      <w:pPr>
        <w:sectPr>
          <w:pgSz w:w="11900" w:h="16838" w:orient="portrait"/>
          <w:cols w:equalWidth="0" w:num="1">
            <w:col w:w="11420"/>
          </w:cols>
          <w:pgMar w:left="240" w:top="580"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SUBSIDIARIES OF THE REGISTRANT AT DECEMBER 31, 2013</w:t>
            </w:r>
          </w:p>
        </w:tc>
        <w:tc>
          <w:tcPr>
            <w:tcW w:w="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w w:val="91"/>
              </w:rPr>
              <w:t>Exhibit 21.1</w:t>
            </w:r>
          </w:p>
        </w:tc>
      </w:tr>
      <w:tr>
        <w:trPr>
          <w:trHeight w:val="554"/>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Itron, Inc. Domestic Subsidiaries</w:t>
            </w:r>
          </w:p>
        </w:tc>
        <w:tc>
          <w:tcPr>
            <w:tcW w:w="35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of Incorporation</w:t>
            </w:r>
          </w:p>
        </w:tc>
        <w:tc>
          <w:tcPr>
            <w:tcW w:w="2800" w:type="dxa"/>
            <w:vAlign w:val="bottom"/>
            <w:gridSpan w:val="2"/>
          </w:tcPr>
          <w:p>
            <w:pPr>
              <w:spacing w:after="0"/>
              <w:rPr>
                <w:sz w:val="24"/>
                <w:szCs w:val="24"/>
                <w:color w:val="auto"/>
              </w:rPr>
            </w:pPr>
          </w:p>
        </w:tc>
      </w:tr>
      <w:tr>
        <w:trPr>
          <w:trHeight w:val="291"/>
        </w:trPr>
        <w:tc>
          <w:tcPr>
            <w:tcW w:w="6060" w:type="dxa"/>
            <w:vAlign w:val="bottom"/>
            <w:gridSpan w:val="3"/>
          </w:tcPr>
          <w:p>
            <w:pPr>
              <w:spacing w:after="0"/>
              <w:rPr>
                <w:sz w:val="20"/>
                <w:szCs w:val="20"/>
                <w:color w:val="auto"/>
              </w:rPr>
            </w:pPr>
            <w:r>
              <w:rPr>
                <w:rFonts w:ascii="Arial" w:cs="Arial" w:eastAsia="Arial" w:hAnsi="Arial"/>
                <w:sz w:val="18"/>
                <w:szCs w:val="18"/>
                <w:color w:val="auto"/>
              </w:rPr>
              <w:t>Itron International, Inc.</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US Gas LLC</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Brazil I, LLC</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Washington</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Brazil II, LLC</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Washington</w:t>
            </w:r>
          </w:p>
        </w:tc>
      </w:tr>
      <w:tr>
        <w:trPr>
          <w:trHeight w:val="55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5300" w:type="dxa"/>
            <w:vAlign w:val="bottom"/>
            <w:gridSpan w:val="4"/>
          </w:tcPr>
          <w:p>
            <w:pPr>
              <w:ind w:left="78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91"/>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Itron Argentina S.A.</w:t>
            </w:r>
          </w:p>
        </w:tc>
        <w:tc>
          <w:tcPr>
            <w:tcW w:w="3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Argentina</w:t>
            </w:r>
          </w:p>
        </w:tc>
        <w:tc>
          <w:tcPr>
            <w:tcW w:w="1000" w:type="dxa"/>
            <w:vAlign w:val="bottom"/>
          </w:tcPr>
          <w:p>
            <w:pPr>
              <w:spacing w:after="0"/>
              <w:rPr>
                <w:sz w:val="24"/>
                <w:szCs w:val="24"/>
                <w:color w:val="auto"/>
              </w:rPr>
            </w:pP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Itron-Australasia Pty Limited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Australia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Austria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Austria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Holding Belgium SPRL</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Belgium</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Management Services SA</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Belgium</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Contigea SA</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Belgium</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Sistemas e Tecnologia Ltda</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Brazil</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Soluções para Energia e Àgua Ltda.</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Brazil</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China Gas Holding Co. Ltd. (J.V. Majority)</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British Virgin Islands</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Canada, Inc.</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Canada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Compañía Chilena de Medición S.A.</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Chile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Metering Systems (Chongqing) Co., Ltd. (J.V. Majority)</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China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Metering Solutions (Suzhou) Co., Ltd.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China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Metering Systems (Suzhou) Co., Ltd.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China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Czech Republic s.r.o.</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Czech Republic</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Asais</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France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Asais Conseil</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France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France S.A.S.</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France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Holding France S.A.S.</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France</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Holding Germany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Zähler &amp; Systemtechnik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Unterstutzungskasse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Allmess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Unterstutzungseinrichtung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SEWA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Thielmann Energietechnik GmbH</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Germany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Holding Hungary</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Hungary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Ganz Meter Company Ltd.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Hungary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India Private Limited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India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Metering Solutions India Private Limited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India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PT Mecoindo (J.V.)</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Indonesia</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Management Services Ireland, Limited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Ireland</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Italia SpA</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Italy</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Japan Co., Ltd.</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Japan</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Metering Solutions Luxembourg</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Luxembourg</w:t>
            </w:r>
          </w:p>
        </w:tc>
      </w:tr>
      <w:tr>
        <w:trPr>
          <w:trHeight w:val="270"/>
        </w:trPr>
        <w:tc>
          <w:tcPr>
            <w:tcW w:w="6060" w:type="dxa"/>
            <w:vAlign w:val="bottom"/>
            <w:gridSpan w:val="3"/>
          </w:tcPr>
          <w:p>
            <w:pPr>
              <w:spacing w:after="0"/>
              <w:rPr>
                <w:sz w:val="20"/>
                <w:szCs w:val="20"/>
                <w:color w:val="auto"/>
              </w:rPr>
            </w:pPr>
            <w:r>
              <w:rPr>
                <w:rFonts w:ascii="Arial" w:cs="Arial" w:eastAsia="Arial" w:hAnsi="Arial"/>
                <w:sz w:val="18"/>
                <w:szCs w:val="18"/>
                <w:color w:val="auto"/>
              </w:rPr>
              <w:t>Itron Luxembourg</w:t>
            </w:r>
          </w:p>
        </w:tc>
        <w:tc>
          <w:tcPr>
            <w:tcW w:w="5300" w:type="dxa"/>
            <w:vAlign w:val="bottom"/>
            <w:gridSpan w:val="4"/>
          </w:tcPr>
          <w:p>
            <w:pPr>
              <w:ind w:left="780"/>
              <w:spacing w:after="0"/>
              <w:rPr>
                <w:sz w:val="20"/>
                <w:szCs w:val="20"/>
                <w:color w:val="auto"/>
              </w:rPr>
            </w:pPr>
            <w:r>
              <w:rPr>
                <w:rFonts w:ascii="Arial" w:cs="Arial" w:eastAsia="Arial" w:hAnsi="Arial"/>
                <w:sz w:val="18"/>
                <w:szCs w:val="18"/>
                <w:color w:val="auto"/>
              </w:rPr>
              <w:t>Luxembourg</w:t>
            </w:r>
          </w:p>
        </w:tc>
      </w:tr>
    </w:tbl>
    <w:p>
      <w:pPr>
        <w:sectPr>
          <w:pgSz w:w="11900" w:h="16838" w:orient="portrait"/>
          <w:cols w:equalWidth="0" w:num="1">
            <w:col w:w="11360"/>
          </w:cols>
          <w:pgMar w:left="280" w:top="742" w:right="25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4220" w:type="dxa"/>
            <w:vAlign w:val="bottom"/>
            <w:gridSpan w:val="2"/>
          </w:tcPr>
          <w:p>
            <w:pPr>
              <w:ind w:left="70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0"/>
        </w:trPr>
        <w:tc>
          <w:tcPr>
            <w:tcW w:w="28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91"/>
        </w:trPr>
        <w:tc>
          <w:tcPr>
            <w:tcW w:w="6140" w:type="dxa"/>
            <w:vAlign w:val="bottom"/>
            <w:gridSpan w:val="2"/>
          </w:tcPr>
          <w:p>
            <w:pPr>
              <w:spacing w:after="0"/>
              <w:rPr>
                <w:sz w:val="20"/>
                <w:szCs w:val="20"/>
                <w:color w:val="auto"/>
              </w:rPr>
            </w:pPr>
            <w:r>
              <w:rPr>
                <w:rFonts w:ascii="Arial" w:cs="Arial" w:eastAsia="Arial" w:hAnsi="Arial"/>
                <w:sz w:val="18"/>
                <w:szCs w:val="18"/>
                <w:color w:val="auto"/>
              </w:rPr>
              <w:t>Metertek Sdn Bhd (J.V. 100% indirectly owned)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Malaysia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Servicios, S.A. de C.V.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Mexico</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Distribución S.A. de C.V.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Mexico</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Inal-Industria Nacional de Precisão Limitada (J.V.)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Mozambique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Nederland B.V.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Netherlands</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Polska SP ZOO</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Poland</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Portugal, Unipessoal,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Imobiliaria, Unipessoal,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Sistemas de Medição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Ricont - Empresa de Reparação e Instalação de Contadores,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Middle East LLC</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Qatar</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Measurement and Systems (Proprietary) Limited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Republic of South Africa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Solutions South Africa (Proprietary) Limited (J.V. Majority)</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Republic of South Africa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LLC</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Russia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Arabian Metering Company</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Saudi Arabia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Systems Singapore Pte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Singapore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Spain SLU</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Sweden AB</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Sweden</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Switzerland S.A.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Switzerland</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Ukraine</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Ukraine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Ukrgas Meters Company (J.V. Majority)</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Ukraine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Solutions UK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United Kingdom</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Development UK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360"/>
          </w:cols>
          <w:pgMar w:left="280" w:top="729" w:right="12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500" w:hanging="249"/>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333-04685) pertaining to the Itron, Inc. 1996 Employee Stock Purchase Plan,</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333-28933) pertaining to the Itron, Inc. 1989 Restated Stock Option Plan,</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333-63147) pertaining to the Itron, Inc. 1996 Employee Stock Purchase Plan,</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333-81925) pertaining to the Itron, Inc. 1996 Employee Stock Purchase Plan,</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333-86581) pertaining to the Nonqualified Stock Option Letter Agreement,</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333-40356) pertaining to the Itron, Inc. 2000 Stock Incentive Compensation Plan,</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333-89966) pertaining to the Itron, Inc. 2002 Employee Stock Purchase Plan,</w:t>
      </w:r>
    </w:p>
    <w:p>
      <w:pPr>
        <w:spacing w:after="0" w:line="225" w:lineRule="exact"/>
        <w:rPr>
          <w:rFonts w:ascii="Arial" w:cs="Arial" w:eastAsia="Arial" w:hAnsi="Arial"/>
          <w:sz w:val="18"/>
          <w:szCs w:val="18"/>
          <w:color w:val="auto"/>
        </w:rPr>
      </w:pPr>
    </w:p>
    <w:p>
      <w:pPr>
        <w:ind w:left="500" w:hanging="249"/>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333-97571) pertaining to the Itron, Inc. Amended and Restated 2000 Stock Incentive Plan,</w:t>
      </w:r>
    </w:p>
    <w:p>
      <w:pPr>
        <w:spacing w:after="0" w:line="252" w:lineRule="exact"/>
        <w:rPr>
          <w:rFonts w:ascii="Arial" w:cs="Arial" w:eastAsia="Arial" w:hAnsi="Arial"/>
          <w:sz w:val="18"/>
          <w:szCs w:val="18"/>
          <w:color w:val="auto"/>
        </w:rPr>
      </w:pPr>
    </w:p>
    <w:p>
      <w:pPr>
        <w:ind w:left="500" w:hanging="249"/>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333-110703) pertaining to the Itron, Inc. Incentive Savings Plan,</w:t>
      </w:r>
    </w:p>
    <w:p>
      <w:pPr>
        <w:spacing w:after="0" w:line="238" w:lineRule="exact"/>
        <w:rPr>
          <w:rFonts w:ascii="Arial" w:cs="Arial" w:eastAsia="Arial" w:hAnsi="Arial"/>
          <w:sz w:val="18"/>
          <w:szCs w:val="18"/>
          <w:color w:val="auto"/>
        </w:rPr>
      </w:pPr>
    </w:p>
    <w:p>
      <w:pPr>
        <w:ind w:left="600" w:hanging="349"/>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333-115987) pertaining to the Itron, Inc. Amended and Restated 2000 Stock Incentive Plan,</w:t>
      </w:r>
    </w:p>
    <w:p>
      <w:pPr>
        <w:spacing w:after="0" w:line="225" w:lineRule="exact"/>
        <w:rPr>
          <w:rFonts w:ascii="Arial" w:cs="Arial" w:eastAsia="Arial" w:hAnsi="Arial"/>
          <w:sz w:val="18"/>
          <w:szCs w:val="18"/>
          <w:color w:val="auto"/>
        </w:rPr>
      </w:pPr>
    </w:p>
    <w:p>
      <w:pPr>
        <w:ind w:left="500" w:right="100" w:hanging="249"/>
        <w:spacing w:after="0" w:line="277" w:lineRule="auto"/>
        <w:tabs>
          <w:tab w:leader="none" w:pos="5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333-125461) pertaining to the Itron, Inc. Amended and Restated 2000 Stock Incentive Plan, and the Itron, Inc. Amended and Restated 2002 Employee Stock Purchase Plan,</w:t>
      </w:r>
    </w:p>
    <w:p>
      <w:pPr>
        <w:spacing w:after="0" w:line="170" w:lineRule="exact"/>
        <w:rPr>
          <w:rFonts w:ascii="Arial" w:cs="Arial" w:eastAsia="Arial" w:hAnsi="Arial"/>
          <w:sz w:val="18"/>
          <w:szCs w:val="18"/>
          <w:color w:val="auto"/>
        </w:rPr>
      </w:pPr>
    </w:p>
    <w:p>
      <w:pPr>
        <w:ind w:left="600" w:hanging="349"/>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333-134749) pertaining to the Itron, Inc. Amended and Restated 2000 Stock Incentive Plan,</w:t>
      </w:r>
    </w:p>
    <w:p>
      <w:pPr>
        <w:spacing w:after="0" w:line="225" w:lineRule="exact"/>
        <w:rPr>
          <w:rFonts w:ascii="Arial" w:cs="Arial" w:eastAsia="Arial" w:hAnsi="Arial"/>
          <w:sz w:val="18"/>
          <w:szCs w:val="18"/>
          <w:color w:val="auto"/>
        </w:rPr>
      </w:pPr>
    </w:p>
    <w:p>
      <w:pPr>
        <w:ind w:left="600" w:hanging="349"/>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333-143048) pertaining to the Itron, Inc. Amended and Restated 2000 Stock Incentive Plan,</w:t>
      </w:r>
    </w:p>
    <w:p>
      <w:pPr>
        <w:spacing w:after="0" w:line="225" w:lineRule="exact"/>
        <w:rPr>
          <w:rFonts w:ascii="Arial" w:cs="Arial" w:eastAsia="Arial" w:hAnsi="Arial"/>
          <w:sz w:val="18"/>
          <w:szCs w:val="18"/>
          <w:color w:val="auto"/>
        </w:rPr>
      </w:pPr>
    </w:p>
    <w:p>
      <w:pPr>
        <w:ind w:left="600" w:hanging="349"/>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333-166601) pertaining to the Itron, Inc. 2010 Stock Incentive Plan,</w:t>
      </w:r>
    </w:p>
    <w:p>
      <w:pPr>
        <w:spacing w:after="0" w:line="225" w:lineRule="exact"/>
        <w:rPr>
          <w:rFonts w:ascii="Arial" w:cs="Arial" w:eastAsia="Arial" w:hAnsi="Arial"/>
          <w:sz w:val="18"/>
          <w:szCs w:val="18"/>
          <w:color w:val="auto"/>
        </w:rPr>
      </w:pPr>
    </w:p>
    <w:p>
      <w:pPr>
        <w:ind w:left="600" w:hanging="349"/>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S-3ASR No. 333-181684) of Itron, Inc. and in the related Prospectus,</w:t>
      </w:r>
    </w:p>
    <w:p>
      <w:pPr>
        <w:spacing w:after="0" w:line="225" w:lineRule="exact"/>
        <w:rPr>
          <w:rFonts w:ascii="Arial" w:cs="Arial" w:eastAsia="Arial" w:hAnsi="Arial"/>
          <w:sz w:val="18"/>
          <w:szCs w:val="18"/>
          <w:color w:val="auto"/>
        </w:rPr>
      </w:pPr>
    </w:p>
    <w:p>
      <w:pPr>
        <w:ind w:left="600" w:hanging="349"/>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333-181685) pertaining to the Itron, Inc. 2012 Employee Stock Purchase Plan, and</w:t>
      </w:r>
    </w:p>
    <w:p>
      <w:pPr>
        <w:spacing w:after="0" w:line="225" w:lineRule="exact"/>
        <w:rPr>
          <w:rFonts w:ascii="Arial" w:cs="Arial" w:eastAsia="Arial" w:hAnsi="Arial"/>
          <w:sz w:val="18"/>
          <w:szCs w:val="18"/>
          <w:color w:val="auto"/>
        </w:rPr>
      </w:pPr>
    </w:p>
    <w:p>
      <w:pPr>
        <w:ind w:left="600" w:hanging="349"/>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Registration Statement (Form S-8 No. 333-193970) pertaining to the Itron, Inc. 2010 Stock Incentive Plan;</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of our reports dated February 25, 2014, with respect to the consolidated financial statements and schedule of Itron, Inc. and the effectiveness of internal control over financial reporting of Itron, Inc. included in this Annual Report (Form 10-K) of Itron, Inc. for the year ended December 31, 2013.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2014</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080"/>
        <w:spacing w:after="0"/>
        <w:tabs>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31750</wp:posOffset>
            </wp:positionV>
            <wp:extent cx="2400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jc w:val="center"/>
        <w:ind w:left="7640"/>
        <w:spacing w:after="0"/>
        <w:rPr>
          <w:sz w:val="20"/>
          <w:szCs w:val="20"/>
          <w:color w:val="auto"/>
        </w:rPr>
      </w:pPr>
      <w:r>
        <w:rPr>
          <w:rFonts w:ascii="Arial" w:cs="Arial" w:eastAsia="Arial" w:hAnsi="Arial"/>
          <w:sz w:val="17"/>
          <w:szCs w:val="17"/>
          <w:b w:val="1"/>
          <w:bCs w:val="1"/>
          <w:color w:val="auto"/>
        </w:rPr>
        <w:t>Philip C. Mezey President and Chief Executive</w:t>
      </w:r>
    </w:p>
    <w:p>
      <w:pPr>
        <w:spacing w:after="0" w:line="39" w:lineRule="exact"/>
        <w:rPr>
          <w:sz w:val="20"/>
          <w:szCs w:val="20"/>
          <w:color w:val="auto"/>
        </w:rPr>
      </w:pPr>
    </w:p>
    <w:p>
      <w:pPr>
        <w:jc w:val="center"/>
        <w:ind w:left="7640"/>
        <w:spacing w:after="0"/>
        <w:rPr>
          <w:sz w:val="20"/>
          <w:szCs w:val="20"/>
          <w:color w:val="auto"/>
        </w:rPr>
      </w:pPr>
      <w:r>
        <w:rPr>
          <w:rFonts w:ascii="Arial" w:cs="Arial" w:eastAsia="Arial" w:hAnsi="Arial"/>
          <w:sz w:val="18"/>
          <w:szCs w:val="18"/>
          <w:b w:val="1"/>
          <w:b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2014</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8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2014</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year ended December 31, 2013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Steven M. Helmbrecht,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25, 2014</w:t>
      </w:r>
    </w:p>
    <w:p>
      <w:pPr>
        <w:spacing w:after="0" w:line="3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25, 2014</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5"/>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2"/>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Roman"/>
      <w:start w:val="1"/>
    </w:lvl>
    <w:lvl w:ilvl="1">
      <w:lvlJc w:val="left"/>
      <w:lvlText w:val="(%2)"/>
      <w:numFmt w:val="lowerLetter"/>
      <w:start w:val="1"/>
    </w:lvl>
  </w:abstractNum>
  <w:abstractNum w:abstractNumId="19">
    <w:nsid w:val="6763845E"/>
    <w:multiLevelType w:val="hybridMultilevel"/>
    <w:lvl w:ilvl="0">
      <w:lvlJc w:val="left"/>
      <w:lvlText w:val="(%1)"/>
      <w:numFmt w:val="lowerLetter"/>
      <w:start w:val="3"/>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2019-12-05T22:03:47Z</dcterms:created>
  <dcterms:modified xsi:type="dcterms:W3CDTF">2019-12-05T22:03:47Z</dcterms:modified>
</cp:coreProperties>
</file>