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5" w:lineRule="auto"/>
        <w:rPr>
          <w:sz w:val="20"/>
          <w:szCs w:val="20"/>
          <w:color w:val="auto"/>
        </w:rPr>
      </w:pPr>
      <w:r>
        <w:rPr>
          <w:rFonts w:ascii="Arial" w:cs="Arial" w:eastAsia="Arial" w:hAnsi="Arial"/>
          <w:sz w:val="22"/>
          <w:szCs w:val="22"/>
          <w:b w:val="1"/>
          <w:bCs w:val="1"/>
          <w:color w:val="auto"/>
        </w:rPr>
        <w:t>Washington, D.C. 20549</w:t>
      </w: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22860</wp:posOffset>
            </wp:positionV>
            <wp:extent cx="49891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000-22418</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302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0"/>
              </w:rPr>
              <w:t>(State or Other Jurisdiction</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93"/>
              </w:rPr>
              <w:t>of Incorporation)</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Arial" w:cs="Arial" w:eastAsia="Arial" w:hAnsi="Arial"/>
                <w:sz w:val="18"/>
                <w:szCs w:val="18"/>
                <w:color w:val="auto"/>
                <w:w w:val="94"/>
              </w:rPr>
              <w:t>File Number)</w:t>
            </w:r>
          </w:p>
        </w:tc>
        <w:tc>
          <w:tcPr>
            <w:tcW w:w="286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2"/>
              </w:rPr>
              <w:t>2111 N. Molter Road, Liberty Lake, Washington 99019</w:t>
            </w: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color w:val="auto"/>
                <w:w w:val="92"/>
              </w:rPr>
              <w:t>(Address of Principal Executive Offices, Zip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0"/>
              </w:rPr>
              <w:t>(509) 924-9900</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color w:val="auto"/>
                <w:w w:val="90"/>
              </w:rPr>
              <w:t>(Registrant's Telephone Number, Including Area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53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860" w:type="dxa"/>
            <w:vAlign w:val="bottom"/>
          </w:tcPr>
          <w:p>
            <w:pPr>
              <w:spacing w:after="0"/>
              <w:rPr>
                <w:sz w:val="20"/>
                <w:szCs w:val="20"/>
                <w:color w:val="auto"/>
              </w:rPr>
            </w:pPr>
          </w:p>
        </w:tc>
      </w:tr>
    </w:tbl>
    <w:p>
      <w:pPr>
        <w:spacing w:after="0" w:line="200" w:lineRule="exact"/>
        <w:rPr>
          <w:sz w:val="24"/>
          <w:szCs w:val="24"/>
          <w:color w:val="auto"/>
        </w:rPr>
      </w:pPr>
    </w:p>
    <w:p>
      <w:pPr>
        <w:spacing w:after="0" w:line="25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29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rPr>
              <w:t>ITRI</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On February 28, 2022, Itron, Inc. issued a press release announcing its financial results for the three months and full year ended December 31, 2021. A copy of this press release and accompanying financial statements are attached as Exhibit 99.1.</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240"/>
          </w:cols>
          <w:pgMar w:left="320" w:top="364" w:right="339" w:bottom="1440" w:gutter="0" w:footer="0" w:header="0"/>
        </w:sectPr>
      </w:pP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9720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205" cy="17145"/>
                    </a:xfrm>
                    <a:prstGeom prst="rect">
                      <a:avLst/>
                    </a:prstGeom>
                    <a:noFill/>
                  </pic:spPr>
                </pic:pic>
              </a:graphicData>
            </a:graphic>
          </wp:anchor>
        </w:drawing>
      </w:r>
    </w:p>
    <w:p>
      <w:pPr>
        <w:spacing w:after="0" w:line="158"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5836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368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Press Release Dated February 28,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within the Inline XBRL document)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*This exhibit is intended to be furnished and shall not be deemed "filed" for purposes of the Exchange Act.</w:t>
      </w:r>
    </w:p>
    <w:p>
      <w:pPr>
        <w:spacing w:after="0" w:line="200" w:lineRule="exact"/>
        <w:rPr>
          <w:sz w:val="20"/>
          <w:szCs w:val="20"/>
          <w:color w:val="auto"/>
        </w:rPr>
      </w:pPr>
    </w:p>
    <w:p>
      <w:pPr>
        <w:sectPr>
          <w:pgSz w:w="11900" w:h="16838" w:orient="portrait"/>
          <w:cols w:equalWidth="0" w:num="2">
            <w:col w:w="600" w:space="280"/>
            <w:col w:w="10360"/>
          </w:cols>
          <w:pgMar w:left="320" w:top="364" w:right="33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2020 Annual Report and other reports on file with the Securities and Exchange Commission. We undertake no obligation to update or revise any forward-looking statement, whether written or 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2080" w:type="dxa"/>
            <w:vAlign w:val="bottom"/>
            <w:gridSpan w:val="2"/>
          </w:tcPr>
          <w:p>
            <w:pPr>
              <w:ind w:left="460"/>
              <w:spacing w:after="0"/>
              <w:rPr>
                <w:sz w:val="20"/>
                <w:szCs w:val="20"/>
                <w:color w:val="auto"/>
              </w:rPr>
            </w:pPr>
            <w:r>
              <w:rPr>
                <w:rFonts w:ascii="Arial" w:cs="Arial" w:eastAsia="Arial" w:hAnsi="Arial"/>
                <w:sz w:val="18"/>
                <w:szCs w:val="18"/>
                <w:color w:val="auto"/>
              </w:rPr>
              <w:t>ITRON, INC.</w:t>
            </w:r>
          </w:p>
        </w:tc>
        <w:tc>
          <w:tcPr>
            <w:tcW w:w="5780" w:type="dxa"/>
            <w:vAlign w:val="bottom"/>
          </w:tcPr>
          <w:p>
            <w:pPr>
              <w:spacing w:after="0"/>
              <w:rPr>
                <w:sz w:val="20"/>
                <w:szCs w:val="20"/>
                <w:color w:val="auto"/>
              </w:rPr>
            </w:pPr>
          </w:p>
        </w:tc>
      </w:tr>
      <w:tr>
        <w:trPr>
          <w:trHeight w:val="439"/>
        </w:trPr>
        <w:tc>
          <w:tcPr>
            <w:tcW w:w="3380" w:type="dxa"/>
            <w:vAlign w:val="bottom"/>
          </w:tcPr>
          <w:p>
            <w:pPr>
              <w:spacing w:after="0"/>
              <w:rPr>
                <w:sz w:val="24"/>
                <w:szCs w:val="24"/>
                <w:color w:val="auto"/>
              </w:rPr>
            </w:pPr>
          </w:p>
        </w:tc>
        <w:tc>
          <w:tcPr>
            <w:tcW w:w="2080" w:type="dxa"/>
            <w:vAlign w:val="bottom"/>
            <w:gridSpan w:val="2"/>
          </w:tcPr>
          <w:p>
            <w:pPr>
              <w:ind w:left="460"/>
              <w:spacing w:after="0"/>
              <w:rPr>
                <w:sz w:val="20"/>
                <w:szCs w:val="20"/>
                <w:color w:val="auto"/>
              </w:rPr>
            </w:pPr>
            <w:r>
              <w:rPr>
                <w:rFonts w:ascii="Arial" w:cs="Arial" w:eastAsia="Arial" w:hAnsi="Arial"/>
                <w:sz w:val="18"/>
                <w:szCs w:val="18"/>
                <w:color w:val="auto"/>
              </w:rPr>
              <w:t>By:</w:t>
            </w:r>
          </w:p>
        </w:tc>
        <w:tc>
          <w:tcPr>
            <w:tcW w:w="5780" w:type="dxa"/>
            <w:vAlign w:val="bottom"/>
          </w:tcPr>
          <w:p>
            <w:pPr>
              <w:jc w:val="center"/>
              <w:ind w:right="870"/>
              <w:spacing w:after="0"/>
              <w:rPr>
                <w:sz w:val="20"/>
                <w:szCs w:val="20"/>
                <w:color w:val="auto"/>
              </w:rPr>
            </w:pPr>
            <w:r>
              <w:rPr>
                <w:rFonts w:ascii="Arial" w:cs="Arial" w:eastAsia="Arial" w:hAnsi="Arial"/>
                <w:sz w:val="18"/>
                <w:szCs w:val="18"/>
                <w:color w:val="auto"/>
                <w:w w:val="91"/>
              </w:rPr>
              <w:t>/s/ JOAN S. HOOPER</w:t>
            </w:r>
          </w:p>
        </w:tc>
      </w:tr>
      <w:tr>
        <w:trPr>
          <w:trHeight w:val="210"/>
        </w:trPr>
        <w:tc>
          <w:tcPr>
            <w:tcW w:w="4500" w:type="dxa"/>
            <w:vAlign w:val="bottom"/>
            <w:gridSpan w:val="2"/>
          </w:tcPr>
          <w:p>
            <w:pPr>
              <w:jc w:val="center"/>
              <w:ind w:right="1010"/>
              <w:spacing w:after="0" w:line="202" w:lineRule="exact"/>
              <w:rPr>
                <w:sz w:val="20"/>
                <w:szCs w:val="20"/>
                <w:color w:val="auto"/>
              </w:rPr>
            </w:pPr>
            <w:r>
              <w:rPr>
                <w:rFonts w:ascii="Arial" w:cs="Arial" w:eastAsia="Arial" w:hAnsi="Arial"/>
                <w:sz w:val="18"/>
                <w:szCs w:val="18"/>
                <w:color w:val="auto"/>
                <w:w w:val="89"/>
              </w:rPr>
              <w:t>February 28, 2022</w:t>
            </w:r>
          </w:p>
        </w:tc>
        <w:tc>
          <w:tcPr>
            <w:tcW w:w="960" w:type="dxa"/>
            <w:vAlign w:val="bottom"/>
            <w:tcBorders>
              <w:top w:val="single" w:sz="8" w:color="auto"/>
            </w:tcBorders>
          </w:tcPr>
          <w:p>
            <w:pPr>
              <w:spacing w:after="0"/>
              <w:rPr>
                <w:sz w:val="18"/>
                <w:szCs w:val="18"/>
                <w:color w:val="auto"/>
              </w:rPr>
            </w:pPr>
          </w:p>
        </w:tc>
        <w:tc>
          <w:tcPr>
            <w:tcW w:w="5780" w:type="dxa"/>
            <w:vAlign w:val="bottom"/>
            <w:tcBorders>
              <w:top w:val="single" w:sz="8" w:color="auto"/>
            </w:tcBorders>
          </w:tcPr>
          <w:p>
            <w:pPr>
              <w:jc w:val="center"/>
              <w:ind w:right="870"/>
              <w:spacing w:after="0" w:line="202" w:lineRule="exact"/>
              <w:rPr>
                <w:sz w:val="20"/>
                <w:szCs w:val="20"/>
                <w:color w:val="auto"/>
              </w:rPr>
            </w:pPr>
            <w:r>
              <w:rPr>
                <w:rFonts w:ascii="Arial" w:cs="Arial" w:eastAsia="Arial" w:hAnsi="Arial"/>
                <w:sz w:val="18"/>
                <w:szCs w:val="18"/>
                <w:color w:val="auto"/>
                <w:w w:val="87"/>
              </w:rPr>
              <w:t>Joan S. Hooper</w:t>
            </w:r>
          </w:p>
        </w:tc>
      </w:tr>
      <w:tr>
        <w:trPr>
          <w:trHeight w:val="230"/>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780" w:type="dxa"/>
            <w:vAlign w:val="bottom"/>
          </w:tcPr>
          <w:p>
            <w:pPr>
              <w:jc w:val="center"/>
              <w:ind w:right="870"/>
              <w:spacing w:after="0"/>
              <w:rPr>
                <w:sz w:val="20"/>
                <w:szCs w:val="20"/>
                <w:color w:val="auto"/>
              </w:rPr>
            </w:pPr>
            <w:r>
              <w:rPr>
                <w:rFonts w:ascii="Arial" w:cs="Arial" w:eastAsia="Arial" w:hAnsi="Arial"/>
                <w:sz w:val="18"/>
                <w:szCs w:val="18"/>
                <w:color w:val="auto"/>
                <w:w w:val="91"/>
              </w:rPr>
              <w:t>Senior Vice President and Chief Financial Officer</w:t>
            </w:r>
          </w:p>
        </w:tc>
      </w:tr>
    </w:tbl>
    <w:p>
      <w:pPr>
        <w:sectPr>
          <w:pgSz w:w="11900" w:h="16838" w:orient="portrait"/>
          <w:cols w:equalWidth="0" w:num="1">
            <w:col w:w="11240"/>
          </w:cols>
          <w:pgMar w:left="320" w:top="36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Itron Announces Fourth Quarter and Full Year 2021 Financial Results and 2022 Guidance</w:t>
      </w:r>
    </w:p>
    <w:p>
      <w:pPr>
        <w:spacing w:after="0" w:line="227"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LIBERTY LAKE, Wash.--(BUSINESS WIRE)--February 28, 2022--Itron, Inc. (NASDAQ:ITRI), which is innovating the way utilities and cities manage energy and water, announced today financial results for its fourth quarter and full year ended Dec. 31, 2021. Highlights for the quarter and full year include: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full year revenue of $486 million and $2.0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Quarterly and full year gross margin of 25.0% and 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Quarterly and full year GAAP net loss of $(59) million and $(81)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Quarterly and full year GAAP loss per share of $(1.30) and $(1.83);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Quarterly and full year non-GAAP diluted earnings per share of $0.75 and $1.75;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Quarterly and full year adjusted EBITDA of $3 million and $115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Backlog of $4.0 billion and 12-month backlog of $1.5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ind w:right="520"/>
        <w:spacing w:after="0" w:line="250" w:lineRule="auto"/>
        <w:rPr>
          <w:sz w:val="20"/>
          <w:szCs w:val="20"/>
          <w:color w:val="auto"/>
        </w:rPr>
      </w:pPr>
      <w:r>
        <w:rPr>
          <w:rFonts w:ascii="Arial" w:cs="Arial" w:eastAsia="Arial" w:hAnsi="Arial"/>
          <w:sz w:val="22"/>
          <w:szCs w:val="22"/>
          <w:color w:val="auto"/>
        </w:rPr>
        <w:t>"Customer demand for Itron’s solutions is at an all-time high, as demonstrated by record bookings and backlog in the fourth quarter,” said Tom Deitrich, Itron’s president and CEO.</w:t>
      </w:r>
    </w:p>
    <w:p>
      <w:pPr>
        <w:spacing w:after="0" w:line="175"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color w:val="auto"/>
        </w:rPr>
        <w:t>“Unfortunately, headwinds due to semiconductor component shortages impacted our fourth quarter results and we anticipate these conditions continuing through at least the first half of 2022.”</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Fourth Quarter Consolidated Financial Results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made are against the prior year period unless otherwise noted)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w:t>
      </w:r>
    </w:p>
    <w:p>
      <w:pPr>
        <w:spacing w:after="0" w:line="8" w:lineRule="exact"/>
        <w:rPr>
          <w:sz w:val="20"/>
          <w:szCs w:val="20"/>
          <w:color w:val="auto"/>
        </w:rPr>
      </w:pPr>
    </w:p>
    <w:p>
      <w:pPr>
        <w:ind w:right="840"/>
        <w:spacing w:after="0" w:line="236" w:lineRule="auto"/>
        <w:rPr>
          <w:sz w:val="20"/>
          <w:szCs w:val="20"/>
          <w:color w:val="auto"/>
        </w:rPr>
      </w:pPr>
      <w:r>
        <w:rPr>
          <w:rFonts w:ascii="Arial" w:cs="Arial" w:eastAsia="Arial" w:hAnsi="Arial"/>
          <w:sz w:val="22"/>
          <w:szCs w:val="22"/>
          <w:color w:val="auto"/>
        </w:rPr>
        <w:t>Total revenue of $486 million decreased 8%, or 6% excluding the impact of changes in foreign currency exchange rates, compared with the fourth quarter of 2020.</w:t>
      </w:r>
    </w:p>
    <w:p>
      <w:pPr>
        <w:spacing w:after="0" w:line="187"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By segment, Outcomes revenue increased 4%, driven by an increase in software and professional services. Networked Solutions revenue decreased 5% and Device Solutions revenue decreased 16%.</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Gross Margin</w:t>
      </w:r>
    </w:p>
    <w:p>
      <w:pPr>
        <w:spacing w:after="0" w:line="8" w:lineRule="exact"/>
        <w:rPr>
          <w:sz w:val="20"/>
          <w:szCs w:val="20"/>
          <w:color w:val="auto"/>
        </w:rPr>
      </w:pPr>
    </w:p>
    <w:p>
      <w:pPr>
        <w:ind w:right="360"/>
        <w:spacing w:after="0" w:line="236" w:lineRule="auto"/>
        <w:rPr>
          <w:sz w:val="20"/>
          <w:szCs w:val="20"/>
          <w:color w:val="auto"/>
        </w:rPr>
      </w:pPr>
      <w:r>
        <w:rPr>
          <w:rFonts w:ascii="Arial" w:cs="Arial" w:eastAsia="Arial" w:hAnsi="Arial"/>
          <w:sz w:val="22"/>
          <w:szCs w:val="22"/>
          <w:color w:val="auto"/>
        </w:rPr>
        <w:t>Consolidated gross margin of 25.0% decreased 330 basis points compared with the fourth quarter of 2020 driven primarily by higher component costs and manufacturing inefficiencies.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u w:val="single" w:color="auto"/>
          <w:color w:val="auto"/>
        </w:rPr>
        <w:t>Operating Income (loss), Net Income (loss) and Earnings (loss) per Share (EPS)</w:t>
      </w:r>
    </w:p>
    <w:p>
      <w:pPr>
        <w:spacing w:after="0" w:line="8"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GAAP operating loss of $(107) million compared with operating income of $33 million in 2020. The decrease was primarily due to lower gross profit and higher GAAP operating expenses. The higher GAAP operating expenses were primarily driven by expenses related to restructuring activities and higher variable compensation. Also, we recognized a pre-tax loss related to the sale of certain gas device assets.</w:t>
      </w:r>
    </w:p>
    <w:p>
      <w:pPr>
        <w:spacing w:after="0" w:line="188"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Non-GAAP operating loss $(7) million compared with non-GAAP operating income of $44 million in 2020. The decrease was due to lower gross profit and higher non-GAAP operating expenses, primarily driven by higher variable compensation.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GAAP net loss attributable to Itron, Inc. for the quarter was $(59) million, or $(1.30) per share, compared with net income of $22 million, or $0.53 per diluted share, in 2020. The reduction in net income and EPS was primarily due to lower GAAP operating income.</w:t>
      </w:r>
    </w:p>
    <w:p>
      <w:pPr>
        <w:spacing w:after="0" w:line="186"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Non-GAAP net income was $34 million, or $0.75 per diluted share, compared with $26 million, or $0.65 per diluted share in 2020. The increase was due to a non-GAAP tax benefit driven by the impact of certain transfers of business activities and assets.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Cash Flow</w:t>
      </w:r>
    </w:p>
    <w:p>
      <w:pPr>
        <w:spacing w:after="0" w:line="8" w:lineRule="exact"/>
        <w:rPr>
          <w:sz w:val="20"/>
          <w:szCs w:val="20"/>
          <w:color w:val="auto"/>
        </w:rPr>
      </w:pPr>
    </w:p>
    <w:p>
      <w:pPr>
        <w:jc w:val="both"/>
        <w:ind w:right="120"/>
        <w:spacing w:after="0" w:line="234" w:lineRule="auto"/>
        <w:rPr>
          <w:sz w:val="20"/>
          <w:szCs w:val="20"/>
          <w:color w:val="auto"/>
        </w:rPr>
      </w:pPr>
      <w:r>
        <w:rPr>
          <w:rFonts w:ascii="Arial" w:cs="Arial" w:eastAsia="Arial" w:hAnsi="Arial"/>
          <w:sz w:val="22"/>
          <w:szCs w:val="22"/>
          <w:color w:val="auto"/>
        </w:rPr>
        <w:t>In the fourth quarter, cash provided by operating activities was $14 million compared with $39 million in 2020. Free cash flow was $7 million compared with $29 million in the prior year. The decrease in cash flow was due to reduced non-GAAP EBITDA and lower cash inflows from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Bookings were a record $1.1 billion in the fourth quarter. This is a book to bill ratio of 2.2 to 1 for the quarter. Total backlog and 12-month backlog are both at record levels of $4.0 billion and $1.5 billion, respectively, at the end of the quarter.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 year 2022 is as follows: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$2.0 and $2.1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Non-GAAP diluted EPS between $1.25 and $1.75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Guidance assumes an average euro to U.S. dollar foreign currency exchange rate of $1.14 in 2022, diluted weighted average shares outstanding of approximately 45.5 million for the year, and a non-GAAP effective tax rate for the year of approximately 25%.</w:t>
      </w:r>
    </w:p>
    <w:p>
      <w:pPr>
        <w:spacing w:after="0" w:line="186"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A reconciliation of forward-looking non-GAAP diluted EPS to the GAAP diluted EPS has not been provided because we are unable to predict with reasonable certainty the potential amount or timing of restructuring and acquisition and integration related expenses and their related tax effects without unreasonable effort. These items are uncertain, depend on various factors and could have a material impact on GAAP results for the guidance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Other Events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Share Repurchase Program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On Nov. 1, 2021 Itron's board of directors authorized a share repurchase program up to $100 million over an 18-month period. As of today, we have completed $25 million under the share repurchase program at an average share price of $61.67, totaling approximately 400 thousand shares.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Sale of European C+I Mechanical Gas / Stations / Global Gas Regulator Business</w:t>
      </w:r>
    </w:p>
    <w:p>
      <w:pPr>
        <w:spacing w:after="0" w:line="206" w:lineRule="exact"/>
        <w:rPr>
          <w:sz w:val="20"/>
          <w:szCs w:val="20"/>
          <w:color w:val="auto"/>
        </w:rPr>
      </w:pPr>
    </w:p>
    <w:p>
      <w:pPr>
        <w:ind w:right="80"/>
        <w:spacing w:after="0"/>
        <w:rPr>
          <w:sz w:val="20"/>
          <w:szCs w:val="20"/>
          <w:color w:val="auto"/>
        </w:rPr>
      </w:pPr>
      <w:r>
        <w:rPr>
          <w:rFonts w:ascii="Arial" w:cs="Arial" w:eastAsia="Arial" w:hAnsi="Arial"/>
          <w:sz w:val="22"/>
          <w:szCs w:val="22"/>
          <w:color w:val="auto"/>
        </w:rPr>
        <w:t>On Nov. 2, 2021, Itron entered into a definitive securities and asset purchase agreement to sell certain of its Gas device manufacturing and business operations in Europe and North America to Dresser Utility Solutions (Dresser). Itron anticipates this transaction to close today, Feb. 28, 2022.</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 xml:space="preserve">Itron will host a conference call to discuss the financial results and guidance contained in this release at 10 a.m. EST on Feb. 28, 2022. The call will be webcast in a listen-only mode. Webcast information and conference call materials will be made available 10 minutes before the start of the call and will be accessible on Itron’s website at http://investors.itron.com/events.cfm. A replay of the audio webcast will be made available at http://investors.itron.com/events.cfm. A telephone replay of the conference call will be available through March 5, 2022. To access the telephone replay, dial (888) 203-1112 (domestic) or (719) 457-0820 (international) and enter passcode </w:t>
      </w:r>
      <w:r>
        <w:rPr>
          <w:rFonts w:ascii="Arial" w:cs="Arial" w:eastAsia="Arial" w:hAnsi="Arial"/>
          <w:sz w:val="19"/>
          <w:szCs w:val="19"/>
          <w:b w:val="1"/>
          <w:bCs w:val="1"/>
          <w:color w:val="auto"/>
        </w:rPr>
        <w:t>5471582.</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06" w:lineRule="exact"/>
        <w:rPr>
          <w:sz w:val="20"/>
          <w:szCs w:val="20"/>
          <w:color w:val="auto"/>
        </w:rPr>
      </w:pPr>
    </w:p>
    <w:p>
      <w:pPr>
        <w:ind w:right="300"/>
        <w:spacing w:after="0" w:line="233" w:lineRule="auto"/>
        <w:rPr>
          <w:sz w:val="20"/>
          <w:szCs w:val="20"/>
          <w:color w:val="auto"/>
        </w:rPr>
      </w:pPr>
      <w:r>
        <w:rPr>
          <w:rFonts w:ascii="Arial" w:cs="Arial" w:eastAsia="Arial" w:hAnsi="Arial"/>
          <w:sz w:val="20"/>
          <w:szCs w:val="20"/>
          <w:color w:val="auto"/>
        </w:rPr>
        <w:t>Itron</w:t>
      </w:r>
      <w:r>
        <w:rPr>
          <w:rFonts w:ascii="Arial" w:cs="Arial" w:eastAsia="Arial" w:hAnsi="Arial"/>
          <w:sz w:val="32"/>
          <w:szCs w:val="32"/>
          <w:color w:val="auto"/>
          <w:vertAlign w:val="superscript"/>
        </w:rPr>
        <w:t>®</w:t>
      </w:r>
      <w:r>
        <w:rPr>
          <w:rFonts w:ascii="Arial" w:cs="Arial" w:eastAsia="Arial" w:hAnsi="Arial"/>
          <w:sz w:val="20"/>
          <w:szCs w:val="20"/>
          <w:color w:val="auto"/>
        </w:rPr>
        <w:t xml:space="preserve"> enables utilities and cities to safely, securely and reliably deliver critical infrastructure services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www.itron.com.</w:t>
      </w:r>
    </w:p>
    <w:p>
      <w:pPr>
        <w:spacing w:after="0" w:line="181" w:lineRule="exact"/>
        <w:rPr>
          <w:sz w:val="20"/>
          <w:szCs w:val="20"/>
          <w:color w:val="auto"/>
        </w:rPr>
      </w:pPr>
    </w:p>
    <w:p>
      <w:pPr>
        <w:ind w:right="340"/>
        <w:spacing w:after="0" w:line="210" w:lineRule="auto"/>
        <w:rPr>
          <w:sz w:val="20"/>
          <w:szCs w:val="20"/>
          <w:color w:val="auto"/>
        </w:rPr>
      </w:pPr>
      <w:r>
        <w:rPr>
          <w:rFonts w:ascii="Arial" w:cs="Arial" w:eastAsia="Arial" w:hAnsi="Arial"/>
          <w:sz w:val="20"/>
          <w:szCs w:val="20"/>
          <w:color w:val="auto"/>
        </w:rPr>
        <w:t>Itron</w:t>
      </w:r>
      <w:r>
        <w:rPr>
          <w:rFonts w:ascii="Arial" w:cs="Arial" w:eastAsia="Arial" w:hAnsi="Arial"/>
          <w:sz w:val="32"/>
          <w:szCs w:val="32"/>
          <w:color w:val="auto"/>
          <w:vertAlign w:val="superscript"/>
        </w:rPr>
        <w:t>®</w:t>
      </w:r>
      <w:r>
        <w:rPr>
          <w:rFonts w:ascii="Arial" w:cs="Arial" w:eastAsia="Arial" w:hAnsi="Arial"/>
          <w:sz w:val="20"/>
          <w:szCs w:val="20"/>
          <w:color w:val="auto"/>
        </w:rPr>
        <w:t xml:space="preserve"> is a registered trademark of Itron, Inc. All third-party trademarks are property of their respective owners and any usage herein does not suggest or imply any relationship between Itron and the third party unless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Cautionary Note Regarding Forward Looking Statements</w:t>
      </w:r>
    </w:p>
    <w:p>
      <w:pPr>
        <w:spacing w:after="0" w:line="212"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i w:val="1"/>
          <w:iCs w:val="1"/>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Annual Report on Form 10-K for the year ended Dec. 31, 2020 and other reports on file with the Securities and Exchange Commission. Itron undertakes no obligation to update or revise any information in this press release.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7" w:name="page8"/>
    <w:bookmarkEnd w:id="7"/>
    <w:p>
      <w:pPr>
        <w:jc w:val="center"/>
        <w:ind w:right="124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124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(Unaudited, in thousands, except per share data)</w:t>
      </w:r>
    </w:p>
    <w:p>
      <w:pPr>
        <w:sectPr>
          <w:pgSz w:w="11900" w:h="16838" w:orient="portrait"/>
          <w:cols w:equalWidth="0" w:num="1">
            <w:col w:w="11240"/>
          </w:cols>
          <w:pgMar w:left="320" w:top="135" w:right="339" w:bottom="1440" w:gutter="0" w:footer="0" w:header="0"/>
        </w:sectPr>
      </w:pPr>
    </w:p>
    <w:p>
      <w:pPr>
        <w:spacing w:after="0" w:line="32" w:lineRule="exact"/>
        <w:rPr>
          <w:sz w:val="20"/>
          <w:szCs w:val="20"/>
          <w:color w:val="auto"/>
        </w:rPr>
      </w:pPr>
    </w:p>
    <w:p>
      <w:pPr>
        <w:jc w:val="center"/>
        <w:ind w:left="4340"/>
        <w:spacing w:after="0"/>
        <w:rPr>
          <w:sz w:val="20"/>
          <w:szCs w:val="20"/>
          <w:color w:val="auto"/>
        </w:rPr>
      </w:pPr>
      <w:r>
        <w:rPr>
          <w:rFonts w:ascii="Arial" w:cs="Arial" w:eastAsia="Arial" w:hAnsi="Arial"/>
          <w:sz w:val="16"/>
          <w:szCs w:val="16"/>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40640</wp:posOffset>
            </wp:positionV>
            <wp:extent cx="17487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53" w:lineRule="exact"/>
        <w:rPr>
          <w:sz w:val="20"/>
          <w:szCs w:val="20"/>
          <w:color w:val="auto"/>
        </w:rPr>
      </w:pPr>
    </w:p>
    <w:p>
      <w:pPr>
        <w:ind w:left="4820"/>
        <w:spacing w:after="0"/>
        <w:tabs>
          <w:tab w:leader="none" w:pos="62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18002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53" w:lineRule="exact"/>
        <w:rPr>
          <w:sz w:val="20"/>
          <w:szCs w:val="20"/>
          <w:color w:val="auto"/>
        </w:rPr>
      </w:pPr>
    </w:p>
    <w:p>
      <w:pPr>
        <w:ind w:left="480"/>
        <w:spacing w:after="0"/>
        <w:tabs>
          <w:tab w:leader="none" w:pos="19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7" w:lineRule="exact"/>
        <w:rPr>
          <w:sz w:val="20"/>
          <w:szCs w:val="20"/>
          <w:color w:val="auto"/>
        </w:rPr>
      </w:pPr>
    </w:p>
    <w:p>
      <w:pPr>
        <w:sectPr>
          <w:pgSz w:w="11900" w:h="16838" w:orient="portrait"/>
          <w:cols w:equalWidth="0" w:num="2">
            <w:col w:w="7080" w:space="100"/>
            <w:col w:w="406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4340" w:type="dxa"/>
            <w:vAlign w:val="bottom"/>
          </w:tcPr>
          <w:p>
            <w:pPr>
              <w:spacing w:after="0"/>
              <w:rPr>
                <w:sz w:val="20"/>
                <w:szCs w:val="20"/>
                <w:color w:val="auto"/>
              </w:rPr>
            </w:pPr>
            <w:r>
              <w:rPr>
                <w:rFonts w:ascii="Arial" w:cs="Arial" w:eastAsia="Arial" w:hAnsi="Arial"/>
                <w:sz w:val="18"/>
                <w:szCs w:val="18"/>
                <w:color w:val="auto"/>
              </w:rPr>
              <w:t>Revenues</w:t>
            </w: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20" w:type="dxa"/>
            <w:vAlign w:val="bottom"/>
          </w:tcPr>
          <w:p>
            <w:pPr>
              <w:spacing w:after="0"/>
              <w:rPr>
                <w:sz w:val="21"/>
                <w:szCs w:val="21"/>
                <w:color w:val="auto"/>
              </w:rPr>
            </w:pPr>
          </w:p>
        </w:tc>
      </w:tr>
      <w:tr>
        <w:trPr>
          <w:trHeight w:val="230"/>
        </w:trPr>
        <w:tc>
          <w:tcPr>
            <w:tcW w:w="4340" w:type="dxa"/>
            <w:vAlign w:val="bottom"/>
          </w:tcPr>
          <w:p>
            <w:pPr>
              <w:ind w:left="220"/>
              <w:spacing w:after="0"/>
              <w:rPr>
                <w:sz w:val="20"/>
                <w:szCs w:val="20"/>
                <w:color w:val="auto"/>
              </w:rPr>
            </w:pPr>
            <w:r>
              <w:rPr>
                <w:rFonts w:ascii="Arial" w:cs="Arial" w:eastAsia="Arial" w:hAnsi="Arial"/>
                <w:sz w:val="18"/>
                <w:szCs w:val="18"/>
                <w:color w:val="auto"/>
              </w:rPr>
              <w:t>Product revenues</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412,725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451,393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1,678,195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1,889,173</w:t>
            </w:r>
          </w:p>
        </w:tc>
        <w:tc>
          <w:tcPr>
            <w:tcW w:w="1220" w:type="dxa"/>
            <w:vAlign w:val="bottom"/>
          </w:tcPr>
          <w:p>
            <w:pPr>
              <w:spacing w:after="0"/>
              <w:rPr>
                <w:sz w:val="20"/>
                <w:szCs w:val="20"/>
                <w:color w:val="auto"/>
              </w:rPr>
            </w:pPr>
          </w:p>
        </w:tc>
      </w:tr>
      <w:tr>
        <w:trPr>
          <w:trHeight w:val="256"/>
        </w:trPr>
        <w:tc>
          <w:tcPr>
            <w:tcW w:w="4340" w:type="dxa"/>
            <w:vAlign w:val="bottom"/>
          </w:tcPr>
          <w:p>
            <w:pPr>
              <w:ind w:left="220"/>
              <w:spacing w:after="0"/>
              <w:rPr>
                <w:sz w:val="20"/>
                <w:szCs w:val="20"/>
                <w:color w:val="auto"/>
              </w:rPr>
            </w:pPr>
            <w:r>
              <w:rPr>
                <w:rFonts w:ascii="Arial" w:cs="Arial" w:eastAsia="Arial" w:hAnsi="Arial"/>
                <w:sz w:val="18"/>
                <w:szCs w:val="18"/>
                <w:color w:val="auto"/>
              </w:rPr>
              <w:t>Service revenues</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72,912</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73,764</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303,377</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284,177</w:t>
            </w:r>
          </w:p>
        </w:tc>
        <w:tc>
          <w:tcPr>
            <w:tcW w:w="1220" w:type="dxa"/>
            <w:vAlign w:val="bottom"/>
          </w:tcPr>
          <w:p>
            <w:pPr>
              <w:spacing w:after="0"/>
              <w:rPr>
                <w:sz w:val="22"/>
                <w:szCs w:val="22"/>
                <w:color w:val="auto"/>
              </w:rPr>
            </w:pPr>
          </w:p>
        </w:tc>
      </w:tr>
      <w:tr>
        <w:trPr>
          <w:trHeight w:val="237"/>
        </w:trPr>
        <w:tc>
          <w:tcPr>
            <w:tcW w:w="434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485,637</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525,157</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1,981,572</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2,173,350</w:t>
            </w:r>
          </w:p>
        </w:tc>
        <w:tc>
          <w:tcPr>
            <w:tcW w:w="1220" w:type="dxa"/>
            <w:vAlign w:val="bottom"/>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Product cost of revenues</w:t>
            </w:r>
          </w:p>
        </w:tc>
        <w:tc>
          <w:tcPr>
            <w:tcW w:w="3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322,307</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336,344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1,231,230</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1,408,615</w:t>
            </w:r>
          </w:p>
        </w:tc>
        <w:tc>
          <w:tcPr>
            <w:tcW w:w="1220" w:type="dxa"/>
            <w:vAlign w:val="bottom"/>
          </w:tcPr>
          <w:p>
            <w:pPr>
              <w:spacing w:after="0"/>
              <w:rPr>
                <w:sz w:val="21"/>
                <w:szCs w:val="21"/>
                <w:color w:val="auto"/>
              </w:rPr>
            </w:pPr>
          </w:p>
        </w:tc>
      </w:tr>
      <w:tr>
        <w:trPr>
          <w:trHeight w:val="257"/>
        </w:trPr>
        <w:tc>
          <w:tcPr>
            <w:tcW w:w="4340" w:type="dxa"/>
            <w:vAlign w:val="bottom"/>
          </w:tcPr>
          <w:p>
            <w:pPr>
              <w:ind w:left="220"/>
              <w:spacing w:after="0"/>
              <w:rPr>
                <w:sz w:val="20"/>
                <w:szCs w:val="20"/>
                <w:color w:val="auto"/>
              </w:rPr>
            </w:pPr>
            <w:r>
              <w:rPr>
                <w:rFonts w:ascii="Arial" w:cs="Arial" w:eastAsia="Arial" w:hAnsi="Arial"/>
                <w:sz w:val="18"/>
                <w:szCs w:val="18"/>
                <w:color w:val="auto"/>
              </w:rPr>
              <w:t>Services cost of revenues</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42,043</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39,980</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177,173</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162,568</w:t>
            </w:r>
          </w:p>
        </w:tc>
        <w:tc>
          <w:tcPr>
            <w:tcW w:w="1220" w:type="dxa"/>
            <w:vAlign w:val="bottom"/>
          </w:tcPr>
          <w:p>
            <w:pPr>
              <w:spacing w:after="0"/>
              <w:rPr>
                <w:sz w:val="22"/>
                <w:szCs w:val="22"/>
                <w:color w:val="auto"/>
              </w:rPr>
            </w:pPr>
          </w:p>
        </w:tc>
      </w:tr>
      <w:tr>
        <w:trPr>
          <w:trHeight w:val="237"/>
        </w:trPr>
        <w:tc>
          <w:tcPr>
            <w:tcW w:w="4340" w:type="dxa"/>
            <w:vAlign w:val="bottom"/>
          </w:tcPr>
          <w:p>
            <w:pPr>
              <w:ind w:left="420"/>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364,350</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376,324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1,408,403</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1,571,183</w:t>
            </w:r>
          </w:p>
        </w:tc>
        <w:tc>
          <w:tcPr>
            <w:tcW w:w="1220" w:type="dxa"/>
            <w:vAlign w:val="bottom"/>
          </w:tcPr>
          <w:p>
            <w:pPr>
              <w:spacing w:after="0"/>
              <w:rPr>
                <w:sz w:val="20"/>
                <w:szCs w:val="20"/>
                <w:color w:val="auto"/>
              </w:rPr>
            </w:pPr>
          </w:p>
        </w:tc>
      </w:tr>
      <w:tr>
        <w:trPr>
          <w:trHeight w:val="466"/>
        </w:trPr>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121,287</w:t>
            </w:r>
          </w:p>
        </w:tc>
        <w:tc>
          <w:tcPr>
            <w:tcW w:w="42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148,833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573,169</w:t>
            </w:r>
          </w:p>
        </w:tc>
        <w:tc>
          <w:tcPr>
            <w:tcW w:w="4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602,167</w:t>
            </w:r>
          </w:p>
        </w:tc>
        <w:tc>
          <w:tcPr>
            <w:tcW w:w="1220" w:type="dxa"/>
            <w:vAlign w:val="bottom"/>
          </w:tcPr>
          <w:p>
            <w:pPr>
              <w:spacing w:after="0"/>
              <w:rPr>
                <w:sz w:val="24"/>
                <w:szCs w:val="24"/>
                <w:color w:val="auto"/>
              </w:rPr>
            </w:pPr>
          </w:p>
        </w:tc>
      </w:tr>
      <w:tr>
        <w:trPr>
          <w:trHeight w:val="486"/>
        </w:trPr>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Sales, general and administrative</w:t>
            </w:r>
          </w:p>
        </w:tc>
        <w:tc>
          <w:tcPr>
            <w:tcW w:w="3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78,546</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61,902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300,520</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276,920</w:t>
            </w:r>
          </w:p>
        </w:tc>
        <w:tc>
          <w:tcPr>
            <w:tcW w:w="1220" w:type="dxa"/>
            <w:vAlign w:val="bottom"/>
          </w:tcPr>
          <w:p>
            <w:pPr>
              <w:spacing w:after="0"/>
              <w:rPr>
                <w:sz w:val="21"/>
                <w:szCs w:val="2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49,856</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45,102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197,235</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194,101</w:t>
            </w:r>
          </w:p>
        </w:tc>
        <w:tc>
          <w:tcPr>
            <w:tcW w:w="1220" w:type="dxa"/>
            <w:vAlign w:val="bottom"/>
          </w:tcPr>
          <w:p>
            <w:pPr>
              <w:spacing w:after="0"/>
              <w:rPr>
                <w:sz w:val="21"/>
                <w:szCs w:val="2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8,887</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11,223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35,801</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44,711</w:t>
            </w:r>
          </w:p>
        </w:tc>
        <w:tc>
          <w:tcPr>
            <w:tcW w:w="1220" w:type="dxa"/>
            <w:vAlign w:val="bottom"/>
          </w:tcPr>
          <w:p>
            <w:pPr>
              <w:spacing w:after="0"/>
              <w:rPr>
                <w:sz w:val="21"/>
                <w:szCs w:val="2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3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55,453</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54,623</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37,013</w:t>
            </w:r>
          </w:p>
        </w:tc>
        <w:tc>
          <w:tcPr>
            <w:tcW w:w="1220" w:type="dxa"/>
            <w:vAlign w:val="bottom"/>
          </w:tcPr>
          <w:p>
            <w:pPr>
              <w:spacing w:after="0"/>
              <w:rPr>
                <w:sz w:val="21"/>
                <w:szCs w:val="21"/>
                <w:color w:val="auto"/>
              </w:rPr>
            </w:pPr>
          </w:p>
        </w:tc>
      </w:tr>
      <w:tr>
        <w:trPr>
          <w:trHeight w:val="257"/>
        </w:trPr>
        <w:tc>
          <w:tcPr>
            <w:tcW w:w="4340" w:type="dxa"/>
            <w:vAlign w:val="bottom"/>
          </w:tcPr>
          <w:p>
            <w:pPr>
              <w:ind w:left="220"/>
              <w:spacing w:after="0"/>
              <w:rPr>
                <w:sz w:val="20"/>
                <w:szCs w:val="20"/>
                <w:color w:val="auto"/>
              </w:rPr>
            </w:pPr>
            <w:r>
              <w:rPr>
                <w:rFonts w:ascii="Arial" w:cs="Arial" w:eastAsia="Arial" w:hAnsi="Arial"/>
                <w:sz w:val="18"/>
                <w:szCs w:val="18"/>
                <w:color w:val="auto"/>
              </w:rPr>
              <w:t>Loss on sale of business</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36,015</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2,522</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64,289</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59,817</w:t>
            </w:r>
          </w:p>
        </w:tc>
        <w:tc>
          <w:tcPr>
            <w:tcW w:w="1220" w:type="dxa"/>
            <w:vAlign w:val="bottom"/>
          </w:tcPr>
          <w:p>
            <w:pPr>
              <w:spacing w:after="0"/>
              <w:rPr>
                <w:sz w:val="22"/>
                <w:szCs w:val="22"/>
                <w:color w:val="auto"/>
              </w:rPr>
            </w:pPr>
          </w:p>
        </w:tc>
      </w:tr>
      <w:tr>
        <w:trPr>
          <w:trHeight w:val="237"/>
        </w:trPr>
        <w:tc>
          <w:tcPr>
            <w:tcW w:w="434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228,757</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116,231</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652,468</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612,562</w:t>
            </w:r>
          </w:p>
        </w:tc>
        <w:tc>
          <w:tcPr>
            <w:tcW w:w="1220" w:type="dxa"/>
            <w:vAlign w:val="bottom"/>
          </w:tcPr>
          <w:p>
            <w:pPr>
              <w:spacing w:after="0"/>
              <w:rPr>
                <w:sz w:val="20"/>
                <w:szCs w:val="20"/>
                <w:color w:val="auto"/>
              </w:rPr>
            </w:pPr>
          </w:p>
        </w:tc>
      </w:tr>
      <w:tr>
        <w:trPr>
          <w:trHeight w:val="466"/>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(107,470)</w:t>
            </w:r>
          </w:p>
        </w:tc>
        <w:tc>
          <w:tcPr>
            <w:tcW w:w="42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32,602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(79,299)</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(10,395)</w:t>
            </w:r>
          </w:p>
        </w:tc>
        <w:tc>
          <w:tcPr>
            <w:tcW w:w="1220" w:type="dxa"/>
            <w:vAlign w:val="bottom"/>
          </w:tcPr>
          <w:p>
            <w:pPr>
              <w:spacing w:after="0"/>
              <w:rPr>
                <w:sz w:val="24"/>
                <w:szCs w:val="24"/>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1,557</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2,998</w:t>
            </w:r>
          </w:p>
        </w:tc>
        <w:tc>
          <w:tcPr>
            <w:tcW w:w="1220" w:type="dxa"/>
            <w:vAlign w:val="bottom"/>
          </w:tcPr>
          <w:p>
            <w:pPr>
              <w:spacing w:after="0"/>
              <w:rPr>
                <w:sz w:val="21"/>
                <w:szCs w:val="2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(1,531)</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(10,230)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(28,638)</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(44,001)</w:t>
            </w:r>
          </w:p>
        </w:tc>
        <w:tc>
          <w:tcPr>
            <w:tcW w:w="1220" w:type="dxa"/>
            <w:vAlign w:val="bottom"/>
          </w:tcPr>
          <w:p>
            <w:pPr>
              <w:spacing w:after="0"/>
              <w:rPr>
                <w:sz w:val="21"/>
                <w:szCs w:val="21"/>
                <w:color w:val="auto"/>
              </w:rPr>
            </w:pPr>
          </w:p>
        </w:tc>
      </w:tr>
      <w:tr>
        <w:trPr>
          <w:trHeight w:val="256"/>
        </w:trPr>
        <w:tc>
          <w:tcPr>
            <w:tcW w:w="434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(746)</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(17,430)</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220" w:type="dxa"/>
            <w:vAlign w:val="bottom"/>
          </w:tcPr>
          <w:p>
            <w:pPr>
              <w:spacing w:after="0"/>
              <w:rPr>
                <w:sz w:val="22"/>
                <w:szCs w:val="22"/>
                <w:color w:val="auto"/>
              </w:rPr>
            </w:pPr>
          </w:p>
        </w:tc>
      </w:tr>
      <w:tr>
        <w:trPr>
          <w:trHeight w:val="236"/>
        </w:trPr>
        <w:tc>
          <w:tcPr>
            <w:tcW w:w="4340" w:type="dxa"/>
            <w:vAlign w:val="bottom"/>
          </w:tcPr>
          <w:p>
            <w:pPr>
              <w:ind w:left="42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(2,046)</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(44,511)</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(46,244)</w:t>
            </w:r>
          </w:p>
        </w:tc>
        <w:tc>
          <w:tcPr>
            <w:tcW w:w="1220" w:type="dxa"/>
            <w:vAlign w:val="bottom"/>
          </w:tcPr>
          <w:p>
            <w:pPr>
              <w:spacing w:after="0"/>
              <w:rPr>
                <w:sz w:val="20"/>
                <w:szCs w:val="20"/>
                <w:color w:val="auto"/>
              </w:rPr>
            </w:pPr>
          </w:p>
        </w:tc>
      </w:tr>
      <w:tr>
        <w:trPr>
          <w:trHeight w:val="466"/>
        </w:trPr>
        <w:tc>
          <w:tcPr>
            <w:tcW w:w="43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(109,516)</w:t>
            </w:r>
          </w:p>
        </w:tc>
        <w:tc>
          <w:tcPr>
            <w:tcW w:w="42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21,378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(123,810)</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(56,639)</w:t>
            </w:r>
          </w:p>
        </w:tc>
        <w:tc>
          <w:tcPr>
            <w:tcW w:w="1220" w:type="dxa"/>
            <w:vAlign w:val="bottom"/>
          </w:tcPr>
          <w:p>
            <w:pPr>
              <w:spacing w:after="0"/>
              <w:rPr>
                <w:sz w:val="24"/>
                <w:szCs w:val="24"/>
                <w:color w:val="auto"/>
              </w:rPr>
            </w:pPr>
          </w:p>
        </w:tc>
      </w:tr>
      <w:tr>
        <w:trPr>
          <w:trHeight w:val="256"/>
        </w:trPr>
        <w:tc>
          <w:tcPr>
            <w:tcW w:w="43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51,093</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45,512</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20" w:type="dxa"/>
            <w:vAlign w:val="bottom"/>
          </w:tcPr>
          <w:p>
            <w:pPr>
              <w:spacing w:after="0"/>
              <w:rPr>
                <w:sz w:val="22"/>
                <w:szCs w:val="22"/>
                <w:color w:val="auto"/>
              </w:rPr>
            </w:pP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(58,423)</w:t>
            </w:r>
          </w:p>
        </w:tc>
        <w:tc>
          <w:tcPr>
            <w:tcW w:w="4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21,506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(78,298)</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(56,877)</w:t>
            </w:r>
          </w:p>
        </w:tc>
        <w:tc>
          <w:tcPr>
            <w:tcW w:w="1220" w:type="dxa"/>
            <w:vAlign w:val="bottom"/>
          </w:tcPr>
          <w:p>
            <w:pPr>
              <w:spacing w:after="0"/>
              <w:rPr>
                <w:sz w:val="19"/>
                <w:szCs w:val="19"/>
                <w:color w:val="auto"/>
              </w:rPr>
            </w:pPr>
          </w:p>
        </w:tc>
      </w:tr>
      <w:tr>
        <w:trPr>
          <w:trHeight w:val="256"/>
        </w:trPr>
        <w:tc>
          <w:tcPr>
            <w:tcW w:w="4340" w:type="dxa"/>
            <w:vAlign w:val="bottom"/>
          </w:tcPr>
          <w:p>
            <w:pPr>
              <w:ind w:left="220"/>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443</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2,957</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1,078</w:t>
            </w:r>
          </w:p>
        </w:tc>
        <w:tc>
          <w:tcPr>
            <w:tcW w:w="1220" w:type="dxa"/>
            <w:vAlign w:val="bottom"/>
          </w:tcPr>
          <w:p>
            <w:pPr>
              <w:spacing w:after="0"/>
              <w:rPr>
                <w:sz w:val="22"/>
                <w:szCs w:val="22"/>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Net income (loss) attributable to Itron, Inc.</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(58,866)</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21,520</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(81,255)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(57,955)</w:t>
            </w:r>
          </w:p>
        </w:tc>
        <w:tc>
          <w:tcPr>
            <w:tcW w:w="1220" w:type="dxa"/>
            <w:vAlign w:val="bottom"/>
          </w:tcPr>
          <w:p>
            <w:pPr>
              <w:spacing w:after="0"/>
              <w:rPr>
                <w:sz w:val="20"/>
                <w:szCs w:val="20"/>
                <w:color w:val="auto"/>
              </w:rPr>
            </w:pPr>
          </w:p>
        </w:tc>
      </w:tr>
      <w:tr>
        <w:trPr>
          <w:trHeight w:val="20"/>
        </w:trPr>
        <w:tc>
          <w:tcPr>
            <w:tcW w:w="4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66"/>
        </w:trPr>
        <w:tc>
          <w:tcPr>
            <w:tcW w:w="4340" w:type="dxa"/>
            <w:vAlign w:val="bottom"/>
          </w:tcPr>
          <w:p>
            <w:pPr>
              <w:spacing w:after="0"/>
              <w:rPr>
                <w:sz w:val="20"/>
                <w:szCs w:val="20"/>
                <w:color w:val="auto"/>
              </w:rPr>
            </w:pPr>
            <w:r>
              <w:rPr>
                <w:rFonts w:ascii="Arial" w:cs="Arial" w:eastAsia="Arial" w:hAnsi="Arial"/>
                <w:sz w:val="18"/>
                <w:szCs w:val="18"/>
                <w:color w:val="auto"/>
              </w:rPr>
              <w:t>Net income (loss) per common share - Basic</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20" w:type="dxa"/>
            <w:vAlign w:val="bottom"/>
          </w:tcPr>
          <w:p>
            <w:pPr>
              <w:spacing w:after="0"/>
              <w:rPr>
                <w:sz w:val="24"/>
                <w:szCs w:val="24"/>
                <w:color w:val="auto"/>
              </w:rPr>
            </w:pPr>
          </w:p>
        </w:tc>
      </w:tr>
      <w:tr>
        <w:trPr>
          <w:trHeight w:val="20"/>
        </w:trPr>
        <w:tc>
          <w:tcPr>
            <w:tcW w:w="4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income (loss) per common share - Diluted</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c>
          <w:tcPr>
            <w:tcW w:w="4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w:t>
            </w:r>
          </w:p>
        </w:tc>
        <w:tc>
          <w:tcPr>
            <w:tcW w:w="4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3"/>
        </w:trPr>
        <w:tc>
          <w:tcPr>
            <w:tcW w:w="4340" w:type="dxa"/>
            <w:vAlign w:val="bottom"/>
          </w:tcPr>
          <w:p>
            <w:pPr>
              <w:spacing w:after="0"/>
              <w:rPr>
                <w:sz w:val="20"/>
                <w:szCs w:val="20"/>
                <w:color w:val="auto"/>
              </w:rPr>
            </w:pPr>
            <w:r>
              <w:rPr>
                <w:rFonts w:ascii="Arial" w:cs="Arial" w:eastAsia="Arial" w:hAnsi="Arial"/>
                <w:sz w:val="18"/>
                <w:szCs w:val="18"/>
                <w:color w:val="auto"/>
                <w:w w:val="98"/>
              </w:rPr>
              <w:t>Weighted average common shares outstanding - Basic</w:t>
            </w:r>
          </w:p>
        </w:tc>
        <w:tc>
          <w:tcPr>
            <w:tcW w:w="36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45,246</w:t>
            </w:r>
          </w:p>
        </w:tc>
        <w:tc>
          <w:tcPr>
            <w:tcW w:w="42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40,412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44,301</w:t>
            </w:r>
          </w:p>
        </w:tc>
        <w:tc>
          <w:tcPr>
            <w:tcW w:w="4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40,253</w:t>
            </w:r>
          </w:p>
        </w:tc>
        <w:tc>
          <w:tcPr>
            <w:tcW w:w="1220" w:type="dxa"/>
            <w:vAlign w:val="bottom"/>
          </w:tcPr>
          <w:p>
            <w:pPr>
              <w:spacing w:after="0"/>
              <w:rPr>
                <w:sz w:val="24"/>
                <w:szCs w:val="24"/>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w w:val="96"/>
              </w:rPr>
              <w:t>Weighted average common shares outstanding - Diluted</w:t>
            </w:r>
          </w:p>
        </w:tc>
        <w:tc>
          <w:tcPr>
            <w:tcW w:w="3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45,246</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40,762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44,301</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40,253</w:t>
            </w:r>
          </w:p>
        </w:tc>
        <w:tc>
          <w:tcPr>
            <w:tcW w:w="1220" w:type="dxa"/>
            <w:vAlign w:val="bottom"/>
          </w:tcPr>
          <w:p>
            <w:pPr>
              <w:spacing w:after="0"/>
              <w:rPr>
                <w:sz w:val="21"/>
                <w:szCs w:val="21"/>
                <w:color w:val="auto"/>
              </w:rPr>
            </w:pPr>
          </w:p>
        </w:tc>
      </w:tr>
      <w:tr>
        <w:trPr>
          <w:trHeight w:val="196"/>
        </w:trPr>
        <w:tc>
          <w:tcPr>
            <w:tcW w:w="4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35" w:right="339" w:bottom="1440" w:gutter="0" w:footer="0" w:header="0"/>
          <w:type w:val="continuous"/>
        </w:sectPr>
      </w:pPr>
    </w:p>
    <w:bookmarkStart w:id="8" w:name="page9"/>
    <w:bookmarkEnd w:id="8"/>
    <w:p>
      <w:pPr>
        <w:jc w:val="center"/>
        <w:ind w:right="370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3700"/>
        <w:spacing w:after="0"/>
        <w:rPr>
          <w:sz w:val="20"/>
          <w:szCs w:val="20"/>
          <w:color w:val="auto"/>
        </w:rPr>
      </w:pPr>
      <w:r>
        <w:rPr>
          <w:rFonts w:ascii="Arial" w:cs="Arial" w:eastAsia="Arial" w:hAnsi="Arial"/>
          <w:sz w:val="18"/>
          <w:szCs w:val="18"/>
          <w:b w:val="1"/>
          <w:bCs w:val="1"/>
          <w:color w:val="auto"/>
        </w:rPr>
        <w:t>SEGMENT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w w:val="91"/>
              </w:rPr>
              <w:t>(Unaudited, in thousands)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1"/>
                <w:szCs w:val="21"/>
                <w:color w:val="auto"/>
              </w:rPr>
            </w:pPr>
          </w:p>
        </w:tc>
        <w:tc>
          <w:tcPr>
            <w:tcW w:w="5620" w:type="dxa"/>
            <w:vAlign w:val="bottom"/>
            <w:gridSpan w:val="9"/>
          </w:tcPr>
          <w:p>
            <w:pPr>
              <w:jc w:val="right"/>
              <w:spacing w:after="0"/>
              <w:rPr>
                <w:sz w:val="20"/>
                <w:szCs w:val="20"/>
                <w:color w:val="auto"/>
              </w:rPr>
            </w:pPr>
            <w:r>
              <w:rPr>
                <w:rFonts w:ascii="Arial" w:cs="Arial" w:eastAsia="Arial" w:hAnsi="Arial"/>
                <w:sz w:val="18"/>
                <w:szCs w:val="18"/>
                <w:b w:val="1"/>
                <w:bCs w:val="1"/>
                <w:color w:val="auto"/>
                <w:w w:val="90"/>
              </w:rPr>
              <w:t>Three Months Ended December 31, Twelve Months Ended December 31,</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9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b w:val="1"/>
                <w:bCs w:val="1"/>
                <w:color w:val="auto"/>
              </w:rPr>
              <w:t>Product revenues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154,295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183,360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635,103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684,517</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3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238,134</w:t>
            </w:r>
          </w:p>
        </w:tc>
        <w:tc>
          <w:tcPr>
            <w:tcW w:w="3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250,233</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974,531</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1,148,698</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20" w:type="dxa"/>
            <w:vAlign w:val="bottom"/>
          </w:tcPr>
          <w:p>
            <w:pPr>
              <w:ind w:left="220"/>
              <w:spacing w:after="0"/>
              <w:rPr>
                <w:sz w:val="20"/>
                <w:szCs w:val="20"/>
                <w:color w:val="auto"/>
              </w:rPr>
            </w:pPr>
            <w:r>
              <w:rPr>
                <w:rFonts w:ascii="Arial" w:cs="Arial" w:eastAsia="Arial" w:hAnsi="Arial"/>
                <w:sz w:val="18"/>
                <w:szCs w:val="18"/>
                <w:color w:val="auto"/>
              </w:rPr>
              <w:t>Outcomes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20,296</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17,800</w:t>
            </w: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68,561</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55,958</w:t>
            </w:r>
          </w:p>
        </w:tc>
        <w:tc>
          <w:tcPr>
            <w:tcW w:w="3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412,725</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451,393</w:t>
            </w:r>
          </w:p>
        </w:tc>
        <w:tc>
          <w:tcPr>
            <w:tcW w:w="20" w:type="dxa"/>
            <w:vAlign w:val="bottom"/>
          </w:tcPr>
          <w:p>
            <w:pPr>
              <w:spacing w:after="0"/>
              <w:rPr>
                <w:sz w:val="20"/>
                <w:szCs w:val="20"/>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1,678,195</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1,889,173</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Service revenues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2,827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3,063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10,001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9,478</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3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26,627</w:t>
            </w:r>
          </w:p>
        </w:tc>
        <w:tc>
          <w:tcPr>
            <w:tcW w:w="3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27,185</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118,100</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100,704</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20" w:type="dxa"/>
            <w:vAlign w:val="bottom"/>
          </w:tcPr>
          <w:p>
            <w:pPr>
              <w:ind w:left="220"/>
              <w:spacing w:after="0"/>
              <w:rPr>
                <w:sz w:val="20"/>
                <w:szCs w:val="20"/>
                <w:color w:val="auto"/>
              </w:rPr>
            </w:pPr>
            <w:r>
              <w:rPr>
                <w:rFonts w:ascii="Arial" w:cs="Arial" w:eastAsia="Arial" w:hAnsi="Arial"/>
                <w:sz w:val="18"/>
                <w:szCs w:val="18"/>
                <w:color w:val="auto"/>
              </w:rPr>
              <w:t>Outcomes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43,458</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43,516</w:t>
            </w: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175,276</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173,995</w:t>
            </w:r>
          </w:p>
        </w:tc>
        <w:tc>
          <w:tcPr>
            <w:tcW w:w="3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72,912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73,764</w:t>
            </w:r>
          </w:p>
        </w:tc>
        <w:tc>
          <w:tcPr>
            <w:tcW w:w="20" w:type="dxa"/>
            <w:vAlign w:val="bottom"/>
          </w:tcPr>
          <w:p>
            <w:pPr>
              <w:spacing w:after="0"/>
              <w:rPr>
                <w:sz w:val="20"/>
                <w:szCs w:val="20"/>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303,377</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284,177</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157,122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186,423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645,104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693,995</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3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264,761</w:t>
            </w:r>
          </w:p>
        </w:tc>
        <w:tc>
          <w:tcPr>
            <w:tcW w:w="3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277,418</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1,092,631</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1,249,402</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20" w:type="dxa"/>
            <w:vAlign w:val="bottom"/>
          </w:tcPr>
          <w:p>
            <w:pPr>
              <w:ind w:left="220"/>
              <w:spacing w:after="0"/>
              <w:rPr>
                <w:sz w:val="20"/>
                <w:szCs w:val="20"/>
                <w:color w:val="auto"/>
              </w:rPr>
            </w:pPr>
            <w:r>
              <w:rPr>
                <w:rFonts w:ascii="Arial" w:cs="Arial" w:eastAsia="Arial" w:hAnsi="Arial"/>
                <w:sz w:val="18"/>
                <w:szCs w:val="18"/>
                <w:color w:val="auto"/>
              </w:rPr>
              <w:t>Outcomes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63,754</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61,316</w:t>
            </w: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243,837</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229,953</w:t>
            </w:r>
          </w:p>
        </w:tc>
        <w:tc>
          <w:tcPr>
            <w:tcW w:w="3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485,637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525,157</w:t>
            </w:r>
          </w:p>
        </w:tc>
        <w:tc>
          <w:tcPr>
            <w:tcW w:w="20" w:type="dxa"/>
            <w:vAlign w:val="bottom"/>
          </w:tcPr>
          <w:p>
            <w:pPr>
              <w:spacing w:after="0"/>
              <w:rPr>
                <w:sz w:val="20"/>
                <w:szCs w:val="20"/>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1,981,572</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2,173,350</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14,127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22,016</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99,355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86,859</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3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80,006</w:t>
            </w:r>
          </w:p>
        </w:tc>
        <w:tc>
          <w:tcPr>
            <w:tcW w:w="3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100,538</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378,633</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432,906</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20" w:type="dxa"/>
            <w:vAlign w:val="bottom"/>
          </w:tcPr>
          <w:p>
            <w:pPr>
              <w:ind w:left="220"/>
              <w:spacing w:after="0"/>
              <w:rPr>
                <w:sz w:val="20"/>
                <w:szCs w:val="20"/>
                <w:color w:val="auto"/>
              </w:rPr>
            </w:pPr>
            <w:r>
              <w:rPr>
                <w:rFonts w:ascii="Arial" w:cs="Arial" w:eastAsia="Arial" w:hAnsi="Arial"/>
                <w:sz w:val="18"/>
                <w:szCs w:val="18"/>
                <w:color w:val="auto"/>
              </w:rPr>
              <w:t>Outcomes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27,154</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26,279</w:t>
            </w: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95,181</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82,402</w:t>
            </w:r>
          </w:p>
        </w:tc>
        <w:tc>
          <w:tcPr>
            <w:tcW w:w="3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121,287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148,833</w:t>
            </w:r>
          </w:p>
        </w:tc>
        <w:tc>
          <w:tcPr>
            <w:tcW w:w="20" w:type="dxa"/>
            <w:vAlign w:val="bottom"/>
          </w:tcPr>
          <w:p>
            <w:pPr>
              <w:spacing w:after="0"/>
              <w:rPr>
                <w:sz w:val="20"/>
                <w:szCs w:val="20"/>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573,169</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602,167</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w w:val="92"/>
              </w:rPr>
              <w:t>Operating income (loss)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3,433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12,674</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57,217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40,769</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3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49,363</w:t>
            </w:r>
          </w:p>
        </w:tc>
        <w:tc>
          <w:tcPr>
            <w:tcW w:w="3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70,633</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254,434</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308,099</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Arial" w:cs="Arial" w:eastAsia="Arial" w:hAnsi="Arial"/>
                <w:sz w:val="18"/>
                <w:szCs w:val="18"/>
                <w:color w:val="auto"/>
              </w:rPr>
              <w:t>Outcomes</w:t>
            </w:r>
          </w:p>
        </w:tc>
        <w:tc>
          <w:tcPr>
            <w:tcW w:w="3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15,984</w:t>
            </w:r>
          </w:p>
        </w:tc>
        <w:tc>
          <w:tcPr>
            <w:tcW w:w="3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18,151</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50,631</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47,619</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20" w:type="dxa"/>
            <w:vAlign w:val="bottom"/>
          </w:tcPr>
          <w:p>
            <w:pPr>
              <w:ind w:left="220"/>
              <w:spacing w:after="0"/>
              <w:rPr>
                <w:sz w:val="20"/>
                <w:szCs w:val="20"/>
                <w:color w:val="auto"/>
              </w:rPr>
            </w:pPr>
            <w:r>
              <w:rPr>
                <w:rFonts w:ascii="Arial" w:cs="Arial" w:eastAsia="Arial" w:hAnsi="Arial"/>
                <w:sz w:val="18"/>
                <w:szCs w:val="18"/>
                <w:color w:val="auto"/>
                <w:w w:val="94"/>
              </w:rPr>
              <w:t>Corporate unallocated</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(176,250)</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(68,856)</w:t>
            </w: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(441,581)</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(406,882)</w:t>
            </w:r>
          </w:p>
        </w:tc>
        <w:tc>
          <w:tcPr>
            <w:tcW w:w="3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92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(107,470)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32,602</w:t>
            </w:r>
          </w:p>
        </w:tc>
        <w:tc>
          <w:tcPr>
            <w:tcW w:w="20" w:type="dxa"/>
            <w:vAlign w:val="bottom"/>
          </w:tcPr>
          <w:p>
            <w:pPr>
              <w:spacing w:after="0"/>
              <w:rPr>
                <w:sz w:val="20"/>
                <w:szCs w:val="20"/>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(79,299)</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sectPr>
      </w:pPr>
    </w:p>
    <w:bookmarkStart w:id="9" w:name="page10"/>
    <w:bookmarkEnd w:id="9"/>
    <w:p>
      <w:pPr>
        <w:jc w:val="center"/>
        <w:ind w:right="488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4880"/>
        <w:spacing w:after="0"/>
        <w:rPr>
          <w:sz w:val="20"/>
          <w:szCs w:val="20"/>
          <w:color w:val="auto"/>
        </w:rPr>
      </w:pPr>
      <w:r>
        <w:rPr>
          <w:rFonts w:ascii="Arial" w:cs="Arial" w:eastAsia="Arial" w:hAnsi="Arial"/>
          <w:sz w:val="18"/>
          <w:szCs w:val="18"/>
          <w:b w:val="1"/>
          <w:bCs w:val="1"/>
          <w:color w:val="auto"/>
        </w:rPr>
        <w:t>CONSOLIDATED BALANCE SHEETS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(Unaudited, in thousands)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1"/>
                <w:szCs w:val="21"/>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9"/>
              </w:rPr>
              <w:t>December 31, 2021 December 31, 2020</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13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162,579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206,933</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298,459</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369,828</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165,799</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182,377</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123,092</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171,124</w:t>
            </w:r>
          </w:p>
        </w:tc>
        <w:tc>
          <w:tcPr>
            <w:tcW w:w="4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749,929</w:t>
            </w: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930,262</w:t>
            </w:r>
          </w:p>
        </w:tc>
        <w:tc>
          <w:tcPr>
            <w:tcW w:w="4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163,184</w:t>
            </w:r>
          </w:p>
        </w:tc>
        <w:tc>
          <w:tcPr>
            <w:tcW w:w="4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207,816</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181,472</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76,142</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Other long-term assets</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42,178</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51,656</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65,523</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76,276</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92,529</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132,955</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1,098,975</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1,131,916</w:t>
            </w:r>
          </w:p>
        </w:tc>
        <w:tc>
          <w:tcPr>
            <w:tcW w:w="4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2,393,790</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2,607,023</w:t>
            </w: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193,129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215,639</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81,253</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72,591</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Arial" w:cs="Arial" w:eastAsia="Arial" w:hAnsi="Arial"/>
                <w:sz w:val="18"/>
                <w:szCs w:val="18"/>
                <w:color w:val="auto"/>
              </w:rPr>
              <w:t>Wages and benefits payable</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113,532</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86,249</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Arial" w:cs="Arial" w:eastAsia="Arial" w:hAnsi="Arial"/>
                <w:sz w:val="18"/>
                <w:szCs w:val="18"/>
                <w:color w:val="auto"/>
              </w:rPr>
              <w:t>Taxes payable</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12,208</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15,804</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Arial" w:cs="Arial" w:eastAsia="Arial" w:hAnsi="Arial"/>
                <w:sz w:val="18"/>
                <w:szCs w:val="18"/>
                <w:color w:val="auto"/>
              </w:rPr>
              <w:t>Current portion of debt</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18,359</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Arial" w:cs="Arial" w:eastAsia="Arial" w:hAnsi="Arial"/>
                <w:sz w:val="18"/>
                <w:szCs w:val="18"/>
                <w:color w:val="auto"/>
              </w:rPr>
              <w:t>Current portion of warranty</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18,406</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28,329</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0" w:type="dxa"/>
            <w:vAlign w:val="bottom"/>
          </w:tcPr>
          <w:p>
            <w:pPr>
              <w:ind w:left="220"/>
              <w:spacing w:after="0"/>
              <w:rPr>
                <w:sz w:val="20"/>
                <w:szCs w:val="20"/>
                <w:color w:val="auto"/>
              </w:rPr>
            </w:pPr>
            <w:r>
              <w:rPr>
                <w:rFonts w:ascii="Arial" w:cs="Arial" w:eastAsia="Arial" w:hAnsi="Arial"/>
                <w:sz w:val="18"/>
                <w:szCs w:val="18"/>
                <w:color w:val="auto"/>
              </w:rPr>
              <w:t>Unearned revenue</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82,816</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112,928</w:t>
            </w:r>
          </w:p>
        </w:tc>
        <w:tc>
          <w:tcPr>
            <w:tcW w:w="4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501,344</w:t>
            </w: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549,899</w:t>
            </w:r>
          </w:p>
        </w:tc>
        <w:tc>
          <w:tcPr>
            <w:tcW w:w="4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00" w:type="dxa"/>
            <w:vAlign w:val="bottom"/>
          </w:tcPr>
          <w:p>
            <w:pPr>
              <w:spacing w:after="0"/>
              <w:rPr>
                <w:sz w:val="20"/>
                <w:szCs w:val="20"/>
                <w:color w:val="auto"/>
              </w:rPr>
            </w:pPr>
            <w:r>
              <w:rPr>
                <w:rFonts w:ascii="Arial" w:cs="Arial" w:eastAsia="Arial" w:hAnsi="Arial"/>
                <w:sz w:val="18"/>
                <w:szCs w:val="18"/>
                <w:color w:val="auto"/>
              </w:rPr>
              <w:t>Long-term debt, net</w:t>
            </w:r>
          </w:p>
        </w:tc>
        <w:tc>
          <w:tcPr>
            <w:tcW w:w="38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450,228</w:t>
            </w:r>
          </w:p>
        </w:tc>
        <w:tc>
          <w:tcPr>
            <w:tcW w:w="4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902,577</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Long-term warranty</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13,616</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13,061</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87,863</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119,457</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1,921</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57,314</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66,823</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138,666</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113,012</w:t>
            </w:r>
          </w:p>
        </w:tc>
        <w:tc>
          <w:tcPr>
            <w:tcW w:w="4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1,251,031</w:t>
            </w: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1,766,750</w:t>
            </w:r>
          </w:p>
        </w:tc>
        <w:tc>
          <w:tcPr>
            <w:tcW w:w="4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00" w:type="dxa"/>
            <w:vAlign w:val="bottom"/>
          </w:tcPr>
          <w:p>
            <w:pPr>
              <w:spacing w:after="0"/>
              <w:rPr>
                <w:sz w:val="20"/>
                <w:szCs w:val="20"/>
                <w:color w:val="auto"/>
              </w:rPr>
            </w:pPr>
            <w:r>
              <w:rPr>
                <w:rFonts w:ascii="Arial" w:cs="Arial" w:eastAsia="Arial" w:hAnsi="Arial"/>
                <w:sz w:val="18"/>
                <w:szCs w:val="18"/>
                <w:color w:val="auto"/>
              </w:rPr>
              <w:t>Equity</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1,779,775</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1,389,419</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Arial" w:cs="Arial" w:eastAsia="Arial" w:hAnsi="Arial"/>
                <w:sz w:val="18"/>
                <w:szCs w:val="18"/>
                <w:color w:val="auto"/>
                <w:w w:val="90"/>
              </w:rPr>
              <w:t>Accumulated other comprehensive loss, net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(148,098)</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(138,526)</w:t>
            </w: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(515,600)</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(434,345)</w:t>
            </w:r>
          </w:p>
        </w:tc>
        <w:tc>
          <w:tcPr>
            <w:tcW w:w="4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0" w:type="dxa"/>
            <w:vAlign w:val="bottom"/>
          </w:tcPr>
          <w:p>
            <w:pPr>
              <w:ind w:left="420"/>
              <w:spacing w:after="0"/>
              <w:rPr>
                <w:sz w:val="20"/>
                <w:szCs w:val="20"/>
                <w:color w:val="auto"/>
              </w:rPr>
            </w:pPr>
            <w:r>
              <w:rPr>
                <w:rFonts w:ascii="Arial" w:cs="Arial" w:eastAsia="Arial" w:hAnsi="Arial"/>
                <w:sz w:val="18"/>
                <w:szCs w:val="18"/>
                <w:color w:val="auto"/>
              </w:rPr>
              <w:t>Total Itron, Inc. shareholders' equity</w:t>
            </w:r>
          </w:p>
        </w:tc>
        <w:tc>
          <w:tcPr>
            <w:tcW w:w="3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1,116,077</w:t>
            </w: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816,548</w:t>
            </w:r>
          </w:p>
        </w:tc>
        <w:tc>
          <w:tcPr>
            <w:tcW w:w="4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40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26,682</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23,725</w:t>
            </w:r>
          </w:p>
        </w:tc>
        <w:tc>
          <w:tcPr>
            <w:tcW w:w="4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400" w:type="dxa"/>
            <w:vAlign w:val="bottom"/>
          </w:tcPr>
          <w:p>
            <w:pPr>
              <w:ind w:left="420"/>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1,142,759</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840,273</w:t>
            </w: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2,393,790</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2,607,023</w:t>
            </w: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sectPr>
      </w:pPr>
    </w:p>
    <w:bookmarkStart w:id="10" w:name="page11"/>
    <w:bookmarkEnd w:id="10"/>
    <w:p>
      <w:pPr>
        <w:jc w:val="center"/>
        <w:ind w:right="1579"/>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15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9"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(Unaudited, in thousands)</w:t>
      </w:r>
      <w:r>
        <w:rPr>
          <w:sz w:val="20"/>
          <w:szCs w:val="20"/>
          <w:color w:val="auto"/>
        </w:rPr>
        <w:tab/>
      </w: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26035</wp:posOffset>
            </wp:positionV>
            <wp:extent cx="12858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ectPr>
          <w:pgSz w:w="11900" w:h="16838" w:orient="portrait"/>
          <w:cols w:equalWidth="0" w:num="1">
            <w:col w:w="10139"/>
          </w:cols>
          <w:pgMar w:left="320" w:top="135" w:right="1440" w:bottom="1440" w:gutter="0" w:footer="0" w:header="0"/>
        </w:sect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income (loss)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Depreciation and amortization of intangible assets</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Non-cash operating lease expense</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of prepaid debt fees</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taxes,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Loss on sale of business</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Loss on extinguishment of debt,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Restructuring, non-cash</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adjustments, net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 net of acquisitions: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Inventories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current assets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long-term assets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payable, other current liabilities, and taxes payable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Wages and benefits payable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Unearned revenue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Warranty</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operating,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provided by operating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proceeds related to the sale of business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Acquisitions of property, plant, and equipment</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Business acquisitions, net of cash and cash equivalents acquired</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investing,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used in investing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borrowings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Payments on debt</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Issuance of common stock</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common stock offering</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sale of warrants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Purchases of convertible note hedge contracts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Repurchase of common stock</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Prepaid debt fees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financing,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used in financing activities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Less: Cash classified within assets held for sale</w:t>
      </w:r>
    </w:p>
    <w:p>
      <w:pPr>
        <w:spacing w:after="0" w:line="293" w:lineRule="exact"/>
        <w:rPr>
          <w:sz w:val="20"/>
          <w:szCs w:val="20"/>
          <w:color w:val="auto"/>
        </w:rPr>
      </w:pPr>
    </w:p>
    <w:p>
      <w:pPr>
        <w:ind w:right="1480"/>
        <w:spacing w:after="0" w:line="289" w:lineRule="auto"/>
        <w:rPr>
          <w:sz w:val="20"/>
          <w:szCs w:val="20"/>
          <w:color w:val="auto"/>
        </w:rPr>
      </w:pPr>
      <w:r>
        <w:rPr>
          <w:rFonts w:ascii="Arial" w:cs="Arial" w:eastAsia="Arial" w:hAnsi="Arial"/>
          <w:sz w:val="18"/>
          <w:szCs w:val="18"/>
          <w:color w:val="auto"/>
        </w:rPr>
        <w:t>Effect of foreign exchange rate changes on cash and cash equivalents Increase (decrease) in cash and cash equivalents</w:t>
      </w:r>
    </w:p>
    <w:p>
      <w:pPr>
        <w:spacing w:after="0" w:line="1" w:lineRule="exact"/>
        <w:rPr>
          <w:sz w:val="20"/>
          <w:szCs w:val="20"/>
          <w:color w:val="auto"/>
        </w:rPr>
      </w:pPr>
    </w:p>
    <w:p>
      <w:pPr>
        <w:ind w:right="2940"/>
        <w:spacing w:after="0" w:line="395" w:lineRule="auto"/>
        <w:rPr>
          <w:sz w:val="20"/>
          <w:szCs w:val="20"/>
          <w:color w:val="auto"/>
        </w:rPr>
      </w:pPr>
      <w:r>
        <w:rPr>
          <w:rFonts w:ascii="Arial" w:cs="Arial" w:eastAsia="Arial" w:hAnsi="Arial"/>
          <w:sz w:val="16"/>
          <w:szCs w:val="16"/>
          <w:color w:val="auto"/>
        </w:rPr>
        <w:t>Cash and cash equivalents at beginning of period 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280"/>
        <w:spacing w:after="0"/>
        <w:tabs>
          <w:tab w:leader="none" w:pos="13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12858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77" w:lineRule="exact"/>
        <w:rPr>
          <w:sz w:val="20"/>
          <w:szCs w:val="20"/>
          <w:color w:val="auto"/>
        </w:rPr>
      </w:pPr>
    </w:p>
    <w:p>
      <w:pPr>
        <w:ind w:left="320" w:hanging="300"/>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(78,298)  $   (56,877)</w:t>
      </w:r>
    </w:p>
    <w:p>
      <w:pPr>
        <w:spacing w:after="0" w:line="291"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8"/>
          <w:szCs w:val="18"/>
          <w:color w:val="auto"/>
        </w:rPr>
        <w:t>84,153</w:t>
      </w:r>
      <w:r>
        <w:rPr>
          <w:sz w:val="20"/>
          <w:szCs w:val="20"/>
          <w:color w:val="auto"/>
        </w:rPr>
        <w:tab/>
      </w:r>
      <w:r>
        <w:rPr>
          <w:rFonts w:ascii="Arial" w:cs="Arial" w:eastAsia="Arial" w:hAnsi="Arial"/>
          <w:sz w:val="18"/>
          <w:szCs w:val="18"/>
          <w:color w:val="auto"/>
        </w:rPr>
        <w:t>97,290</w:t>
      </w:r>
    </w:p>
    <w:p>
      <w:pPr>
        <w:spacing w:after="0" w:line="3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8"/>
          <w:szCs w:val="18"/>
          <w:color w:val="auto"/>
        </w:rPr>
        <w:t>17,107</w:t>
      </w:r>
      <w:r>
        <w:rPr>
          <w:sz w:val="20"/>
          <w:szCs w:val="20"/>
          <w:color w:val="auto"/>
        </w:rPr>
        <w:tab/>
      </w:r>
      <w:r>
        <w:rPr>
          <w:rFonts w:ascii="Arial" w:cs="Arial" w:eastAsia="Arial" w:hAnsi="Arial"/>
          <w:sz w:val="18"/>
          <w:szCs w:val="18"/>
          <w:color w:val="auto"/>
        </w:rPr>
        <w:t>18,178</w:t>
      </w:r>
    </w:p>
    <w:p>
      <w:pPr>
        <w:spacing w:after="0" w:line="3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8"/>
          <w:szCs w:val="18"/>
          <w:color w:val="auto"/>
        </w:rPr>
        <w:t>23,618</w:t>
      </w:r>
      <w:r>
        <w:rPr>
          <w:sz w:val="20"/>
          <w:szCs w:val="20"/>
          <w:color w:val="auto"/>
        </w:rPr>
        <w:tab/>
      </w:r>
      <w:r>
        <w:rPr>
          <w:rFonts w:ascii="Arial" w:cs="Arial" w:eastAsia="Arial" w:hAnsi="Arial"/>
          <w:sz w:val="18"/>
          <w:szCs w:val="18"/>
          <w:color w:val="auto"/>
        </w:rPr>
        <w:t>25,053</w:t>
      </w:r>
    </w:p>
    <w:p>
      <w:pPr>
        <w:spacing w:after="0" w:line="36"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18,253</w:t>
      </w:r>
      <w:r>
        <w:rPr>
          <w:sz w:val="20"/>
          <w:szCs w:val="20"/>
          <w:color w:val="auto"/>
        </w:rPr>
        <w:tab/>
      </w:r>
      <w:r>
        <w:rPr>
          <w:rFonts w:ascii="Arial" w:cs="Arial" w:eastAsia="Arial" w:hAnsi="Arial"/>
          <w:sz w:val="18"/>
          <w:szCs w:val="18"/>
          <w:color w:val="auto"/>
        </w:rPr>
        <w:t>4,130</w:t>
      </w:r>
    </w:p>
    <w:p>
      <w:pPr>
        <w:spacing w:after="0" w:line="36" w:lineRule="exact"/>
        <w:rPr>
          <w:sz w:val="20"/>
          <w:szCs w:val="20"/>
          <w:color w:val="auto"/>
        </w:rPr>
      </w:pPr>
    </w:p>
    <w:p>
      <w:pPr>
        <w:jc w:val="both"/>
        <w:ind w:left="320"/>
        <w:spacing w:after="0"/>
        <w:tabs>
          <w:tab w:leader="none" w:pos="1340" w:val="left"/>
        </w:tabs>
        <w:rPr>
          <w:sz w:val="20"/>
          <w:szCs w:val="20"/>
          <w:color w:val="auto"/>
        </w:rPr>
      </w:pPr>
      <w:r>
        <w:rPr>
          <w:rFonts w:ascii="Arial" w:cs="Arial" w:eastAsia="Arial" w:hAnsi="Arial"/>
          <w:sz w:val="18"/>
          <w:szCs w:val="18"/>
          <w:color w:val="auto"/>
        </w:rPr>
        <w:t>(85,574)</w:t>
      </w:r>
      <w:r>
        <w:rPr>
          <w:sz w:val="20"/>
          <w:szCs w:val="20"/>
          <w:color w:val="auto"/>
        </w:rPr>
        <w:tab/>
      </w:r>
      <w:r>
        <w:rPr>
          <w:rFonts w:ascii="Arial" w:cs="Arial" w:eastAsia="Arial" w:hAnsi="Arial"/>
          <w:sz w:val="18"/>
          <w:szCs w:val="18"/>
          <w:color w:val="auto"/>
        </w:rPr>
        <w:t>(12,939)</w:t>
      </w:r>
    </w:p>
    <w:p>
      <w:pPr>
        <w:spacing w:after="0" w:line="3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8"/>
          <w:szCs w:val="18"/>
          <w:color w:val="auto"/>
        </w:rPr>
        <w:t>64,289</w:t>
      </w:r>
      <w:r>
        <w:rPr>
          <w:sz w:val="20"/>
          <w:szCs w:val="20"/>
          <w:color w:val="auto"/>
        </w:rPr>
        <w:tab/>
      </w:r>
      <w:r>
        <w:rPr>
          <w:rFonts w:ascii="Arial" w:cs="Arial" w:eastAsia="Arial" w:hAnsi="Arial"/>
          <w:sz w:val="18"/>
          <w:szCs w:val="18"/>
          <w:color w:val="auto"/>
        </w:rPr>
        <w:t>59,817</w:t>
      </w:r>
    </w:p>
    <w:p>
      <w:pPr>
        <w:spacing w:after="0" w:line="36" w:lineRule="exact"/>
        <w:rPr>
          <w:sz w:val="20"/>
          <w:szCs w:val="20"/>
          <w:color w:val="auto"/>
        </w:rPr>
      </w:pPr>
    </w:p>
    <w:p>
      <w:pPr>
        <w:ind w:left="380"/>
        <w:spacing w:after="0"/>
        <w:tabs>
          <w:tab w:leader="none" w:pos="1720" w:val="left"/>
        </w:tabs>
        <w:rPr>
          <w:sz w:val="20"/>
          <w:szCs w:val="20"/>
          <w:color w:val="auto"/>
        </w:rPr>
      </w:pPr>
      <w:r>
        <w:rPr>
          <w:rFonts w:ascii="Arial" w:cs="Arial" w:eastAsia="Arial" w:hAnsi="Arial"/>
          <w:sz w:val="18"/>
          <w:szCs w:val="18"/>
          <w:color w:val="auto"/>
        </w:rPr>
        <w:t>10,000</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8,744</w:t>
      </w:r>
      <w:r>
        <w:rPr>
          <w:sz w:val="20"/>
          <w:szCs w:val="20"/>
          <w:color w:val="auto"/>
        </w:rPr>
        <w:tab/>
      </w:r>
      <w:r>
        <w:rPr>
          <w:rFonts w:ascii="Arial" w:cs="Arial" w:eastAsia="Arial" w:hAnsi="Arial"/>
          <w:sz w:val="18"/>
          <w:szCs w:val="18"/>
          <w:color w:val="auto"/>
        </w:rPr>
        <w:t>5,888</w:t>
      </w:r>
    </w:p>
    <w:p>
      <w:pPr>
        <w:spacing w:after="0" w:line="36"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2,930</w:t>
      </w:r>
      <w:r>
        <w:rPr>
          <w:sz w:val="20"/>
          <w:szCs w:val="20"/>
          <w:color w:val="auto"/>
        </w:rPr>
        <w:tab/>
      </w:r>
      <w:r>
        <w:rPr>
          <w:rFonts w:ascii="Arial" w:cs="Arial" w:eastAsia="Arial" w:hAnsi="Arial"/>
          <w:sz w:val="18"/>
          <w:szCs w:val="18"/>
          <w:color w:val="auto"/>
        </w:rPr>
        <w:t>10,392</w:t>
      </w:r>
    </w:p>
    <w:p>
      <w:pPr>
        <w:spacing w:after="0" w:line="279"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7"/>
          <w:szCs w:val="17"/>
          <w:color w:val="auto"/>
        </w:rPr>
        <w:t>60,242</w:t>
      </w:r>
      <w:r>
        <w:rPr>
          <w:sz w:val="20"/>
          <w:szCs w:val="20"/>
          <w:color w:val="auto"/>
        </w:rPr>
        <w:tab/>
      </w:r>
      <w:r>
        <w:rPr>
          <w:rFonts w:ascii="Arial" w:cs="Arial" w:eastAsia="Arial" w:hAnsi="Arial"/>
          <w:sz w:val="17"/>
          <w:szCs w:val="17"/>
          <w:color w:val="auto"/>
        </w:rPr>
        <w:t>108,256</w:t>
      </w:r>
    </w:p>
    <w:p>
      <w:pPr>
        <w:spacing w:after="0" w:line="48" w:lineRule="exact"/>
        <w:rPr>
          <w:sz w:val="20"/>
          <w:szCs w:val="20"/>
          <w:color w:val="auto"/>
        </w:rPr>
      </w:pPr>
    </w:p>
    <w:p>
      <w:pPr>
        <w:ind w:left="400"/>
        <w:spacing w:after="0"/>
        <w:tabs>
          <w:tab w:leader="none" w:pos="1400" w:val="left"/>
        </w:tabs>
        <w:rPr>
          <w:sz w:val="20"/>
          <w:szCs w:val="20"/>
          <w:color w:val="auto"/>
        </w:rPr>
      </w:pPr>
      <w:r>
        <w:rPr>
          <w:rFonts w:ascii="Arial" w:cs="Arial" w:eastAsia="Arial" w:hAnsi="Arial"/>
          <w:sz w:val="18"/>
          <w:szCs w:val="18"/>
          <w:color w:val="auto"/>
        </w:rPr>
        <w:t>(3,721)</w:t>
      </w:r>
      <w:r>
        <w:rPr>
          <w:sz w:val="20"/>
          <w:szCs w:val="20"/>
          <w:color w:val="auto"/>
        </w:rPr>
        <w:tab/>
      </w:r>
      <w:r>
        <w:rPr>
          <w:rFonts w:ascii="Arial" w:cs="Arial" w:eastAsia="Arial" w:hAnsi="Arial"/>
          <w:sz w:val="18"/>
          <w:szCs w:val="18"/>
          <w:color w:val="auto"/>
        </w:rPr>
        <w:t>35,403</w:t>
      </w:r>
    </w:p>
    <w:p>
      <w:pPr>
        <w:spacing w:after="0" w:line="36" w:lineRule="exact"/>
        <w:rPr>
          <w:sz w:val="20"/>
          <w:szCs w:val="20"/>
          <w:color w:val="auto"/>
        </w:rPr>
      </w:pPr>
    </w:p>
    <w:p>
      <w:pPr>
        <w:jc w:val="both"/>
        <w:ind w:left="380"/>
        <w:spacing w:after="0"/>
        <w:tabs>
          <w:tab w:leader="none" w:pos="1360" w:val="left"/>
        </w:tabs>
        <w:rPr>
          <w:sz w:val="20"/>
          <w:szCs w:val="20"/>
          <w:color w:val="auto"/>
        </w:rPr>
      </w:pPr>
      <w:r>
        <w:rPr>
          <w:rFonts w:ascii="Arial" w:cs="Arial" w:eastAsia="Arial" w:hAnsi="Arial"/>
          <w:sz w:val="18"/>
          <w:szCs w:val="18"/>
          <w:color w:val="auto"/>
        </w:rPr>
        <w:t>41,461</w:t>
      </w:r>
      <w:r>
        <w:rPr>
          <w:sz w:val="20"/>
          <w:szCs w:val="20"/>
          <w:color w:val="auto"/>
        </w:rPr>
        <w:tab/>
      </w:r>
      <w:r>
        <w:rPr>
          <w:rFonts w:ascii="Arial" w:cs="Arial" w:eastAsia="Arial" w:hAnsi="Arial"/>
          <w:sz w:val="18"/>
          <w:szCs w:val="18"/>
          <w:color w:val="auto"/>
        </w:rPr>
        <w:t>(11,832)</w:t>
      </w:r>
    </w:p>
    <w:p>
      <w:pPr>
        <w:spacing w:after="0" w:line="36" w:lineRule="exact"/>
        <w:rPr>
          <w:sz w:val="20"/>
          <w:szCs w:val="20"/>
          <w:color w:val="auto"/>
        </w:rPr>
      </w:pPr>
    </w:p>
    <w:p>
      <w:pPr>
        <w:jc w:val="both"/>
        <w:ind w:left="460"/>
        <w:spacing w:after="0"/>
        <w:tabs>
          <w:tab w:leader="none" w:pos="1360" w:val="left"/>
        </w:tabs>
        <w:rPr>
          <w:sz w:val="20"/>
          <w:szCs w:val="20"/>
          <w:color w:val="auto"/>
        </w:rPr>
      </w:pPr>
      <w:r>
        <w:rPr>
          <w:rFonts w:ascii="Arial" w:cs="Arial" w:eastAsia="Arial" w:hAnsi="Arial"/>
          <w:sz w:val="18"/>
          <w:szCs w:val="18"/>
          <w:color w:val="auto"/>
        </w:rPr>
        <w:t>4,515</w:t>
      </w:r>
      <w:r>
        <w:rPr>
          <w:sz w:val="20"/>
          <w:szCs w:val="20"/>
          <w:color w:val="auto"/>
        </w:rPr>
        <w:tab/>
      </w:r>
      <w:r>
        <w:rPr>
          <w:rFonts w:ascii="Arial" w:cs="Arial" w:eastAsia="Arial" w:hAnsi="Arial"/>
          <w:sz w:val="18"/>
          <w:szCs w:val="18"/>
          <w:color w:val="auto"/>
        </w:rPr>
        <w:t>(11,391)</w:t>
      </w:r>
    </w:p>
    <w:p>
      <w:pPr>
        <w:spacing w:after="0" w:line="36" w:lineRule="exact"/>
        <w:rPr>
          <w:sz w:val="20"/>
          <w:szCs w:val="20"/>
          <w:color w:val="auto"/>
        </w:rPr>
      </w:pPr>
    </w:p>
    <w:p>
      <w:pPr>
        <w:jc w:val="both"/>
        <w:ind w:left="320"/>
        <w:spacing w:after="0"/>
        <w:tabs>
          <w:tab w:leader="none" w:pos="1260" w:val="left"/>
        </w:tabs>
        <w:rPr>
          <w:sz w:val="20"/>
          <w:szCs w:val="20"/>
          <w:color w:val="auto"/>
        </w:rPr>
      </w:pPr>
      <w:r>
        <w:rPr>
          <w:rFonts w:ascii="Arial" w:cs="Arial" w:eastAsia="Arial" w:hAnsi="Arial"/>
          <w:sz w:val="18"/>
          <w:szCs w:val="18"/>
          <w:color w:val="auto"/>
        </w:rPr>
        <w:t>(23,391)</w:t>
      </w:r>
      <w:r>
        <w:rPr>
          <w:sz w:val="20"/>
          <w:szCs w:val="20"/>
          <w:color w:val="auto"/>
        </w:rPr>
        <w:tab/>
      </w:r>
      <w:r>
        <w:rPr>
          <w:rFonts w:ascii="Arial" w:cs="Arial" w:eastAsia="Arial" w:hAnsi="Arial"/>
          <w:sz w:val="18"/>
          <w:szCs w:val="18"/>
          <w:color w:val="auto"/>
        </w:rPr>
        <w:t>(111,724)</w:t>
      </w:r>
    </w:p>
    <w:p>
      <w:pPr>
        <w:spacing w:after="0" w:line="36" w:lineRule="exact"/>
        <w:rPr>
          <w:sz w:val="20"/>
          <w:szCs w:val="20"/>
          <w:color w:val="auto"/>
        </w:rPr>
      </w:pPr>
    </w:p>
    <w:p>
      <w:pPr>
        <w:jc w:val="both"/>
        <w:ind w:left="380"/>
        <w:spacing w:after="0"/>
        <w:tabs>
          <w:tab w:leader="none" w:pos="1340" w:val="left"/>
        </w:tabs>
        <w:rPr>
          <w:sz w:val="20"/>
          <w:szCs w:val="20"/>
          <w:color w:val="auto"/>
        </w:rPr>
      </w:pPr>
      <w:r>
        <w:rPr>
          <w:rFonts w:ascii="Arial" w:cs="Arial" w:eastAsia="Arial" w:hAnsi="Arial"/>
          <w:sz w:val="18"/>
          <w:szCs w:val="18"/>
          <w:color w:val="auto"/>
        </w:rPr>
        <w:t>30,915</w:t>
      </w:r>
      <w:r>
        <w:rPr>
          <w:sz w:val="20"/>
          <w:szCs w:val="20"/>
          <w:color w:val="auto"/>
        </w:rPr>
        <w:tab/>
      </w:r>
      <w:r>
        <w:rPr>
          <w:rFonts w:ascii="Arial" w:cs="Arial" w:eastAsia="Arial" w:hAnsi="Arial"/>
          <w:sz w:val="18"/>
          <w:szCs w:val="18"/>
          <w:color w:val="auto"/>
        </w:rPr>
        <w:t>(34,664)</w:t>
      </w:r>
    </w:p>
    <w:p>
      <w:pPr>
        <w:spacing w:after="0" w:line="36" w:lineRule="exact"/>
        <w:rPr>
          <w:sz w:val="20"/>
          <w:szCs w:val="20"/>
          <w:color w:val="auto"/>
        </w:rPr>
      </w:pPr>
    </w:p>
    <w:p>
      <w:pPr>
        <w:ind w:left="320"/>
        <w:spacing w:after="0"/>
        <w:tabs>
          <w:tab w:leader="none" w:pos="1500" w:val="left"/>
        </w:tabs>
        <w:rPr>
          <w:sz w:val="20"/>
          <w:szCs w:val="20"/>
          <w:color w:val="auto"/>
        </w:rPr>
      </w:pPr>
      <w:r>
        <w:rPr>
          <w:rFonts w:ascii="Arial" w:cs="Arial" w:eastAsia="Arial" w:hAnsi="Arial"/>
          <w:sz w:val="18"/>
          <w:szCs w:val="18"/>
          <w:color w:val="auto"/>
        </w:rPr>
        <w:t>(29,366)</w:t>
      </w:r>
      <w:r>
        <w:rPr>
          <w:sz w:val="20"/>
          <w:szCs w:val="20"/>
          <w:color w:val="auto"/>
        </w:rPr>
        <w:tab/>
      </w:r>
      <w:r>
        <w:rPr>
          <w:rFonts w:ascii="Arial" w:cs="Arial" w:eastAsia="Arial" w:hAnsi="Arial"/>
          <w:sz w:val="18"/>
          <w:szCs w:val="18"/>
          <w:color w:val="auto"/>
        </w:rPr>
        <w:t>8,212</w:t>
      </w:r>
    </w:p>
    <w:p>
      <w:pPr>
        <w:spacing w:after="0" w:line="36" w:lineRule="exact"/>
        <w:rPr>
          <w:sz w:val="20"/>
          <w:szCs w:val="20"/>
          <w:color w:val="auto"/>
        </w:rPr>
      </w:pPr>
    </w:p>
    <w:p>
      <w:pPr>
        <w:jc w:val="both"/>
        <w:ind w:left="400"/>
        <w:spacing w:after="0"/>
        <w:tabs>
          <w:tab w:leader="none" w:pos="1340" w:val="left"/>
        </w:tabs>
        <w:rPr>
          <w:sz w:val="20"/>
          <w:szCs w:val="20"/>
          <w:color w:val="auto"/>
        </w:rPr>
      </w:pPr>
      <w:r>
        <w:rPr>
          <w:rFonts w:ascii="Arial" w:cs="Arial" w:eastAsia="Arial" w:hAnsi="Arial"/>
          <w:sz w:val="18"/>
          <w:szCs w:val="18"/>
          <w:color w:val="auto"/>
        </w:rPr>
        <w:t>(8,169)</w:t>
      </w:r>
      <w:r>
        <w:rPr>
          <w:sz w:val="20"/>
          <w:szCs w:val="20"/>
          <w:color w:val="auto"/>
        </w:rPr>
        <w:tab/>
      </w:r>
      <w:r>
        <w:rPr>
          <w:rFonts w:ascii="Arial" w:cs="Arial" w:eastAsia="Arial" w:hAnsi="Arial"/>
          <w:sz w:val="18"/>
          <w:szCs w:val="18"/>
          <w:color w:val="auto"/>
        </w:rPr>
        <w:t>(13,538)</w:t>
      </w:r>
    </w:p>
    <w:p>
      <w:pPr>
        <w:spacing w:after="0" w:line="36" w:lineRule="exact"/>
        <w:rPr>
          <w:sz w:val="20"/>
          <w:szCs w:val="20"/>
          <w:color w:val="auto"/>
        </w:rPr>
      </w:pPr>
    </w:p>
    <w:p>
      <w:pPr>
        <w:jc w:val="both"/>
        <w:ind w:left="380"/>
        <w:spacing w:after="0"/>
        <w:tabs>
          <w:tab w:leader="none" w:pos="1340" w:val="left"/>
        </w:tabs>
        <w:rPr>
          <w:sz w:val="20"/>
          <w:szCs w:val="20"/>
          <w:color w:val="auto"/>
        </w:rPr>
      </w:pPr>
      <w:r>
        <w:rPr>
          <w:rFonts w:ascii="Arial" w:cs="Arial" w:eastAsia="Arial" w:hAnsi="Arial"/>
          <w:sz w:val="18"/>
          <w:szCs w:val="18"/>
          <w:color w:val="auto"/>
        </w:rPr>
        <w:t>17,086</w:t>
      </w:r>
      <w:r>
        <w:rPr>
          <w:sz w:val="20"/>
          <w:szCs w:val="20"/>
          <w:color w:val="auto"/>
        </w:rPr>
        <w:tab/>
      </w:r>
      <w:r>
        <w:rPr>
          <w:rFonts w:ascii="Arial" w:cs="Arial" w:eastAsia="Arial" w:hAnsi="Arial"/>
          <w:sz w:val="18"/>
          <w:szCs w:val="18"/>
          <w:color w:val="auto"/>
        </w:rPr>
        <w:t>(10,140)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12858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0" w:lineRule="exact"/>
        <w:rPr>
          <w:sz w:val="20"/>
          <w:szCs w:val="20"/>
          <w:color w:val="auto"/>
        </w:rPr>
      </w:pPr>
    </w:p>
    <w:p>
      <w:pPr>
        <w:ind w:left="280"/>
        <w:spacing w:after="0"/>
        <w:tabs>
          <w:tab w:leader="none" w:pos="1320" w:val="left"/>
        </w:tabs>
        <w:rPr>
          <w:sz w:val="20"/>
          <w:szCs w:val="20"/>
          <w:color w:val="auto"/>
        </w:rPr>
      </w:pPr>
      <w:r>
        <w:rPr>
          <w:rFonts w:ascii="Arial" w:cs="Arial" w:eastAsia="Arial" w:hAnsi="Arial"/>
          <w:sz w:val="17"/>
          <w:szCs w:val="17"/>
          <w:color w:val="auto"/>
        </w:rPr>
        <w:t>154,794</w:t>
      </w:r>
      <w:r>
        <w:rPr>
          <w:sz w:val="20"/>
          <w:szCs w:val="20"/>
          <w:color w:val="auto"/>
        </w:rPr>
        <w:tab/>
      </w:r>
      <w:r>
        <w:rPr>
          <w:rFonts w:ascii="Arial" w:cs="Arial" w:eastAsia="Arial" w:hAnsi="Arial"/>
          <w:sz w:val="17"/>
          <w:szCs w:val="17"/>
          <w:color w:val="auto"/>
        </w:rPr>
        <w:t>109,514</w:t>
      </w:r>
    </w:p>
    <w:p>
      <w:pPr>
        <w:spacing w:after="0" w:line="200" w:lineRule="exact"/>
        <w:rPr>
          <w:sz w:val="20"/>
          <w:szCs w:val="20"/>
          <w:color w:val="auto"/>
        </w:rPr>
      </w:pPr>
    </w:p>
    <w:p>
      <w:pPr>
        <w:spacing w:after="0" w:line="33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3,142</w:t>
      </w:r>
      <w:r>
        <w:rPr>
          <w:sz w:val="20"/>
          <w:szCs w:val="20"/>
          <w:color w:val="auto"/>
        </w:rPr>
        <w:tab/>
      </w:r>
      <w:r>
        <w:rPr>
          <w:rFonts w:ascii="Arial" w:cs="Arial" w:eastAsia="Arial" w:hAnsi="Arial"/>
          <w:sz w:val="18"/>
          <w:szCs w:val="18"/>
          <w:color w:val="auto"/>
        </w:rPr>
        <w:t>1,133</w:t>
      </w:r>
    </w:p>
    <w:p>
      <w:pPr>
        <w:spacing w:after="0" w:line="36" w:lineRule="exact"/>
        <w:rPr>
          <w:sz w:val="20"/>
          <w:szCs w:val="20"/>
          <w:color w:val="auto"/>
        </w:rPr>
      </w:pPr>
    </w:p>
    <w:p>
      <w:pPr>
        <w:jc w:val="both"/>
        <w:ind w:left="320"/>
        <w:spacing w:after="0"/>
        <w:tabs>
          <w:tab w:leader="none" w:pos="1340" w:val="left"/>
        </w:tabs>
        <w:rPr>
          <w:sz w:val="20"/>
          <w:szCs w:val="20"/>
          <w:color w:val="auto"/>
        </w:rPr>
      </w:pPr>
      <w:r>
        <w:rPr>
          <w:rFonts w:ascii="Arial" w:cs="Arial" w:eastAsia="Arial" w:hAnsi="Arial"/>
          <w:sz w:val="18"/>
          <w:szCs w:val="18"/>
          <w:color w:val="auto"/>
        </w:rPr>
        <w:t>(34,682)</w:t>
      </w:r>
      <w:r>
        <w:rPr>
          <w:sz w:val="20"/>
          <w:szCs w:val="20"/>
          <w:color w:val="auto"/>
        </w:rPr>
        <w:tab/>
      </w:r>
      <w:r>
        <w:rPr>
          <w:rFonts w:ascii="Arial" w:cs="Arial" w:eastAsia="Arial" w:hAnsi="Arial"/>
          <w:sz w:val="18"/>
          <w:szCs w:val="18"/>
          <w:color w:val="auto"/>
        </w:rPr>
        <w:t>(46,208)</w:t>
      </w:r>
    </w:p>
    <w:p>
      <w:pPr>
        <w:spacing w:after="0" w:line="36"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8"/>
          <w:szCs w:val="18"/>
          <w:color w:val="auto"/>
        </w:rPr>
        <w:t>(8,670)</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5,326</w:t>
      </w:r>
      <w:r>
        <w:rPr>
          <w:sz w:val="20"/>
          <w:szCs w:val="20"/>
          <w:color w:val="auto"/>
        </w:rPr>
        <w:tab/>
      </w:r>
      <w:r>
        <w:rPr>
          <w:rFonts w:ascii="Arial" w:cs="Arial" w:eastAsia="Arial" w:hAnsi="Arial"/>
          <w:sz w:val="18"/>
          <w:szCs w:val="18"/>
          <w:color w:val="auto"/>
        </w:rPr>
        <w:t>4,039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1285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0" w:lineRule="exact"/>
        <w:rPr>
          <w:sz w:val="20"/>
          <w:szCs w:val="20"/>
          <w:color w:val="auto"/>
        </w:rPr>
      </w:pPr>
    </w:p>
    <w:p>
      <w:pPr>
        <w:jc w:val="both"/>
        <w:ind w:left="320"/>
        <w:spacing w:after="0"/>
        <w:tabs>
          <w:tab w:leader="none" w:pos="1340" w:val="left"/>
        </w:tabs>
        <w:rPr>
          <w:sz w:val="20"/>
          <w:szCs w:val="20"/>
          <w:color w:val="auto"/>
        </w:rPr>
      </w:pPr>
      <w:r>
        <w:rPr>
          <w:rFonts w:ascii="Arial" w:cs="Arial" w:eastAsia="Arial" w:hAnsi="Arial"/>
          <w:sz w:val="18"/>
          <w:szCs w:val="18"/>
          <w:color w:val="auto"/>
        </w:rPr>
        <w:t>(34,884)</w:t>
      </w:r>
      <w:r>
        <w:rPr>
          <w:sz w:val="20"/>
          <w:szCs w:val="20"/>
          <w:color w:val="auto"/>
        </w:rPr>
        <w:tab/>
      </w:r>
      <w:r>
        <w:rPr>
          <w:rFonts w:ascii="Arial" w:cs="Arial" w:eastAsia="Arial" w:hAnsi="Arial"/>
          <w:sz w:val="18"/>
          <w:szCs w:val="18"/>
          <w:color w:val="auto"/>
        </w:rPr>
        <w:t>(41,036)</w:t>
      </w:r>
    </w:p>
    <w:p>
      <w:pPr>
        <w:spacing w:after="0" w:line="200" w:lineRule="exact"/>
        <w:rPr>
          <w:sz w:val="20"/>
          <w:szCs w:val="20"/>
          <w:color w:val="auto"/>
        </w:rPr>
      </w:pPr>
    </w:p>
    <w:p>
      <w:pPr>
        <w:spacing w:after="0" w:line="322" w:lineRule="exact"/>
        <w:rPr>
          <w:sz w:val="20"/>
          <w:szCs w:val="20"/>
          <w:color w:val="auto"/>
        </w:rPr>
      </w:pPr>
    </w:p>
    <w:p>
      <w:pPr>
        <w:ind w:left="280"/>
        <w:spacing w:after="0"/>
        <w:tabs>
          <w:tab w:leader="none" w:pos="1320" w:val="left"/>
        </w:tabs>
        <w:rPr>
          <w:sz w:val="20"/>
          <w:szCs w:val="20"/>
          <w:color w:val="auto"/>
        </w:rPr>
      </w:pPr>
      <w:r>
        <w:rPr>
          <w:rFonts w:ascii="Arial" w:cs="Arial" w:eastAsia="Arial" w:hAnsi="Arial"/>
          <w:sz w:val="17"/>
          <w:szCs w:val="17"/>
          <w:color w:val="auto"/>
        </w:rPr>
        <w:t>460,000</w:t>
      </w:r>
      <w:r>
        <w:rPr>
          <w:sz w:val="20"/>
          <w:szCs w:val="20"/>
          <w:color w:val="auto"/>
        </w:rPr>
        <w:tab/>
      </w:r>
      <w:r>
        <w:rPr>
          <w:rFonts w:ascii="Arial" w:cs="Arial" w:eastAsia="Arial" w:hAnsi="Arial"/>
          <w:sz w:val="17"/>
          <w:szCs w:val="17"/>
          <w:color w:val="auto"/>
        </w:rPr>
        <w:t>400,000</w:t>
      </w:r>
    </w:p>
    <w:p>
      <w:pPr>
        <w:spacing w:after="0" w:line="48"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6"/>
          <w:szCs w:val="16"/>
          <w:color w:val="auto"/>
        </w:rPr>
        <w:t>(946,094)</w:t>
      </w:r>
      <w:r>
        <w:rPr>
          <w:sz w:val="20"/>
          <w:szCs w:val="20"/>
          <w:color w:val="auto"/>
        </w:rPr>
        <w:tab/>
      </w:r>
      <w:r>
        <w:rPr>
          <w:rFonts w:ascii="Arial" w:cs="Arial" w:eastAsia="Arial" w:hAnsi="Arial"/>
          <w:sz w:val="16"/>
          <w:szCs w:val="16"/>
          <w:color w:val="auto"/>
        </w:rPr>
        <w:t>(414,063)</w:t>
      </w:r>
    </w:p>
    <w:p>
      <w:pPr>
        <w:spacing w:after="0" w:line="59"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5,080</w:t>
      </w:r>
      <w:r>
        <w:rPr>
          <w:sz w:val="20"/>
          <w:szCs w:val="20"/>
          <w:color w:val="auto"/>
        </w:rPr>
        <w:tab/>
      </w:r>
      <w:r>
        <w:rPr>
          <w:rFonts w:ascii="Arial" w:cs="Arial" w:eastAsia="Arial" w:hAnsi="Arial"/>
          <w:sz w:val="18"/>
          <w:szCs w:val="18"/>
          <w:color w:val="auto"/>
        </w:rPr>
        <w:t>8,886</w:t>
      </w:r>
    </w:p>
    <w:p>
      <w:pPr>
        <w:spacing w:after="0" w:line="36" w:lineRule="exact"/>
        <w:rPr>
          <w:sz w:val="20"/>
          <w:szCs w:val="20"/>
          <w:color w:val="auto"/>
        </w:rPr>
      </w:pPr>
    </w:p>
    <w:p>
      <w:pPr>
        <w:ind w:left="280"/>
        <w:spacing w:after="0"/>
        <w:tabs>
          <w:tab w:leader="none" w:pos="1720" w:val="left"/>
        </w:tabs>
        <w:rPr>
          <w:sz w:val="20"/>
          <w:szCs w:val="20"/>
          <w:color w:val="auto"/>
        </w:rPr>
      </w:pPr>
      <w:r>
        <w:rPr>
          <w:rFonts w:ascii="Arial" w:cs="Arial" w:eastAsia="Arial" w:hAnsi="Arial"/>
          <w:sz w:val="18"/>
          <w:szCs w:val="18"/>
          <w:color w:val="auto"/>
        </w:rPr>
        <w:t>389,419</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380"/>
        <w:spacing w:after="0"/>
        <w:tabs>
          <w:tab w:leader="none" w:pos="1720" w:val="left"/>
        </w:tabs>
        <w:rPr>
          <w:sz w:val="20"/>
          <w:szCs w:val="20"/>
          <w:color w:val="auto"/>
        </w:rPr>
      </w:pPr>
      <w:r>
        <w:rPr>
          <w:rFonts w:ascii="Arial" w:cs="Arial" w:eastAsia="Arial" w:hAnsi="Arial"/>
          <w:sz w:val="18"/>
          <w:szCs w:val="18"/>
          <w:color w:val="auto"/>
        </w:rPr>
        <w:t>45,349</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320"/>
        <w:spacing w:after="0"/>
        <w:tabs>
          <w:tab w:leader="none" w:pos="1720" w:val="left"/>
        </w:tabs>
        <w:rPr>
          <w:sz w:val="20"/>
          <w:szCs w:val="20"/>
          <w:color w:val="auto"/>
        </w:rPr>
      </w:pPr>
      <w:r>
        <w:rPr>
          <w:rFonts w:ascii="Arial" w:cs="Arial" w:eastAsia="Arial" w:hAnsi="Arial"/>
          <w:sz w:val="18"/>
          <w:szCs w:val="18"/>
          <w:color w:val="auto"/>
        </w:rPr>
        <w:t>(84,139)</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8"/>
          <w:szCs w:val="18"/>
          <w:color w:val="auto"/>
        </w:rPr>
        <w:t>(8,028)</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jc w:val="both"/>
        <w:ind w:left="320"/>
        <w:spacing w:after="0"/>
        <w:tabs>
          <w:tab w:leader="none" w:pos="1440" w:val="left"/>
        </w:tabs>
        <w:rPr>
          <w:sz w:val="20"/>
          <w:szCs w:val="20"/>
          <w:color w:val="auto"/>
        </w:rPr>
      </w:pPr>
      <w:r>
        <w:rPr>
          <w:rFonts w:ascii="Arial" w:cs="Arial" w:eastAsia="Arial" w:hAnsi="Arial"/>
          <w:sz w:val="18"/>
          <w:szCs w:val="18"/>
          <w:color w:val="auto"/>
        </w:rPr>
        <w:t>(12,031)</w:t>
      </w:r>
      <w:r>
        <w:rPr>
          <w:sz w:val="20"/>
          <w:szCs w:val="20"/>
          <w:color w:val="auto"/>
        </w:rPr>
        <w:tab/>
      </w:r>
      <w:r>
        <w:rPr>
          <w:rFonts w:ascii="Arial" w:cs="Arial" w:eastAsia="Arial" w:hAnsi="Arial"/>
          <w:sz w:val="18"/>
          <w:szCs w:val="18"/>
          <w:color w:val="auto"/>
        </w:rPr>
        <w:t>(1,571)</w:t>
      </w:r>
    </w:p>
    <w:p>
      <w:pPr>
        <w:spacing w:after="0" w:line="36" w:lineRule="exact"/>
        <w:rPr>
          <w:sz w:val="20"/>
          <w:szCs w:val="20"/>
          <w:color w:val="auto"/>
        </w:rPr>
      </w:pPr>
    </w:p>
    <w:p>
      <w:pPr>
        <w:jc w:val="both"/>
        <w:ind w:left="400"/>
        <w:spacing w:after="0"/>
        <w:tabs>
          <w:tab w:leader="none" w:pos="1440" w:val="left"/>
        </w:tabs>
        <w:rPr>
          <w:sz w:val="20"/>
          <w:szCs w:val="20"/>
          <w:color w:val="auto"/>
        </w:rPr>
      </w:pPr>
      <w:r>
        <w:rPr>
          <w:rFonts w:ascii="Arial" w:cs="Arial" w:eastAsia="Arial" w:hAnsi="Arial"/>
          <w:sz w:val="18"/>
          <w:szCs w:val="18"/>
          <w:color w:val="auto"/>
        </w:rPr>
        <w:t>(2,443)</w:t>
      </w:r>
      <w:r>
        <w:rPr>
          <w:sz w:val="20"/>
          <w:szCs w:val="20"/>
          <w:color w:val="auto"/>
        </w:rPr>
        <w:tab/>
      </w:r>
      <w:r>
        <w:rPr>
          <w:rFonts w:ascii="Arial" w:cs="Arial" w:eastAsia="Arial" w:hAnsi="Arial"/>
          <w:sz w:val="18"/>
          <w:szCs w:val="18"/>
          <w:color w:val="auto"/>
        </w:rPr>
        <w:t>(4,828)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12858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0" w:lineRule="exact"/>
        <w:rPr>
          <w:sz w:val="20"/>
          <w:szCs w:val="20"/>
          <w:color w:val="auto"/>
        </w:rPr>
      </w:pPr>
    </w:p>
    <w:p>
      <w:pPr>
        <w:jc w:val="both"/>
        <w:ind w:left="220"/>
        <w:spacing w:after="0"/>
        <w:tabs>
          <w:tab w:leader="none" w:pos="1360" w:val="left"/>
        </w:tabs>
        <w:rPr>
          <w:sz w:val="20"/>
          <w:szCs w:val="20"/>
          <w:color w:val="auto"/>
        </w:rPr>
      </w:pPr>
      <w:r>
        <w:rPr>
          <w:rFonts w:ascii="Arial" w:cs="Arial" w:eastAsia="Arial" w:hAnsi="Arial"/>
          <w:sz w:val="18"/>
          <w:szCs w:val="18"/>
          <w:color w:val="auto"/>
        </w:rPr>
        <w:t>(152,887)</w:t>
      </w:r>
      <w:r>
        <w:rPr>
          <w:sz w:val="20"/>
          <w:szCs w:val="20"/>
          <w:color w:val="auto"/>
        </w:rPr>
        <w:tab/>
      </w:r>
      <w:r>
        <w:rPr>
          <w:rFonts w:ascii="Arial" w:cs="Arial" w:eastAsia="Arial" w:hAnsi="Arial"/>
          <w:sz w:val="18"/>
          <w:szCs w:val="18"/>
          <w:color w:val="auto"/>
        </w:rPr>
        <w:t>(11,576)</w:t>
      </w:r>
    </w:p>
    <w:p>
      <w:pPr>
        <w:spacing w:after="0" w:line="279"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8"/>
          <w:szCs w:val="18"/>
          <w:color w:val="auto"/>
        </w:rPr>
        <w:t>(9,750)</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ind w:left="400"/>
        <w:spacing w:after="0"/>
        <w:tabs>
          <w:tab w:leader="none" w:pos="1620" w:val="left"/>
        </w:tabs>
        <w:rPr>
          <w:sz w:val="20"/>
          <w:szCs w:val="20"/>
          <w:color w:val="auto"/>
        </w:rPr>
      </w:pPr>
      <w:r>
        <w:rPr>
          <w:rFonts w:ascii="Arial" w:cs="Arial" w:eastAsia="Arial" w:hAnsi="Arial"/>
          <w:sz w:val="18"/>
          <w:szCs w:val="18"/>
          <w:color w:val="auto"/>
        </w:rPr>
        <w:t>(1,627)</w:t>
      </w:r>
      <w:r>
        <w:rPr>
          <w:sz w:val="20"/>
          <w:szCs w:val="20"/>
          <w:color w:val="auto"/>
        </w:rPr>
        <w:tab/>
      </w: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12858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0" w:lineRule="exact"/>
        <w:rPr>
          <w:sz w:val="20"/>
          <w:szCs w:val="20"/>
          <w:color w:val="auto"/>
        </w:rPr>
      </w:pPr>
    </w:p>
    <w:p>
      <w:pPr>
        <w:ind w:left="320"/>
        <w:spacing w:after="0"/>
        <w:tabs>
          <w:tab w:leader="none" w:pos="1400" w:val="left"/>
        </w:tabs>
        <w:rPr>
          <w:sz w:val="20"/>
          <w:szCs w:val="20"/>
          <w:color w:val="auto"/>
        </w:rPr>
      </w:pPr>
      <w:r>
        <w:rPr>
          <w:rFonts w:ascii="Arial" w:cs="Arial" w:eastAsia="Arial" w:hAnsi="Arial"/>
          <w:sz w:val="18"/>
          <w:szCs w:val="18"/>
          <w:color w:val="auto"/>
        </w:rPr>
        <w:t>(44,354)</w:t>
      </w:r>
      <w:r>
        <w:rPr>
          <w:sz w:val="20"/>
          <w:szCs w:val="20"/>
          <w:color w:val="auto"/>
        </w:rPr>
        <w:tab/>
      </w:r>
      <w:r>
        <w:rPr>
          <w:rFonts w:ascii="Arial" w:cs="Arial" w:eastAsia="Arial" w:hAnsi="Arial"/>
          <w:sz w:val="18"/>
          <w:szCs w:val="18"/>
          <w:color w:val="auto"/>
        </w:rPr>
        <w:t>57,029</w:t>
      </w:r>
    </w:p>
    <w:p>
      <w:pPr>
        <w:spacing w:after="0" w:line="36" w:lineRule="exact"/>
        <w:rPr>
          <w:sz w:val="20"/>
          <w:szCs w:val="20"/>
          <w:color w:val="auto"/>
        </w:rPr>
      </w:pPr>
    </w:p>
    <w:p>
      <w:pPr>
        <w:ind w:left="280"/>
        <w:spacing w:after="0"/>
        <w:tabs>
          <w:tab w:leader="none" w:pos="1320" w:val="left"/>
        </w:tabs>
        <w:rPr>
          <w:sz w:val="20"/>
          <w:szCs w:val="20"/>
          <w:color w:val="auto"/>
        </w:rPr>
      </w:pPr>
      <w:r>
        <w:rPr>
          <w:rFonts w:ascii="Arial" w:cs="Arial" w:eastAsia="Arial" w:hAnsi="Arial"/>
          <w:sz w:val="17"/>
          <w:szCs w:val="17"/>
          <w:color w:val="auto"/>
        </w:rPr>
        <w:t>206,933</w:t>
      </w:r>
      <w:r>
        <w:rPr>
          <w:sz w:val="20"/>
          <w:szCs w:val="20"/>
          <w:color w:val="auto"/>
        </w:rPr>
        <w:tab/>
      </w:r>
      <w:r>
        <w:rPr>
          <w:rFonts w:ascii="Arial" w:cs="Arial" w:eastAsia="Arial" w:hAnsi="Arial"/>
          <w:sz w:val="17"/>
          <w:szCs w:val="17"/>
          <w:color w:val="auto"/>
        </w:rPr>
        <w:t>149,904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12858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1" w:lineRule="exact"/>
        <w:rPr>
          <w:sz w:val="20"/>
          <w:szCs w:val="20"/>
          <w:color w:val="auto"/>
        </w:rPr>
      </w:pPr>
    </w:p>
    <w:p>
      <w:pPr>
        <w:spacing w:after="0"/>
        <w:tabs>
          <w:tab w:leader="none" w:pos="260" w:val="left"/>
          <w:tab w:leader="none" w:pos="1020" w:val="left"/>
          <w:tab w:leader="none" w:pos="1320" w:val="left"/>
        </w:tabs>
        <w:rPr>
          <w:sz w:val="20"/>
          <w:szCs w:val="20"/>
          <w:color w:val="auto"/>
        </w:rPr>
      </w:pPr>
      <w:r>
        <w:rPr>
          <w:rFonts w:ascii="Arial" w:cs="Arial" w:eastAsia="Arial" w:hAnsi="Arial"/>
          <w:sz w:val="18"/>
          <w:szCs w:val="18"/>
          <w:color w:val="auto"/>
        </w:rPr>
        <w:t>$</w:t>
        <w:tab/>
        <w:t>162,579</w:t>
        <w:tab/>
        <w:t>$</w:t>
      </w:r>
      <w:r>
        <w:rPr>
          <w:sz w:val="20"/>
          <w:szCs w:val="20"/>
          <w:color w:val="auto"/>
        </w:rPr>
        <w:tab/>
      </w:r>
      <w:r>
        <w:rPr>
          <w:rFonts w:ascii="Arial" w:cs="Arial" w:eastAsia="Arial" w:hAnsi="Arial"/>
          <w:sz w:val="16"/>
          <w:szCs w:val="16"/>
          <w:color w:val="auto"/>
        </w:rPr>
        <w:t>206,933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12858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40640</wp:posOffset>
            </wp:positionV>
            <wp:extent cx="12858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ectPr>
          <w:pgSz w:w="11900" w:h="16838" w:orient="portrait"/>
          <w:cols w:equalWidth="0" w:num="2">
            <w:col w:w="6480" w:space="60"/>
            <w:col w:w="3599"/>
          </w:cols>
          <w:pgMar w:left="320" w:top="135" w:right="1440" w:bottom="1440" w:gutter="0" w:footer="0" w:header="0"/>
          <w:type w:val="continuous"/>
        </w:sectPr>
      </w:pPr>
    </w:p>
    <w:bookmarkStart w:id="11" w:name="page12"/>
    <w:bookmarkEnd w:id="11"/>
    <w:p>
      <w:pPr>
        <w:jc w:val="center"/>
        <w:ind w:right="-3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ind w:right="180"/>
        <w:spacing w:after="0" w:line="277" w:lineRule="auto"/>
        <w:rPr>
          <w:sz w:val="20"/>
          <w:szCs w:val="20"/>
          <w:color w:val="auto"/>
        </w:rPr>
      </w:pPr>
      <w:r>
        <w:rPr>
          <w:rFonts w:ascii="Arial" w:cs="Arial" w:eastAsia="Arial" w:hAnsi="Arial"/>
          <w:sz w:val="19"/>
          <w:szCs w:val="19"/>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15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loss on sale of business, or restructuring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55" w:lineRule="exact"/>
        <w:rPr>
          <w:sz w:val="20"/>
          <w:szCs w:val="20"/>
          <w:color w:val="auto"/>
        </w:rPr>
      </w:pPr>
    </w:p>
    <w:p>
      <w:pPr>
        <w:spacing w:after="0" w:line="270" w:lineRule="auto"/>
        <w:rPr>
          <w:sz w:val="20"/>
          <w:szCs w:val="20"/>
          <w:color w:val="auto"/>
        </w:rPr>
      </w:pPr>
      <w:r>
        <w:rPr>
          <w:rFonts w:ascii="Arial" w:cs="Arial" w:eastAsia="Arial" w:hAnsi="Arial"/>
          <w:sz w:val="19"/>
          <w:szCs w:val="19"/>
          <w:i w:val="1"/>
          <w:iCs w:val="1"/>
          <w:u w:val="single" w:color="auto"/>
          <w:color w:val="auto"/>
        </w:rPr>
        <w:t>Non-GAAP operating expenses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and</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non-GAAP operating income</w:t>
      </w:r>
      <w:r>
        <w:rPr>
          <w:rFonts w:ascii="Arial" w:cs="Arial" w:eastAsia="Arial" w:hAnsi="Arial"/>
          <w:sz w:val="19"/>
          <w:szCs w:val="19"/>
          <w:i w:val="1"/>
          <w:iCs w:val="1"/>
          <w:color w:val="auto"/>
        </w:rPr>
        <w:t xml:space="preserve"> </w:t>
      </w:r>
      <w:r>
        <w:rPr>
          <w:rFonts w:ascii="Arial" w:cs="Arial" w:eastAsia="Arial" w:hAnsi="Arial"/>
          <w:sz w:val="19"/>
          <w:szCs w:val="19"/>
          <w:color w:val="auto"/>
        </w:rPr>
        <w:t>– We define non-GAAP operating expenses as operating</w:t>
      </w:r>
      <w:r>
        <w:rPr>
          <w:rFonts w:ascii="Arial" w:cs="Arial" w:eastAsia="Arial" w:hAnsi="Arial"/>
          <w:sz w:val="19"/>
          <w:szCs w:val="19"/>
          <w:i w:val="1"/>
          <w:iCs w:val="1"/>
          <w:color w:val="auto"/>
        </w:rPr>
        <w:t xml:space="preserve"> </w:t>
      </w:r>
      <w:r>
        <w:rPr>
          <w:rFonts w:ascii="Arial" w:cs="Arial" w:eastAsia="Arial" w:hAnsi="Arial"/>
          <w:sz w:val="19"/>
          <w:szCs w:val="19"/>
          <w:color w:val="auto"/>
        </w:rPr>
        <w:t>expenses excluding certain expenses related to the amortization of intangible assets, restructuring, loss on sale of business, corporate transition cost, and acquisition and integration. We define non-GAAP operating income as operating income (loss) excluding the expenses related to the amortization of intangible assets, restructuring, loss on sale of business, corporate transition cost,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2" w:name="page13"/>
    <w:bookmarkEnd w:id="12"/>
    <w:p>
      <w:pPr>
        <w:spacing w:after="0" w:line="273" w:lineRule="auto"/>
        <w:rPr>
          <w:sz w:val="20"/>
          <w:szCs w:val="20"/>
          <w:color w:val="auto"/>
        </w:rPr>
      </w:pPr>
      <w:r>
        <w:rPr>
          <w:rFonts w:ascii="Arial" w:cs="Arial" w:eastAsia="Arial" w:hAnsi="Arial"/>
          <w:sz w:val="19"/>
          <w:szCs w:val="19"/>
          <w:i w:val="1"/>
          <w:iCs w:val="1"/>
          <w:u w:val="single" w:color="auto"/>
          <w:color w:val="auto"/>
        </w:rPr>
        <w:t>Non-GAAP net income</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and</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non-GAAP diluted EPS</w:t>
      </w:r>
      <w:r>
        <w:rPr>
          <w:rFonts w:ascii="Arial" w:cs="Arial" w:eastAsia="Arial" w:hAnsi="Arial"/>
          <w:sz w:val="19"/>
          <w:szCs w:val="19"/>
          <w:i w:val="1"/>
          <w:iCs w:val="1"/>
          <w:color w:val="auto"/>
        </w:rPr>
        <w:t xml:space="preserve"> </w:t>
      </w:r>
      <w:r>
        <w:rPr>
          <w:rFonts w:ascii="Arial" w:cs="Arial" w:eastAsia="Arial" w:hAnsi="Arial"/>
          <w:sz w:val="19"/>
          <w:szCs w:val="19"/>
          <w:color w:val="auto"/>
        </w:rPr>
        <w:t>– We define non-GAAP net income as net income (loss) attributable to Itron,</w:t>
      </w:r>
      <w:r>
        <w:rPr>
          <w:rFonts w:ascii="Arial" w:cs="Arial" w:eastAsia="Arial" w:hAnsi="Arial"/>
          <w:sz w:val="19"/>
          <w:szCs w:val="19"/>
          <w:i w:val="1"/>
          <w:iCs w:val="1"/>
          <w:color w:val="auto"/>
        </w:rPr>
        <w:t xml:space="preserve"> </w:t>
      </w:r>
      <w:r>
        <w:rPr>
          <w:rFonts w:ascii="Arial" w:cs="Arial" w:eastAsia="Arial" w:hAnsi="Arial"/>
          <w:sz w:val="19"/>
          <w:szCs w:val="19"/>
          <w:color w:val="auto"/>
        </w:rPr>
        <w:t>Inc. excluding the expenses associated with amortization of intangible assets, amortization of debt placement fees, debt extinguishment, restructuring, loss on sale of business, corporate transition cost, acquisition and integration,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55" w:lineRule="exact"/>
        <w:rPr>
          <w:sz w:val="20"/>
          <w:szCs w:val="20"/>
          <w:color w:val="auto"/>
        </w:rPr>
      </w:pPr>
    </w:p>
    <w:p>
      <w:pPr>
        <w:spacing w:after="0" w:line="246" w:lineRule="auto"/>
        <w:rPr>
          <w:sz w:val="20"/>
          <w:szCs w:val="20"/>
          <w:color w:val="auto"/>
        </w:rPr>
      </w:pPr>
      <w:r>
        <w:rPr>
          <w:rFonts w:ascii="Arial" w:cs="Arial" w:eastAsia="Arial" w:hAnsi="Arial"/>
          <w:sz w:val="21"/>
          <w:szCs w:val="21"/>
          <w:i w:val="1"/>
          <w:iCs w:val="1"/>
          <w:u w:val="single" w:color="auto"/>
          <w:color w:val="auto"/>
        </w:rPr>
        <w:t>Adjusted EBITDA</w:t>
      </w:r>
      <w:r>
        <w:rPr>
          <w:rFonts w:ascii="Arial" w:cs="Arial" w:eastAsia="Arial" w:hAnsi="Arial"/>
          <w:sz w:val="21"/>
          <w:szCs w:val="21"/>
          <w:i w:val="1"/>
          <w:iCs w:val="1"/>
          <w:color w:val="auto"/>
        </w:rPr>
        <w:t xml:space="preserve"> </w:t>
      </w:r>
      <w:r>
        <w:rPr>
          <w:rFonts w:ascii="Arial" w:cs="Arial" w:eastAsia="Arial" w:hAnsi="Arial"/>
          <w:sz w:val="21"/>
          <w:szCs w:val="21"/>
          <w:color w:val="auto"/>
        </w:rPr>
        <w:t>– We define adjusted EBITDA as net income (loss) (a) minus interest income, (b) plus interest expense,</w:t>
      </w:r>
      <w:r>
        <w:rPr>
          <w:rFonts w:ascii="Arial" w:cs="Arial" w:eastAsia="Arial" w:hAnsi="Arial"/>
          <w:sz w:val="21"/>
          <w:szCs w:val="21"/>
          <w:i w:val="1"/>
          <w:iCs w:val="1"/>
          <w:color w:val="auto"/>
        </w:rPr>
        <w:t xml:space="preserve"> </w:t>
      </w:r>
      <w:r>
        <w:rPr>
          <w:rFonts w:ascii="Arial" w:cs="Arial" w:eastAsia="Arial" w:hAnsi="Arial"/>
          <w:sz w:val="21"/>
          <w:szCs w:val="21"/>
          <w:color w:val="auto"/>
        </w:rPr>
        <w:t>depreciation and amortization, debt extinguishment, restructuring, loss on sale of business, corporate transition cost, acquisition and integration,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180"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i w:val="1"/>
          <w:iCs w:val="1"/>
          <w:u w:val="single" w:color="auto"/>
          <w:color w:val="auto"/>
        </w:rPr>
        <w:t>Free cash flow</w:t>
      </w:r>
      <w:r>
        <w:rPr>
          <w:rFonts w:ascii="Arial" w:cs="Arial" w:eastAsia="Arial" w:hAnsi="Arial"/>
          <w:sz w:val="21"/>
          <w:szCs w:val="21"/>
          <w:i w:val="1"/>
          <w:iCs w:val="1"/>
          <w:color w:val="auto"/>
        </w:rPr>
        <w:t xml:space="preserve"> </w:t>
      </w:r>
      <w:r>
        <w:rPr>
          <w:rFonts w:ascii="Arial" w:cs="Arial" w:eastAsia="Arial" w:hAnsi="Arial"/>
          <w:sz w:val="21"/>
          <w:szCs w:val="21"/>
          <w:color w:val="auto"/>
        </w:rPr>
        <w:t>– We define free cash flow as net cash provided by operating activities less cash used for acquisitions of property,</w:t>
      </w:r>
      <w:r>
        <w:rPr>
          <w:rFonts w:ascii="Arial" w:cs="Arial" w:eastAsia="Arial" w:hAnsi="Arial"/>
          <w:sz w:val="21"/>
          <w:szCs w:val="21"/>
          <w:i w:val="1"/>
          <w:iCs w:val="1"/>
          <w:color w:val="auto"/>
        </w:rPr>
        <w:t xml:space="preserve"> </w:t>
      </w:r>
      <w:r>
        <w:rPr>
          <w:rFonts w:ascii="Arial" w:cs="Arial" w:eastAsia="Arial" w:hAnsi="Arial"/>
          <w:sz w:val="21"/>
          <w:szCs w:val="21"/>
          <w:color w:val="auto"/>
        </w:rPr>
        <w:t>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i w:val="1"/>
          <w:iCs w:val="1"/>
          <w:u w:val="single" w:color="auto"/>
          <w:color w:val="auto"/>
        </w:rPr>
        <w:t>Constant currency</w:t>
      </w:r>
      <w:r>
        <w:rPr>
          <w:rFonts w:ascii="Arial" w:cs="Arial" w:eastAsia="Arial" w:hAnsi="Arial"/>
          <w:sz w:val="19"/>
          <w:szCs w:val="19"/>
          <w:i w:val="1"/>
          <w:iCs w:val="1"/>
          <w:color w:val="auto"/>
        </w:rPr>
        <w:t xml:space="preserve"> </w:t>
      </w:r>
      <w:r>
        <w:rPr>
          <w:rFonts w:ascii="Arial" w:cs="Arial" w:eastAsia="Arial" w:hAnsi="Arial"/>
          <w:sz w:val="19"/>
          <w:szCs w:val="19"/>
          <w:color w:val="auto"/>
        </w:rPr>
        <w:t>– We refer to the impact of foreign currency exchange rate fluctuations in our discussions of financial results,</w:t>
      </w:r>
      <w:r>
        <w:rPr>
          <w:rFonts w:ascii="Arial" w:cs="Arial" w:eastAsia="Arial" w:hAnsi="Arial"/>
          <w:sz w:val="19"/>
          <w:szCs w:val="19"/>
          <w:i w:val="1"/>
          <w:iCs w:val="1"/>
          <w:color w:val="auto"/>
        </w:rPr>
        <w:t xml:space="preserve"> </w:t>
      </w:r>
      <w:r>
        <w:rPr>
          <w:rFonts w:ascii="Arial" w:cs="Arial" w:eastAsia="Arial" w:hAnsi="Arial"/>
          <w:sz w:val="19"/>
          <w:szCs w:val="19"/>
          <w:color w:val="auto"/>
        </w:rPr>
        <w:t>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50"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MOST DIRECTLY COMPARABLE GAAP FINANCIAL MEASURES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(Unaudited, in thousands, except per share data)</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5360" w:type="dxa"/>
            <w:vAlign w:val="bottom"/>
          </w:tcPr>
          <w:p>
            <w:pPr>
              <w:spacing w:after="0"/>
              <w:rPr>
                <w:sz w:val="20"/>
                <w:szCs w:val="20"/>
                <w:color w:val="auto"/>
              </w:rPr>
            </w:pPr>
            <w:r>
              <w:rPr>
                <w:rFonts w:ascii="Arial" w:cs="Arial" w:eastAsia="Arial" w:hAnsi="Arial"/>
                <w:sz w:val="18"/>
                <w:szCs w:val="18"/>
                <w:b w:val="1"/>
                <w:bCs w:val="1"/>
                <w:color w:val="auto"/>
              </w:rPr>
              <w:t>TOTAL COMPANY RECONCILIATIONS</w:t>
            </w:r>
          </w:p>
        </w:tc>
        <w:tc>
          <w:tcPr>
            <w:tcW w:w="5680" w:type="dxa"/>
            <w:vAlign w:val="bottom"/>
            <w:gridSpan w:val="9"/>
          </w:tcPr>
          <w:p>
            <w:pPr>
              <w:jc w:val="right"/>
              <w:spacing w:after="0"/>
              <w:rPr>
                <w:sz w:val="20"/>
                <w:szCs w:val="20"/>
                <w:color w:val="auto"/>
              </w:rPr>
            </w:pPr>
            <w:r>
              <w:rPr>
                <w:rFonts w:ascii="Arial" w:cs="Arial" w:eastAsia="Arial" w:hAnsi="Arial"/>
                <w:sz w:val="18"/>
                <w:szCs w:val="18"/>
                <w:b w:val="1"/>
                <w:bCs w:val="1"/>
                <w:color w:val="auto"/>
                <w:w w:val="91"/>
              </w:rPr>
              <w:t>Three Months Ended December 31, Twelve Months Ended December 31,</w:t>
            </w:r>
          </w:p>
        </w:tc>
        <w:tc>
          <w:tcPr>
            <w:tcW w:w="0" w:type="dxa"/>
            <w:vAlign w:val="bottom"/>
          </w:tcPr>
          <w:p>
            <w:pPr>
              <w:spacing w:after="0"/>
              <w:rPr>
                <w:sz w:val="1"/>
                <w:szCs w:val="1"/>
                <w:color w:val="auto"/>
              </w:rPr>
            </w:pPr>
          </w:p>
        </w:tc>
      </w:tr>
      <w:tr>
        <w:trPr>
          <w:trHeight w:val="236"/>
        </w:trPr>
        <w:tc>
          <w:tcPr>
            <w:tcW w:w="53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b w:val="1"/>
                <w:bCs w:val="1"/>
                <w:color w:val="auto"/>
              </w:rPr>
              <w:t>NON-GAAP 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20"/>
              <w:spacing w:after="0"/>
              <w:rPr>
                <w:sz w:val="20"/>
                <w:szCs w:val="20"/>
                <w:color w:val="auto"/>
              </w:rPr>
            </w:pPr>
            <w:r>
              <w:rPr>
                <w:rFonts w:ascii="Arial" w:cs="Arial" w:eastAsia="Arial" w:hAnsi="Arial"/>
                <w:sz w:val="18"/>
                <w:szCs w:val="18"/>
                <w:color w:val="auto"/>
              </w:rPr>
              <w:t>GAAP operating expenses</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228,757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116,231</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652,468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612,562</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(8,887)</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(35,801)</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(44,711)</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(55,453)</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4,518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(54,623)</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(37,013)</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Loss on sale of business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(36,015)</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(64,289)</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(59,817)</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Corporate transition cost</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5360" w:type="dxa"/>
            <w:vAlign w:val="bottom"/>
          </w:tcPr>
          <w:p>
            <w:pPr>
              <w:ind w:left="620"/>
              <w:spacing w:after="0"/>
              <w:rPr>
                <w:sz w:val="20"/>
                <w:szCs w:val="20"/>
                <w:color w:val="auto"/>
              </w:rPr>
            </w:pPr>
            <w:r>
              <w:rPr>
                <w:rFonts w:ascii="Arial" w:cs="Arial" w:eastAsia="Arial" w:hAnsi="Arial"/>
                <w:sz w:val="18"/>
                <w:szCs w:val="18"/>
                <w:color w:val="auto"/>
              </w:rPr>
              <w:t>Acquisition and integration</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36"/>
        </w:trPr>
        <w:tc>
          <w:tcPr>
            <w:tcW w:w="5360" w:type="dxa"/>
            <w:vAlign w:val="bottom"/>
          </w:tcPr>
          <w:p>
            <w:pPr>
              <w:ind w:left="420"/>
              <w:spacing w:after="0"/>
              <w:rPr>
                <w:sz w:val="20"/>
                <w:szCs w:val="20"/>
                <w:color w:val="auto"/>
              </w:rPr>
            </w:pPr>
            <w:r>
              <w:rPr>
                <w:rFonts w:ascii="Arial" w:cs="Arial" w:eastAsia="Arial" w:hAnsi="Arial"/>
                <w:sz w:val="18"/>
                <w:szCs w:val="18"/>
                <w:color w:val="auto"/>
              </w:rPr>
              <w:t>Non-GAAP operating expenses</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127,883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105,240</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497,604</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470,028</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NON-GAAP OPERATING INCOME (LOSS)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20"/>
              <w:spacing w:after="0"/>
              <w:rPr>
                <w:sz w:val="20"/>
                <w:szCs w:val="20"/>
                <w:color w:val="auto"/>
              </w:rPr>
            </w:pPr>
            <w:r>
              <w:rPr>
                <w:rFonts w:ascii="Arial" w:cs="Arial" w:eastAsia="Arial" w:hAnsi="Arial"/>
                <w:sz w:val="18"/>
                <w:szCs w:val="18"/>
                <w:color w:val="auto"/>
              </w:rPr>
              <w:t>GAAP operating income (loss)</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(107,470)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32,602</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(79,299)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(10,395)</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8,887</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35,801</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44,711</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55,453</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54,623</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37,013</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Loss on sale of business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36,015</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2,522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64,289</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59,817</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Corporate transition cost</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5360" w:type="dxa"/>
            <w:vAlign w:val="bottom"/>
          </w:tcPr>
          <w:p>
            <w:pPr>
              <w:ind w:left="620"/>
              <w:spacing w:after="0"/>
              <w:rPr>
                <w:sz w:val="20"/>
                <w:szCs w:val="20"/>
                <w:color w:val="auto"/>
              </w:rPr>
            </w:pPr>
            <w:r>
              <w:rPr>
                <w:rFonts w:ascii="Arial" w:cs="Arial" w:eastAsia="Arial" w:hAnsi="Arial"/>
                <w:sz w:val="18"/>
                <w:szCs w:val="18"/>
                <w:color w:val="auto"/>
              </w:rPr>
              <w:t>Acquisition and integration</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519</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151</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36"/>
        </w:trPr>
        <w:tc>
          <w:tcPr>
            <w:tcW w:w="5360" w:type="dxa"/>
            <w:vAlign w:val="bottom"/>
          </w:tcPr>
          <w:p>
            <w:pPr>
              <w:ind w:left="420"/>
              <w:spacing w:after="0"/>
              <w:rPr>
                <w:sz w:val="20"/>
                <w:szCs w:val="20"/>
                <w:color w:val="auto"/>
              </w:rPr>
            </w:pPr>
            <w:r>
              <w:rPr>
                <w:rFonts w:ascii="Arial" w:cs="Arial" w:eastAsia="Arial" w:hAnsi="Arial"/>
                <w:sz w:val="18"/>
                <w:szCs w:val="18"/>
                <w:color w:val="auto"/>
              </w:rPr>
              <w:t>Non-GAAP operating income (loss)</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(6,596)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43,593</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75,565</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132,139</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NON-GAAP NET INCOME &amp; DILUTED EPS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20"/>
              <w:spacing w:after="0"/>
              <w:rPr>
                <w:sz w:val="20"/>
                <w:szCs w:val="20"/>
                <w:color w:val="auto"/>
              </w:rPr>
            </w:pPr>
            <w:r>
              <w:rPr>
                <w:rFonts w:ascii="Arial" w:cs="Arial" w:eastAsia="Arial" w:hAnsi="Arial"/>
                <w:sz w:val="18"/>
                <w:szCs w:val="18"/>
                <w:color w:val="auto"/>
              </w:rPr>
              <w:t>GAAP net income (loss) attributable to Itron, Inc.</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(58,866)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21,520</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(81,255)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(57,955)</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8,887</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35,801</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44,711</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Amortization of debt placement fees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826</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18,078</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Debt extinguishment</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11,681</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55,453</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54,623</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37,013</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Loss on sale of business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36,015</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2,522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64,289</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59,817</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Corporate transition cost</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Acquisition and integration</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519</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56"/>
        </w:trPr>
        <w:tc>
          <w:tcPr>
            <w:tcW w:w="5360" w:type="dxa"/>
            <w:vAlign w:val="bottom"/>
          </w:tcPr>
          <w:p>
            <w:pPr>
              <w:ind w:left="620"/>
              <w:spacing w:after="0"/>
              <w:rPr>
                <w:sz w:val="20"/>
                <w:szCs w:val="20"/>
                <w:color w:val="auto"/>
              </w:rPr>
            </w:pPr>
            <w:r>
              <w:rPr>
                <w:rFonts w:ascii="Arial" w:cs="Arial" w:eastAsia="Arial" w:hAnsi="Arial"/>
                <w:sz w:val="18"/>
                <w:szCs w:val="18"/>
                <w:color w:val="auto"/>
              </w:rPr>
              <w:t>Income tax effect of non-GAAP adjustments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(8,774)</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(7,243)</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(25,265)</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37"/>
        </w:trPr>
        <w:tc>
          <w:tcPr>
            <w:tcW w:w="5360" w:type="dxa"/>
            <w:vAlign w:val="bottom"/>
          </w:tcPr>
          <w:p>
            <w:pPr>
              <w:ind w:left="420"/>
              <w:spacing w:after="0"/>
              <w:rPr>
                <w:sz w:val="20"/>
                <w:szCs w:val="20"/>
                <w:color w:val="auto"/>
              </w:rPr>
            </w:pPr>
            <w:r>
              <w:rPr>
                <w:rFonts w:ascii="Arial" w:cs="Arial" w:eastAsia="Arial" w:hAnsi="Arial"/>
                <w:sz w:val="18"/>
                <w:szCs w:val="18"/>
                <w:color w:val="auto"/>
              </w:rPr>
              <w:t>Non-GAAP net income attributable to Itron, Inc.</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34,060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26,324</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78,103</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75,253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360" w:type="dxa"/>
            <w:vAlign w:val="bottom"/>
          </w:tcPr>
          <w:p>
            <w:pPr>
              <w:ind w:left="420"/>
              <w:spacing w:after="0"/>
              <w:rPr>
                <w:sz w:val="20"/>
                <w:szCs w:val="20"/>
                <w:color w:val="auto"/>
              </w:rPr>
            </w:pPr>
            <w:r>
              <w:rPr>
                <w:rFonts w:ascii="Arial" w:cs="Arial" w:eastAsia="Arial" w:hAnsi="Arial"/>
                <w:sz w:val="18"/>
                <w:szCs w:val="18"/>
                <w:color w:val="auto"/>
              </w:rPr>
              <w:t>Non-GAAP diluted EPS</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0.75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0.65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1.75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360" w:type="dxa"/>
            <w:vAlign w:val="bottom"/>
          </w:tcPr>
          <w:p>
            <w:pPr>
              <w:ind w:left="420"/>
              <w:spacing w:after="0"/>
              <w:rPr>
                <w:sz w:val="20"/>
                <w:szCs w:val="20"/>
                <w:color w:val="auto"/>
              </w:rPr>
            </w:pPr>
            <w:r>
              <w:rPr>
                <w:rFonts w:ascii="Arial" w:cs="Arial" w:eastAsia="Arial" w:hAnsi="Arial"/>
                <w:sz w:val="18"/>
                <w:szCs w:val="18"/>
                <w:color w:val="auto"/>
                <w:w w:val="91"/>
              </w:rPr>
              <w:t>Non-GAAP weighted average common shares outstanding - Diluted</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45,469</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40,762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44,617</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40,571</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20"/>
              <w:spacing w:after="0"/>
              <w:rPr>
                <w:sz w:val="20"/>
                <w:szCs w:val="20"/>
                <w:color w:val="auto"/>
              </w:rPr>
            </w:pPr>
            <w:r>
              <w:rPr>
                <w:rFonts w:ascii="Arial" w:cs="Arial" w:eastAsia="Arial" w:hAnsi="Arial"/>
                <w:sz w:val="18"/>
                <w:szCs w:val="18"/>
                <w:color w:val="auto"/>
              </w:rPr>
              <w:t>GAAP net income (loss) attributable to Itron, Inc.</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(58,866)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21,520</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(81,255)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(57,955)</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(1,557)</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1,531</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10,230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28,638</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44,001</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Income tax (benefit) provision</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(51,093)</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(45,512)</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Debt extinguishment</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11,681</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19,901</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24,984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84,153</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97,290</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55,453</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54,623</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37,013</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Loss on sale of business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36,015</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2,522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64,289</w:t>
            </w:r>
          </w:p>
        </w:tc>
        <w:tc>
          <w:tcPr>
            <w:tcW w:w="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59,817</w:t>
            </w: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Corporate transition cost</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6"/>
        </w:trPr>
        <w:tc>
          <w:tcPr>
            <w:tcW w:w="5360" w:type="dxa"/>
            <w:vAlign w:val="bottom"/>
          </w:tcPr>
          <w:p>
            <w:pPr>
              <w:ind w:left="620"/>
              <w:spacing w:after="0"/>
              <w:rPr>
                <w:sz w:val="20"/>
                <w:szCs w:val="20"/>
                <w:color w:val="auto"/>
              </w:rPr>
            </w:pPr>
            <w:r>
              <w:rPr>
                <w:rFonts w:ascii="Arial" w:cs="Arial" w:eastAsia="Arial" w:hAnsi="Arial"/>
                <w:sz w:val="18"/>
                <w:szCs w:val="18"/>
                <w:color w:val="auto"/>
              </w:rPr>
              <w:t>Acquisition and integration</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519</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151</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36"/>
        </w:trPr>
        <w:tc>
          <w:tcPr>
            <w:tcW w:w="5360" w:type="dxa"/>
            <w:vAlign w:val="bottom"/>
          </w:tcPr>
          <w:p>
            <w:pPr>
              <w:ind w:left="4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3,229</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55,541</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115,211</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178,399</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FREE CASH FLOW</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13,647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38,943</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154,794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109,514</w:t>
            </w:r>
          </w:p>
        </w:tc>
        <w:tc>
          <w:tcPr>
            <w:tcW w:w="0" w:type="dxa"/>
            <w:vAlign w:val="bottom"/>
          </w:tcPr>
          <w:p>
            <w:pPr>
              <w:spacing w:after="0"/>
              <w:rPr>
                <w:sz w:val="1"/>
                <w:szCs w:val="1"/>
                <w:color w:val="auto"/>
              </w:rPr>
            </w:pPr>
          </w:p>
        </w:tc>
      </w:tr>
      <w:tr>
        <w:trPr>
          <w:trHeight w:val="256"/>
        </w:trPr>
        <w:tc>
          <w:tcPr>
            <w:tcW w:w="5360" w:type="dxa"/>
            <w:vAlign w:val="bottom"/>
          </w:tcPr>
          <w:p>
            <w:pPr>
              <w:ind w:left="620"/>
              <w:spacing w:after="0"/>
              <w:rPr>
                <w:sz w:val="20"/>
                <w:szCs w:val="20"/>
                <w:color w:val="auto"/>
              </w:rPr>
            </w:pPr>
            <w:r>
              <w:rPr>
                <w:rFonts w:ascii="Arial" w:cs="Arial" w:eastAsia="Arial" w:hAnsi="Arial"/>
                <w:sz w:val="18"/>
                <w:szCs w:val="18"/>
                <w:color w:val="auto"/>
              </w:rPr>
              <w:t>Acquisitions of property, plant, and equipment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(6,901)</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(9,911)</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(34,682)</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(46,208)</w:t>
            </w:r>
          </w:p>
        </w:tc>
        <w:tc>
          <w:tcPr>
            <w:tcW w:w="0" w:type="dxa"/>
            <w:vAlign w:val="bottom"/>
          </w:tcPr>
          <w:p>
            <w:pPr>
              <w:spacing w:after="0"/>
              <w:rPr>
                <w:sz w:val="1"/>
                <w:szCs w:val="1"/>
                <w:color w:val="auto"/>
              </w:rPr>
            </w:pPr>
          </w:p>
        </w:tc>
      </w:tr>
      <w:tr>
        <w:trPr>
          <w:trHeight w:val="236"/>
        </w:trPr>
        <w:tc>
          <w:tcPr>
            <w:tcW w:w="5360" w:type="dxa"/>
            <w:vAlign w:val="bottom"/>
          </w:tcPr>
          <w:p>
            <w:pPr>
              <w:ind w:left="4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6,746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29,032</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120,112</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63,306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Itron,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Kenneth P. Gianella</w:t>
      </w:r>
    </w:p>
    <w:p>
      <w:pPr>
        <w:sectPr>
          <w:pgSz w:w="11900" w:h="16838" w:orient="portrait"/>
          <w:cols w:equalWidth="0" w:num="1">
            <w:col w:w="11040"/>
          </w:cols>
          <w:pgMar w:left="320" w:top="135" w:right="539" w:bottom="0" w:gutter="0" w:footer="0" w:header="0"/>
        </w:sectPr>
      </w:pPr>
    </w:p>
    <w:bookmarkStart w:id="14" w:name="page15"/>
    <w:bookmarkEnd w:id="14"/>
    <w:p>
      <w:pPr>
        <w:spacing w:after="0"/>
        <w:rPr>
          <w:sz w:val="20"/>
          <w:szCs w:val="20"/>
          <w:color w:val="auto"/>
        </w:rPr>
      </w:pPr>
      <w:r>
        <w:rPr>
          <w:rFonts w:ascii="Arial" w:cs="Arial" w:eastAsia="Arial" w:hAnsi="Arial"/>
          <w:sz w:val="19"/>
          <w:szCs w:val="19"/>
          <w:color w:val="auto"/>
        </w:rPr>
        <w:t>Vice President, Investor Relations</w:t>
      </w:r>
    </w:p>
    <w:p>
      <w:pPr>
        <w:spacing w:after="0" w:line="43" w:lineRule="exact"/>
        <w:rPr>
          <w:sz w:val="20"/>
          <w:szCs w:val="20"/>
          <w:color w:val="auto"/>
        </w:rPr>
      </w:pPr>
    </w:p>
    <w:p>
      <w:pPr>
        <w:ind w:right="8039"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770-4643 ken.gianella@itron.com</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David Means</w:t>
      </w:r>
    </w:p>
    <w:p>
      <w:pPr>
        <w:spacing w:after="0" w:line="238" w:lineRule="auto"/>
        <w:rPr>
          <w:sz w:val="20"/>
          <w:szCs w:val="20"/>
          <w:color w:val="auto"/>
        </w:rPr>
      </w:pPr>
      <w:r>
        <w:rPr>
          <w:rFonts w:ascii="Arial" w:cs="Arial" w:eastAsia="Arial" w:hAnsi="Arial"/>
          <w:sz w:val="22"/>
          <w:szCs w:val="22"/>
          <w:color w:val="auto"/>
        </w:rPr>
        <w:t>Director, Investor Relations</w:t>
      </w:r>
    </w:p>
    <w:p>
      <w:pPr>
        <w:ind w:right="8019" w:firstLine="8"/>
        <w:spacing w:after="0" w:line="308" w:lineRule="auto"/>
        <w:tabs>
          <w:tab w:leader="none" w:pos="522" w:val="left"/>
        </w:tabs>
        <w:numPr>
          <w:ilvl w:val="0"/>
          <w:numId w:val="5"/>
        </w:numPr>
        <w:rPr>
          <w:rFonts w:ascii="Arial" w:cs="Arial" w:eastAsia="Arial" w:hAnsi="Arial"/>
          <w:sz w:val="19"/>
          <w:szCs w:val="19"/>
          <w:color w:val="auto"/>
        </w:rPr>
      </w:pPr>
      <w:r>
        <w:rPr>
          <w:rFonts w:ascii="Arial" w:cs="Arial" w:eastAsia="Arial" w:hAnsi="Arial"/>
          <w:sz w:val="19"/>
          <w:szCs w:val="19"/>
          <w:color w:val="auto"/>
        </w:rPr>
        <w:t>242-8448 david.means@itron.com</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Rebecca Hussey</w:t>
      </w:r>
    </w:p>
    <w:p>
      <w:pPr>
        <w:spacing w:after="0" w:line="238" w:lineRule="auto"/>
        <w:rPr>
          <w:sz w:val="20"/>
          <w:szCs w:val="20"/>
          <w:color w:val="auto"/>
        </w:rPr>
      </w:pPr>
      <w:r>
        <w:rPr>
          <w:rFonts w:ascii="Arial" w:cs="Arial" w:eastAsia="Arial" w:hAnsi="Arial"/>
          <w:sz w:val="22"/>
          <w:szCs w:val="22"/>
          <w:color w:val="auto"/>
        </w:rPr>
        <w:t>Manager, Investor Relations</w:t>
      </w:r>
    </w:p>
    <w:p>
      <w:pPr>
        <w:ind w:right="7799" w:firstLine="8"/>
        <w:spacing w:after="0" w:line="308" w:lineRule="auto"/>
        <w:tabs>
          <w:tab w:leader="none" w:pos="522" w:val="left"/>
        </w:tabs>
        <w:numPr>
          <w:ilvl w:val="0"/>
          <w:numId w:val="6"/>
        </w:numPr>
        <w:rPr>
          <w:rFonts w:ascii="Arial" w:cs="Arial" w:eastAsia="Arial" w:hAnsi="Arial"/>
          <w:sz w:val="19"/>
          <w:szCs w:val="19"/>
          <w:color w:val="auto"/>
        </w:rPr>
      </w:pPr>
      <w:r>
        <w:rPr>
          <w:rFonts w:ascii="Arial" w:cs="Arial" w:eastAsia="Arial" w:hAnsi="Arial"/>
          <w:sz w:val="19"/>
          <w:szCs w:val="19"/>
          <w:color w:val="auto"/>
        </w:rPr>
        <w:t>891-3574 rebecca.hussey@itron.com</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669"/>
    </w:lvl>
  </w:abstractNum>
  <w:abstractNum w:abstractNumId="4">
    <w:nsid w:val="3D1B58BA"/>
    <w:multiLevelType w:val="hybridMultilevel"/>
    <w:lvl w:ilvl="0">
      <w:lvlJc w:val="left"/>
      <w:lvlText w:val="(%1)"/>
      <w:numFmt w:val="decimal"/>
      <w:start w:val="737"/>
    </w:lvl>
  </w:abstractNum>
  <w:abstractNum w:abstractNumId="5">
    <w:nsid w:val="507ED7AB"/>
    <w:multiLevelType w:val="hybridMultilevel"/>
    <w:lvl w:ilvl="0">
      <w:lvlJc w:val="left"/>
      <w:lvlText w:val="(%1)"/>
      <w:numFmt w:val="decimal"/>
      <w:start w:val="50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2022-02-28T07:37:21Z</dcterms:created>
  <dcterms:modified xsi:type="dcterms:W3CDTF">2022-02-28T07:37:21Z</dcterms:modified>
</cp:coreProperties>
</file>