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5480"/>
        <w:spacing w:after="0"/>
        <w:rPr>
          <w:sz w:val="20"/>
          <w:szCs w:val="20"/>
          <w:color w:val="auto"/>
        </w:rPr>
      </w:pPr>
      <w:r>
        <w:rPr>
          <w:rFonts w:ascii="Courier New" w:cs="Courier New" w:eastAsia="Courier New" w:hAnsi="Courier New"/>
          <w:sz w:val="18"/>
          <w:szCs w:val="18"/>
          <w:color w:val="auto"/>
        </w:rPr>
        <w:t>---------------------------</w:t>
      </w:r>
    </w:p>
    <w:tbl>
      <w:tblPr>
        <w:tblLayout w:type="fixed"/>
        <w:tblInd w:w="5480" w:type="dxa"/>
        <w:tblCellMar>
          <w:top w:w="0" w:type="dxa"/>
          <w:left w:w="0" w:type="dxa"/>
          <w:bottom w:w="0" w:type="dxa"/>
          <w:right w:w="0" w:type="dxa"/>
        </w:tblCellMar>
      </w:tblPr>
      <w:tr>
        <w:trPr>
          <w:trHeight w:val="202"/>
        </w:trPr>
        <w:tc>
          <w:tcPr>
            <w:tcW w:w="2220" w:type="dxa"/>
            <w:vAlign w:val="bottom"/>
          </w:tcPr>
          <w:p>
            <w:pPr>
              <w:ind w:left="740"/>
              <w:spacing w:after="0" w:line="202" w:lineRule="exact"/>
              <w:rPr>
                <w:sz w:val="20"/>
                <w:szCs w:val="20"/>
                <w:color w:val="auto"/>
              </w:rPr>
            </w:pPr>
            <w:r>
              <w:rPr>
                <w:rFonts w:ascii="Courier New" w:cs="Courier New" w:eastAsia="Courier New" w:hAnsi="Courier New"/>
                <w:sz w:val="18"/>
                <w:szCs w:val="18"/>
                <w:color w:val="auto"/>
              </w:rPr>
              <w:t>OMB APPROVAL</w:t>
            </w:r>
          </w:p>
        </w:tc>
        <w:tc>
          <w:tcPr>
            <w:tcW w:w="640" w:type="dxa"/>
            <w:vAlign w:val="bottom"/>
          </w:tcPr>
          <w:p>
            <w:pPr>
              <w:spacing w:after="0"/>
              <w:rPr>
                <w:sz w:val="17"/>
                <w:szCs w:val="17"/>
                <w:color w:val="auto"/>
              </w:rPr>
            </w:pP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OMB Number: 3235-0145</w:t>
            </w:r>
          </w:p>
        </w:tc>
        <w:tc>
          <w:tcPr>
            <w:tcW w:w="640" w:type="dxa"/>
            <w:vAlign w:val="bottom"/>
          </w:tcPr>
          <w:p>
            <w:pPr>
              <w:spacing w:after="0"/>
              <w:rPr>
                <w:sz w:val="17"/>
                <w:szCs w:val="17"/>
                <w:color w:val="auto"/>
              </w:rPr>
            </w:pP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Expires: October 31, 2002</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Estimated average burden</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hours per response...</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14.9</w:t>
            </w:r>
          </w:p>
        </w:tc>
      </w:tr>
    </w:tbl>
    <w:p>
      <w:pPr>
        <w:ind w:left="5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2)(1)</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465741106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02/28/2001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spacing w:after="0" w:line="201"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540" w:right="199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420"/>
        <w:spacing w:after="0"/>
        <w:tabs>
          <w:tab w:leader="none" w:pos="4200" w:val="left"/>
          <w:tab w:leader="none" w:pos="61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p>
      <w:pPr>
        <w:ind w:left="1160" w:hanging="309"/>
        <w:spacing w:after="0"/>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The TCW Group, Inc.</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309"/>
        <w:spacing w:after="0" w:line="238" w:lineRule="auto"/>
        <w:tabs>
          <w:tab w:leader="none" w:pos="1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120" w:hanging="633"/>
        <w:spacing w:after="0" w:line="238" w:lineRule="auto"/>
        <w:tabs>
          <w:tab w:leader="none" w:pos="812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8120" w:hanging="633"/>
        <w:spacing w:after="0" w:line="238" w:lineRule="auto"/>
        <w:tabs>
          <w:tab w:leader="none" w:pos="812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309"/>
        <w:spacing w:after="0" w:line="238" w:lineRule="auto"/>
        <w:tabs>
          <w:tab w:leader="none" w:pos="11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309"/>
        <w:spacing w:after="0" w:line="238" w:lineRule="auto"/>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Nevada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17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5.</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740" w:type="dxa"/>
            <w:vAlign w:val="bottom"/>
          </w:tcPr>
          <w:p>
            <w:pPr>
              <w:spacing w:after="0"/>
              <w:rPr>
                <w:sz w:val="17"/>
                <w:szCs w:val="17"/>
                <w:color w:val="auto"/>
              </w:rPr>
            </w:pP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7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1740" w:type="dxa"/>
            <w:vAlign w:val="bottom"/>
          </w:tcPr>
          <w:p>
            <w:pPr>
              <w:spacing w:after="0"/>
              <w:rPr>
                <w:sz w:val="17"/>
                <w:szCs w:val="17"/>
                <w:color w:val="auto"/>
              </w:rPr>
            </w:pP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7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1740" w:type="dxa"/>
            <w:vAlign w:val="bottom"/>
          </w:tcPr>
          <w:p>
            <w:pPr>
              <w:spacing w:after="0"/>
              <w:rPr>
                <w:sz w:val="17"/>
                <w:szCs w:val="17"/>
                <w:color w:val="auto"/>
              </w:rPr>
            </w:pP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spacing w:after="0"/>
              <w:rPr>
                <w:sz w:val="17"/>
                <w:szCs w:val="17"/>
                <w:color w:val="auto"/>
              </w:rPr>
            </w:pPr>
          </w:p>
        </w:tc>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spacing w:after="0"/>
              <w:rPr>
                <w:sz w:val="17"/>
                <w:szCs w:val="17"/>
                <w:color w:val="auto"/>
              </w:rPr>
            </w:pPr>
          </w:p>
        </w:tc>
        <w:tc>
          <w:tcPr>
            <w:tcW w:w="17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8.</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8120"/>
        <w:spacing w:after="0" w:line="237"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519" w:hanging="415"/>
        <w:spacing w:after="0" w:line="235" w:lineRule="auto"/>
        <w:tabs>
          <w:tab w:leader="none" w:pos="1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ind w:left="802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ind w:left="1280"/>
        <w:spacing w:after="0"/>
        <w:rPr>
          <w:sz w:val="20"/>
          <w:szCs w:val="20"/>
          <w:color w:val="auto"/>
        </w:rPr>
      </w:pPr>
      <w:r>
        <w:rPr>
          <w:rFonts w:ascii="Courier New" w:cs="Courier New" w:eastAsia="Courier New" w:hAnsi="Courier New"/>
          <w:sz w:val="18"/>
          <w:szCs w:val="18"/>
          <w:color w:val="auto"/>
        </w:rPr>
        <w:t>0.0% (see response to Item 4)</w:t>
      </w:r>
    </w:p>
    <w:p>
      <w:pPr>
        <w:spacing w:after="0" w:line="3"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3900"/>
        <w:spacing w:after="0"/>
        <w:rPr>
          <w:sz w:val="20"/>
          <w:szCs w:val="20"/>
          <w:color w:val="auto"/>
        </w:rPr>
      </w:pPr>
      <w:r>
        <w:rPr>
          <w:rFonts w:ascii="Courier New" w:cs="Courier New" w:eastAsia="Courier New" w:hAnsi="Courier New"/>
          <w:sz w:val="18"/>
          <w:szCs w:val="18"/>
          <w:color w:val="auto"/>
        </w:rPr>
        <w:t>HC/CO</w:t>
      </w:r>
    </w:p>
    <w:p>
      <w:pPr>
        <w:spacing w:after="0" w:line="3"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2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420"/>
        <w:spacing w:after="0"/>
        <w:tabs>
          <w:tab w:leader="none" w:pos="4200" w:val="left"/>
          <w:tab w:leader="none" w:pos="61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p>
      <w:pPr>
        <w:ind w:left="1160" w:hanging="309"/>
        <w:spacing w:after="0"/>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Robert Day</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309"/>
        <w:spacing w:after="0" w:line="238" w:lineRule="auto"/>
        <w:tabs>
          <w:tab w:leader="none" w:pos="11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120" w:hanging="633"/>
        <w:spacing w:after="0" w:line="238" w:lineRule="auto"/>
        <w:tabs>
          <w:tab w:leader="none" w:pos="812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8120" w:hanging="633"/>
        <w:spacing w:after="0" w:line="238" w:lineRule="auto"/>
        <w:tabs>
          <w:tab w:leader="none" w:pos="812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309"/>
        <w:spacing w:after="0" w:line="238" w:lineRule="auto"/>
        <w:tabs>
          <w:tab w:leader="none" w:pos="11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309"/>
        <w:spacing w:after="0" w:line="238" w:lineRule="auto"/>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United States Citizen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17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5.</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740" w:type="dxa"/>
            <w:vAlign w:val="bottom"/>
          </w:tcPr>
          <w:p>
            <w:pPr>
              <w:spacing w:after="0"/>
              <w:rPr>
                <w:sz w:val="17"/>
                <w:szCs w:val="17"/>
                <w:color w:val="auto"/>
              </w:rPr>
            </w:pP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7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1740" w:type="dxa"/>
            <w:vAlign w:val="bottom"/>
          </w:tcPr>
          <w:p>
            <w:pPr>
              <w:spacing w:after="0"/>
              <w:rPr>
                <w:sz w:val="17"/>
                <w:szCs w:val="17"/>
                <w:color w:val="auto"/>
              </w:rPr>
            </w:pP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7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1740" w:type="dxa"/>
            <w:vAlign w:val="bottom"/>
          </w:tcPr>
          <w:p>
            <w:pPr>
              <w:spacing w:after="0"/>
              <w:rPr>
                <w:sz w:val="17"/>
                <w:szCs w:val="17"/>
                <w:color w:val="auto"/>
              </w:rPr>
            </w:pP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spacing w:after="0"/>
              <w:rPr>
                <w:sz w:val="17"/>
                <w:szCs w:val="17"/>
                <w:color w:val="auto"/>
              </w:rPr>
            </w:pPr>
          </w:p>
        </w:tc>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spacing w:after="0"/>
              <w:rPr>
                <w:sz w:val="17"/>
                <w:szCs w:val="17"/>
                <w:color w:val="auto"/>
              </w:rPr>
            </w:pPr>
          </w:p>
        </w:tc>
        <w:tc>
          <w:tcPr>
            <w:tcW w:w="17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8.</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8120"/>
        <w:spacing w:after="0" w:line="237"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519" w:hanging="415"/>
        <w:spacing w:after="0" w:line="235"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ind w:left="802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280" w:right="3779" w:hanging="535"/>
        <w:spacing w:after="0" w:line="235" w:lineRule="auto"/>
        <w:tabs>
          <w:tab w:leader="none" w:pos="1175"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 (see response to Item 4)</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3900"/>
        <w:spacing w:after="0"/>
        <w:rPr>
          <w:sz w:val="20"/>
          <w:szCs w:val="20"/>
          <w:color w:val="auto"/>
        </w:rPr>
      </w:pPr>
      <w:r>
        <w:rPr>
          <w:rFonts w:ascii="Courier New" w:cs="Courier New" w:eastAsia="Courier New" w:hAnsi="Courier New"/>
          <w:sz w:val="18"/>
          <w:szCs w:val="18"/>
          <w:color w:val="auto"/>
        </w:rPr>
        <w:t>HC/IN</w:t>
      </w:r>
    </w:p>
    <w:p>
      <w:pPr>
        <w:spacing w:after="0" w:line="3"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25" w:right="1440" w:bottom="1440" w:gutter="0" w:footer="0" w:header="0"/>
        </w:sectPr>
      </w:pPr>
    </w:p>
    <w:bookmarkStart w:id="3" w:name="page4"/>
    <w:bookmarkEnd w:id="3"/>
    <w:p>
      <w:pPr>
        <w:ind w:left="6540"/>
        <w:spacing w:after="0"/>
        <w:rPr>
          <w:sz w:val="20"/>
          <w:szCs w:val="20"/>
          <w:color w:val="auto"/>
        </w:rPr>
      </w:pPr>
      <w:r>
        <w:rPr>
          <w:rFonts w:ascii="Courier New" w:cs="Courier New" w:eastAsia="Courier New" w:hAnsi="Courier New"/>
          <w:sz w:val="16"/>
          <w:szCs w:val="16"/>
          <w:color w:val="auto"/>
        </w:rPr>
        <w:t>Page 4 of 8 Pages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060" w:space="640"/>
            <w:col w:w="851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Itron, Inc.</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1060" w:space="640"/>
            <w:col w:w="851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2818 N. Sullivan Rd.</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Spokane, WA 99216</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Persons Filing: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0" w:lineRule="exact"/>
        <w:rPr>
          <w:sz w:val="20"/>
          <w:szCs w:val="20"/>
          <w:color w:val="auto"/>
        </w:rPr>
      </w:pPr>
    </w:p>
    <w:p>
      <w:pPr>
        <w:sectPr>
          <w:pgSz w:w="11900" w:h="16838" w:orient="portrait"/>
          <w:cols w:equalWidth="0" w:num="2">
            <w:col w:w="1060" w:space="640"/>
            <w:col w:w="8519"/>
          </w:cols>
          <w:pgMar w:left="240" w:top="925" w:right="1440" w:bottom="1440" w:gutter="0" w:footer="0" w:header="0"/>
          <w:type w:val="continuous"/>
        </w:sectPr>
      </w:pP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TCW Group, Inc.</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865 South Figueroa Street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Los Angeles, CA 90017</w:t>
      </w:r>
    </w:p>
    <w:p>
      <w:pPr>
        <w:ind w:left="1700"/>
        <w:spacing w:after="0" w:line="238" w:lineRule="auto"/>
        <w:rPr>
          <w:sz w:val="20"/>
          <w:szCs w:val="20"/>
          <w:color w:val="auto"/>
        </w:rPr>
      </w:pPr>
      <w:r>
        <w:rPr>
          <w:rFonts w:ascii="Courier New" w:cs="Courier New" w:eastAsia="Courier New" w:hAnsi="Courier New"/>
          <w:sz w:val="18"/>
          <w:szCs w:val="18"/>
          <w:color w:val="auto"/>
        </w:rPr>
        <w:t>(Nevada Corporation)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Robert Day</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865 South Figueroa Street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Los Angeles, CA 90017</w:t>
      </w:r>
    </w:p>
    <w:p>
      <w:pPr>
        <w:ind w:left="1700"/>
        <w:spacing w:after="0" w:line="238" w:lineRule="auto"/>
        <w:rPr>
          <w:sz w:val="20"/>
          <w:szCs w:val="20"/>
          <w:color w:val="auto"/>
        </w:rPr>
      </w:pPr>
      <w:r>
        <w:rPr>
          <w:rFonts w:ascii="Courier New" w:cs="Courier New" w:eastAsia="Courier New" w:hAnsi="Courier New"/>
          <w:sz w:val="18"/>
          <w:szCs w:val="18"/>
          <w:color w:val="auto"/>
        </w:rPr>
        <w:t>(United States Citizen)</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ectPr>
          <w:pgSz w:w="11900" w:h="16838" w:orient="portrait"/>
          <w:cols w:equalWidth="0" w:num="2">
            <w:col w:w="1060" w:space="640"/>
            <w:col w:w="851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1060" w:space="640"/>
            <w:col w:w="851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465741106</w:t>
      </w:r>
    </w:p>
    <w:p>
      <w:pPr>
        <w:sectPr>
          <w:pgSz w:w="11900" w:h="16838" w:orient="portrait"/>
          <w:cols w:equalWidth="0" w:num="1">
            <w:col w:w="10219"/>
          </w:cols>
          <w:pgMar w:left="240" w:top="925" w:right="1440" w:bottom="1440" w:gutter="0" w:footer="0" w:header="0"/>
          <w:type w:val="continuous"/>
        </w:sectPr>
      </w:pPr>
    </w:p>
    <w:bookmarkStart w:id="4" w:name="page5"/>
    <w:bookmarkEnd w:id="4"/>
    <w:p>
      <w:pPr>
        <w:ind w:left="6540"/>
        <w:spacing w:after="0"/>
        <w:rPr>
          <w:sz w:val="20"/>
          <w:szCs w:val="20"/>
          <w:color w:val="auto"/>
        </w:rPr>
      </w:pPr>
      <w:r>
        <w:rPr>
          <w:rFonts w:ascii="Courier New" w:cs="Courier New" w:eastAsia="Courier New" w:hAnsi="Courier New"/>
          <w:sz w:val="18"/>
          <w:szCs w:val="18"/>
          <w:color w:val="auto"/>
        </w:rPr>
        <w:t>Page 5 of 8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9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900" w:right="2939" w:hanging="944"/>
        <w:spacing w:after="0" w:line="235" w:lineRule="auto"/>
        <w:tabs>
          <w:tab w:leader="none" w:pos="137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 (15 U.S.C. 78o).</w:t>
      </w:r>
    </w:p>
    <w:p>
      <w:pPr>
        <w:spacing w:after="0" w:line="5"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1" w:lineRule="exact"/>
        <w:rPr>
          <w:rFonts w:ascii="Courier New" w:cs="Courier New" w:eastAsia="Courier New" w:hAnsi="Courier New"/>
          <w:sz w:val="16"/>
          <w:szCs w:val="16"/>
          <w:color w:val="auto"/>
        </w:rPr>
      </w:pPr>
    </w:p>
    <w:p>
      <w:pPr>
        <w:ind w:left="1900" w:right="2519" w:hanging="944"/>
        <w:spacing w:after="0" w:line="235" w:lineRule="auto"/>
        <w:tabs>
          <w:tab w:leader="none" w:pos="137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 (15 U.S.C. 78c).</w:t>
      </w:r>
    </w:p>
    <w:p>
      <w:pPr>
        <w:spacing w:after="0" w:line="5" w:lineRule="exact"/>
        <w:rPr>
          <w:rFonts w:ascii="Courier New" w:cs="Courier New" w:eastAsia="Courier New" w:hAnsi="Courier New"/>
          <w:sz w:val="18"/>
          <w:szCs w:val="18"/>
          <w:color w:val="auto"/>
        </w:rPr>
      </w:pPr>
    </w:p>
    <w:p>
      <w:pPr>
        <w:ind w:left="1900" w:right="2839" w:hanging="944"/>
        <w:spacing w:after="0" w:line="268" w:lineRule="auto"/>
        <w:tabs>
          <w:tab w:leader="none" w:pos="137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Investment company registered under Section 8 of the Investment Company Act of 1940 (15 U.S.C. 80a-8).</w:t>
      </w:r>
    </w:p>
    <w:p>
      <w:pPr>
        <w:ind w:left="1380" w:hanging="424"/>
        <w:spacing w:after="0" w:line="238" w:lineRule="auto"/>
        <w:tabs>
          <w:tab w:leader="none" w:pos="13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Section</w:t>
      </w:r>
    </w:p>
    <w:p>
      <w:pPr>
        <w:ind w:left="1900"/>
        <w:spacing w:after="0"/>
        <w:rPr>
          <w:sz w:val="20"/>
          <w:szCs w:val="20"/>
          <w:color w:val="auto"/>
        </w:rPr>
      </w:pPr>
      <w:r>
        <w:rPr>
          <w:rFonts w:ascii="Courier New" w:cs="Courier New" w:eastAsia="Courier New" w:hAnsi="Courier New"/>
          <w:sz w:val="18"/>
          <w:szCs w:val="18"/>
          <w:color w:val="auto"/>
        </w:rPr>
        <w:t>240.13d-1(b)(1)(ii)(E).</w:t>
      </w:r>
    </w:p>
    <w:p>
      <w:pPr>
        <w:spacing w:after="0" w:line="3" w:lineRule="exact"/>
        <w:rPr>
          <w:sz w:val="20"/>
          <w:szCs w:val="20"/>
          <w:color w:val="auto"/>
        </w:rPr>
      </w:pPr>
    </w:p>
    <w:p>
      <w:pPr>
        <w:ind w:left="1900" w:right="1879" w:hanging="944"/>
        <w:spacing w:after="0" w:line="235" w:lineRule="auto"/>
        <w:tabs>
          <w:tab w:leader="none" w:pos="137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900" w:right="1879" w:hanging="944"/>
        <w:spacing w:after="0" w:line="235" w:lineRule="auto"/>
        <w:tabs>
          <w:tab w:leader="none" w:pos="137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(SEE Item 7)</w:t>
      </w:r>
    </w:p>
    <w:p>
      <w:pPr>
        <w:ind w:left="2640"/>
        <w:spacing w:after="0" w:line="238" w:lineRule="auto"/>
        <w:rPr>
          <w:sz w:val="20"/>
          <w:szCs w:val="20"/>
          <w:color w:val="auto"/>
        </w:rPr>
      </w:pPr>
      <w:r>
        <w:rPr>
          <w:rFonts w:ascii="Courier New" w:cs="Courier New" w:eastAsia="Courier New" w:hAnsi="Courier New"/>
          <w:sz w:val="18"/>
          <w:szCs w:val="18"/>
          <w:color w:val="auto"/>
        </w:rPr>
        <w:t>The TCW Group, Inc.</w:t>
      </w:r>
    </w:p>
    <w:p>
      <w:pPr>
        <w:spacing w:after="0" w:line="5" w:lineRule="exact"/>
        <w:rPr>
          <w:sz w:val="20"/>
          <w:szCs w:val="20"/>
          <w:color w:val="auto"/>
        </w:rPr>
      </w:pPr>
    </w:p>
    <w:p>
      <w:pPr>
        <w:ind w:left="3060" w:right="1999" w:hanging="420"/>
        <w:spacing w:after="0" w:line="236" w:lineRule="auto"/>
        <w:rPr>
          <w:sz w:val="20"/>
          <w:szCs w:val="20"/>
          <w:color w:val="auto"/>
        </w:rPr>
      </w:pPr>
      <w:r>
        <w:rPr>
          <w:rFonts w:ascii="Courier New" w:cs="Courier New" w:eastAsia="Courier New" w:hAnsi="Courier New"/>
          <w:sz w:val="18"/>
          <w:szCs w:val="18"/>
          <w:color w:val="auto"/>
        </w:rPr>
        <w:t>Robert Day (individual who may be deemed to control The TCW Group, Inc. and other entities which hold the Common Stock of the issuer)</w:t>
      </w:r>
    </w:p>
    <w:p>
      <w:pPr>
        <w:spacing w:after="0" w:line="209" w:lineRule="exact"/>
        <w:rPr>
          <w:sz w:val="20"/>
          <w:szCs w:val="20"/>
          <w:color w:val="auto"/>
        </w:rPr>
      </w:pPr>
    </w:p>
    <w:p>
      <w:pPr>
        <w:ind w:left="1900" w:right="2519" w:hanging="944"/>
        <w:spacing w:after="0" w:line="235" w:lineRule="auto"/>
        <w:tabs>
          <w:tab w:leader="none" w:pos="137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900" w:right="2099" w:hanging="944"/>
        <w:spacing w:after="0" w:line="236" w:lineRule="auto"/>
        <w:tabs>
          <w:tab w:leader="none" w:pos="137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1380" w:hanging="424"/>
        <w:spacing w:after="0" w:line="238" w:lineRule="auto"/>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 240.13d-1(b)(1)(ii)(J).</w:t>
      </w:r>
    </w:p>
    <w:p>
      <w:pPr>
        <w:ind w:left="960"/>
        <w:spacing w:after="0"/>
        <w:rPr>
          <w:sz w:val="20"/>
          <w:szCs w:val="20"/>
          <w:color w:val="auto"/>
        </w:rPr>
      </w:pPr>
      <w:r>
        <w:rPr>
          <w:rFonts w:ascii="Courier New" w:cs="Courier New" w:eastAsia="Courier New" w:hAnsi="Courier New"/>
          <w:sz w:val="18"/>
          <w:szCs w:val="18"/>
          <w:color w:val="auto"/>
        </w:rPr>
        <w:t>If this statement is filed pursuant to Rule 13d-1(c), check this box.</w:t>
      </w:r>
    </w:p>
    <w:p>
      <w:pPr>
        <w:ind w:left="1380"/>
        <w:spacing w:after="0" w:line="237" w:lineRule="auto"/>
        <w:rPr>
          <w:sz w:val="20"/>
          <w:szCs w:val="20"/>
          <w:color w:val="auto"/>
        </w:rPr>
      </w:pPr>
      <w:r>
        <w:rPr>
          <w:rFonts w:ascii="Courier New" w:cs="Courier New" w:eastAsia="Courier New" w:hAnsi="Courier New"/>
          <w:sz w:val="18"/>
          <w:szCs w:val="18"/>
          <w:color w:val="auto"/>
        </w:rPr>
        <w:t>|_|</w:t>
      </w:r>
    </w:p>
    <w:p>
      <w:pPr>
        <w:sectPr>
          <w:pgSz w:w="11900" w:h="16838" w:orient="portrait"/>
          <w:cols w:equalWidth="0" w:num="1">
            <w:col w:w="10219"/>
          </w:cols>
          <w:pgMar w:left="240" w:top="717" w:right="1440" w:bottom="1440" w:gutter="0" w:footer="0" w:header="0"/>
        </w:sectPr>
      </w:pPr>
    </w:p>
    <w:bookmarkStart w:id="5" w:name="page6"/>
    <w:bookmarkEnd w:id="5"/>
    <w:p>
      <w:pPr>
        <w:ind w:left="6540"/>
        <w:spacing w:after="0"/>
        <w:rPr>
          <w:sz w:val="20"/>
          <w:szCs w:val="20"/>
          <w:color w:val="auto"/>
        </w:rPr>
      </w:pPr>
      <w:r>
        <w:rPr>
          <w:rFonts w:ascii="Courier New" w:cs="Courier New" w:eastAsia="Courier New" w:hAnsi="Courier New"/>
          <w:sz w:val="18"/>
          <w:szCs w:val="18"/>
          <w:color w:val="auto"/>
        </w:rPr>
        <w:t>Page 6 of 8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TCW GROUP, INC.</w:t>
      </w:r>
    </w:p>
    <w:p>
      <w:pPr>
        <w:ind w:left="1380" w:hanging="529"/>
        <w:spacing w:after="0" w:line="238" w:lineRule="auto"/>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none.</w:t>
      </w:r>
    </w:p>
    <w:p>
      <w:pPr>
        <w:ind w:left="1380" w:hanging="529"/>
        <w:spacing w:after="0" w:line="238" w:lineRule="auto"/>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w:t>
      </w:r>
    </w:p>
    <w:p>
      <w:pPr>
        <w:ind w:left="1380" w:hanging="529"/>
        <w:spacing w:after="0" w:line="238" w:lineRule="auto"/>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900" w:hanging="523"/>
        <w:spacing w:after="0" w:line="238" w:lineRule="auto"/>
        <w:tabs>
          <w:tab w:leader="none" w:pos="19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ind w:left="1900" w:hanging="523"/>
        <w:spacing w:after="0" w:line="238" w:lineRule="auto"/>
        <w:tabs>
          <w:tab w:leader="none" w:pos="19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ind w:left="1380"/>
        <w:spacing w:after="0"/>
        <w:rPr>
          <w:sz w:val="20"/>
          <w:szCs w:val="20"/>
          <w:color w:val="auto"/>
        </w:rPr>
      </w:pPr>
      <w:r>
        <w:rPr>
          <w:rFonts w:ascii="Courier New" w:cs="Courier New" w:eastAsia="Courier New" w:hAnsi="Courier New"/>
          <w:sz w:val="18"/>
          <w:szCs w:val="18"/>
          <w:color w:val="auto"/>
        </w:rPr>
        <w:t>(iii)Sole power to dispose or to direct the disposition of: none.</w:t>
      </w:r>
    </w:p>
    <w:p>
      <w:pPr>
        <w:spacing w:after="0" w:line="3"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(iv) Shared power to dispose or to direct the disposition of: none.</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DAY ***</w:t>
      </w:r>
    </w:p>
    <w:p>
      <w:pPr>
        <w:ind w:left="1380" w:hanging="529"/>
        <w:spacing w:after="0" w:line="238" w:lineRule="auto"/>
        <w:tabs>
          <w:tab w:leader="none" w:pos="13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none.</w:t>
      </w:r>
    </w:p>
    <w:p>
      <w:pPr>
        <w:ind w:left="1380" w:hanging="529"/>
        <w:spacing w:after="0" w:line="238" w:lineRule="auto"/>
        <w:tabs>
          <w:tab w:leader="none" w:pos="13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w:t>
      </w:r>
    </w:p>
    <w:p>
      <w:pPr>
        <w:ind w:left="1380" w:hanging="529"/>
        <w:spacing w:after="0" w:line="238" w:lineRule="auto"/>
        <w:tabs>
          <w:tab w:leader="none" w:pos="13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900" w:hanging="523"/>
        <w:spacing w:after="0" w:line="238" w:lineRule="auto"/>
        <w:tabs>
          <w:tab w:leader="none" w:pos="190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4" w:lineRule="exact"/>
        <w:rPr>
          <w:rFonts w:ascii="Courier New" w:cs="Courier New" w:eastAsia="Courier New" w:hAnsi="Courier New"/>
          <w:sz w:val="18"/>
          <w:szCs w:val="18"/>
          <w:color w:val="auto"/>
        </w:rPr>
      </w:pPr>
    </w:p>
    <w:p>
      <w:pPr>
        <w:ind w:left="1380" w:right="2319" w:hanging="3"/>
        <w:spacing w:after="0" w:line="268" w:lineRule="auto"/>
        <w:tabs>
          <w:tab w:leader="none" w:pos="1907"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none. (iii)Sole power to dispose or direct the disposition of: none.</w:t>
      </w:r>
    </w:p>
    <w:p>
      <w:pPr>
        <w:ind w:left="1900" w:hanging="523"/>
        <w:spacing w:after="0"/>
        <w:tabs>
          <w:tab w:leader="none" w:pos="1900"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none.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960" w:right="1779" w:hanging="952"/>
        <w:spacing w:after="0" w:line="237" w:lineRule="auto"/>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of this Schedule 13G shall not be construed as an admission that the reporting person or any of its affiliates is, for the purposes of Section 13(d) or 13(g) of the Securities Exchange Act of 1934, the beneficial owner of any securities covered by this Schedule 13G.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213" w:lineRule="exact"/>
        <w:rPr>
          <w:rFonts w:ascii="Courier New" w:cs="Courier New" w:eastAsia="Courier New" w:hAnsi="Courier New"/>
          <w:sz w:val="18"/>
          <w:szCs w:val="18"/>
          <w:color w:val="auto"/>
        </w:rPr>
      </w:pPr>
    </w:p>
    <w:p>
      <w:pPr>
        <w:ind w:left="960" w:right="2319" w:hanging="952"/>
        <w:spacing w:after="0" w:line="235" w:lineRule="auto"/>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reported for Robert Day include shares reported for The TCW Group, Inc.</w:t>
      </w:r>
    </w:p>
    <w:p>
      <w:pPr>
        <w:sectPr>
          <w:pgSz w:w="11900" w:h="16838" w:orient="portrait"/>
          <w:cols w:equalWidth="0" w:num="1">
            <w:col w:w="10219"/>
          </w:cols>
          <w:pgMar w:left="240" w:top="717" w:right="1440" w:bottom="1440" w:gutter="0" w:footer="0" w:header="0"/>
        </w:sectPr>
      </w:pPr>
    </w:p>
    <w:bookmarkStart w:id="6" w:name="page7"/>
    <w:bookmarkEnd w:id="6"/>
    <w:p>
      <w:pPr>
        <w:jc w:val="right"/>
        <w:ind w:right="1879"/>
        <w:spacing w:after="0"/>
        <w:rPr>
          <w:sz w:val="20"/>
          <w:szCs w:val="20"/>
          <w:color w:val="auto"/>
        </w:rPr>
      </w:pPr>
      <w:r>
        <w:rPr>
          <w:rFonts w:ascii="Courier New" w:cs="Courier New" w:eastAsia="Courier New" w:hAnsi="Courier New"/>
          <w:sz w:val="18"/>
          <w:szCs w:val="18"/>
          <w:color w:val="auto"/>
        </w:rPr>
        <w:t>Page 7 of 8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960" w:right="23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tabs>
          <w:tab w:leader="none" w:pos="27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Exhibits A and B.</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960" w:right="2739"/>
        <w:spacing w:after="0" w:line="235" w:lineRule="auto"/>
        <w:rPr>
          <w:sz w:val="20"/>
          <w:szCs w:val="20"/>
          <w:color w:val="auto"/>
        </w:rPr>
      </w:pPr>
      <w:r>
        <w:rPr>
          <w:rFonts w:ascii="Courier New" w:cs="Courier New" w:eastAsia="Courier New" w:hAnsi="Courier New"/>
          <w:sz w:val="18"/>
          <w:szCs w:val="18"/>
          <w:color w:val="auto"/>
        </w:rPr>
        <w:t>Because this statement is filed pursuant to Rule 13d-1(b), the following certification is included:</w:t>
      </w:r>
    </w:p>
    <w:p>
      <w:pPr>
        <w:spacing w:after="0" w:line="208" w:lineRule="exact"/>
        <w:rPr>
          <w:sz w:val="20"/>
          <w:szCs w:val="20"/>
          <w:color w:val="auto"/>
        </w:rPr>
      </w:pPr>
    </w:p>
    <w:p>
      <w:pPr>
        <w:ind w:left="960"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17" w:right="1440" w:bottom="1440" w:gutter="0" w:footer="0" w:header="0"/>
        </w:sectPr>
      </w:pPr>
    </w:p>
    <w:bookmarkStart w:id="7" w:name="page8"/>
    <w:bookmarkEnd w:id="7"/>
    <w:p>
      <w:pPr>
        <w:ind w:left="6540"/>
        <w:spacing w:after="0"/>
        <w:rPr>
          <w:sz w:val="20"/>
          <w:szCs w:val="20"/>
          <w:color w:val="auto"/>
        </w:rPr>
      </w:pPr>
      <w:r>
        <w:rPr>
          <w:rFonts w:ascii="Courier New" w:cs="Courier New" w:eastAsia="Courier New" w:hAnsi="Courier New"/>
          <w:sz w:val="18"/>
          <w:szCs w:val="18"/>
          <w:color w:val="auto"/>
        </w:rPr>
        <w:t>Page 8 of 8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319" w:firstLine="136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this 9th day of February, 2001.</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TCW Group, Inc.</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Linda D. Barker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Linda D. Barker</w:t>
      </w:r>
    </w:p>
    <w:p>
      <w:pPr>
        <w:ind w:left="4220"/>
        <w:spacing w:after="0" w:line="238"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Robert Day</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Linda D. Barker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Linda D. Barker</w:t>
      </w:r>
    </w:p>
    <w:p>
      <w:pPr>
        <w:ind w:left="4220"/>
        <w:spacing w:after="0" w:line="238" w:lineRule="auto"/>
        <w:rPr>
          <w:sz w:val="20"/>
          <w:szCs w:val="20"/>
          <w:color w:val="auto"/>
        </w:rPr>
      </w:pPr>
      <w:r>
        <w:rPr>
          <w:rFonts w:ascii="Courier New" w:cs="Courier New" w:eastAsia="Courier New" w:hAnsi="Courier New"/>
          <w:sz w:val="18"/>
          <w:szCs w:val="18"/>
          <w:color w:val="auto"/>
        </w:rPr>
        <w:t>Under Power of Attorney dated</w:t>
      </w:r>
    </w:p>
    <w:p>
      <w:pPr>
        <w:ind w:left="4220"/>
        <w:spacing w:after="0"/>
        <w:rPr>
          <w:sz w:val="20"/>
          <w:szCs w:val="20"/>
          <w:color w:val="auto"/>
        </w:rPr>
      </w:pPr>
      <w:r>
        <w:rPr>
          <w:rFonts w:ascii="Courier New" w:cs="Courier New" w:eastAsia="Courier New" w:hAnsi="Courier New"/>
          <w:sz w:val="18"/>
          <w:szCs w:val="18"/>
          <w:color w:val="auto"/>
        </w:rPr>
        <w:t>November 6, 2000, on file with</w:t>
      </w:r>
    </w:p>
    <w:p>
      <w:pPr>
        <w:ind w:left="4220"/>
        <w:spacing w:after="0" w:line="237" w:lineRule="auto"/>
        <w:rPr>
          <w:sz w:val="20"/>
          <w:szCs w:val="20"/>
          <w:color w:val="auto"/>
        </w:rPr>
      </w:pPr>
      <w:r>
        <w:rPr>
          <w:rFonts w:ascii="Courier New" w:cs="Courier New" w:eastAsia="Courier New" w:hAnsi="Courier New"/>
          <w:sz w:val="18"/>
          <w:szCs w:val="18"/>
          <w:color w:val="auto"/>
        </w:rPr>
        <w:t>Schedule 13G for Retek, Inc. dated</w:t>
      </w:r>
    </w:p>
    <w:p>
      <w:pPr>
        <w:ind w:left="4220"/>
        <w:spacing w:after="0" w:line="238" w:lineRule="auto"/>
        <w:rPr>
          <w:sz w:val="20"/>
          <w:szCs w:val="20"/>
          <w:color w:val="auto"/>
        </w:rPr>
      </w:pPr>
      <w:r>
        <w:rPr>
          <w:rFonts w:ascii="Courier New" w:cs="Courier New" w:eastAsia="Courier New" w:hAnsi="Courier New"/>
          <w:sz w:val="18"/>
          <w:szCs w:val="18"/>
          <w:color w:val="auto"/>
        </w:rPr>
        <w:t>November 8, 2000.</w:t>
      </w:r>
    </w:p>
    <w:p>
      <w:pPr>
        <w:sectPr>
          <w:pgSz w:w="11900" w:h="16838" w:orient="portrait"/>
          <w:cols w:equalWidth="0" w:num="1">
            <w:col w:w="10219"/>
          </w:cols>
          <w:pgMar w:left="240" w:top="717" w:right="1440" w:bottom="1440" w:gutter="0" w:footer="0" w:header="0"/>
        </w:sectPr>
      </w:pPr>
    </w:p>
    <w:bookmarkStart w:id="8" w:name="page9"/>
    <w:bookmarkEnd w:id="8"/>
    <w:p>
      <w:pPr>
        <w:ind w:left="6440"/>
        <w:spacing w:after="0"/>
        <w:rPr>
          <w:sz w:val="20"/>
          <w:szCs w:val="20"/>
          <w:color w:val="auto"/>
        </w:rPr>
      </w:pPr>
      <w:r>
        <w:rPr>
          <w:rFonts w:ascii="Courier New" w:cs="Courier New" w:eastAsia="Courier New" w:hAnsi="Courier New"/>
          <w:sz w:val="18"/>
          <w:szCs w:val="18"/>
          <w:color w:val="auto"/>
        </w:rPr>
        <w:t>Exhibit 21</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RELEVANT SUBSIDIARIES OF PARENT HOLDING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A: TCW ENTITIES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PARENT HOLDING COMPANY:</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TCW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Robert Day (an individual who may be deemed to control The TCW</w:t>
      </w:r>
    </w:p>
    <w:p>
      <w:pPr>
        <w:spacing w:after="0" w:line="238" w:lineRule="auto"/>
        <w:rPr>
          <w:sz w:val="20"/>
          <w:szCs w:val="20"/>
          <w:color w:val="auto"/>
        </w:rPr>
      </w:pPr>
      <w:r>
        <w:rPr>
          <w:rFonts w:ascii="Courier New" w:cs="Courier New" w:eastAsia="Courier New" w:hAnsi="Courier New"/>
          <w:sz w:val="18"/>
          <w:szCs w:val="18"/>
          <w:color w:val="auto"/>
        </w:rPr>
        <w:t>Group,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RELEVANT SUBSIDIARIES THAT ARE PERSONS DESCRIBED IN RULE 13d-1(b):</w:t>
      </w:r>
    </w:p>
    <w:p>
      <w:pPr>
        <w:spacing w:after="0" w:line="207" w:lineRule="exact"/>
        <w:rPr>
          <w:sz w:val="20"/>
          <w:szCs w:val="20"/>
          <w:color w:val="auto"/>
        </w:rPr>
      </w:pPr>
    </w:p>
    <w:p>
      <w:pPr>
        <w:ind w:left="1900" w:right="1779" w:hanging="523"/>
        <w:spacing w:after="0" w:line="236"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Company of the West, a California corporation and a bank as defined in Section 3(a)(6) of the Securities Exchange Act of 1934.</w:t>
      </w:r>
    </w:p>
    <w:p>
      <w:pPr>
        <w:spacing w:after="0" w:line="208" w:lineRule="exact"/>
        <w:rPr>
          <w:rFonts w:ascii="Courier New" w:cs="Courier New" w:eastAsia="Courier New" w:hAnsi="Courier New"/>
          <w:sz w:val="18"/>
          <w:szCs w:val="18"/>
          <w:color w:val="auto"/>
        </w:rPr>
      </w:pPr>
    </w:p>
    <w:p>
      <w:pPr>
        <w:ind w:left="1900" w:right="1879" w:hanging="523"/>
        <w:spacing w:after="0" w:line="236"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TCW Asset Management Company, a California corporation and an Investment Adviser registered under Section 203 of the Investment Advisers Act of 1940.</w:t>
      </w:r>
    </w:p>
    <w:p>
      <w:pPr>
        <w:spacing w:after="0" w:line="209" w:lineRule="exact"/>
        <w:rPr>
          <w:sz w:val="20"/>
          <w:szCs w:val="20"/>
          <w:color w:val="auto"/>
        </w:rPr>
      </w:pPr>
    </w:p>
    <w:p>
      <w:pPr>
        <w:ind w:left="1900" w:right="1999" w:hanging="526"/>
        <w:spacing w:after="0" w:line="237" w:lineRule="auto"/>
        <w:rPr>
          <w:sz w:val="20"/>
          <w:szCs w:val="20"/>
          <w:color w:val="auto"/>
        </w:rPr>
      </w:pPr>
      <w:r>
        <w:rPr>
          <w:rFonts w:ascii="Courier New" w:cs="Courier New" w:eastAsia="Courier New" w:hAnsi="Courier New"/>
          <w:sz w:val="18"/>
          <w:szCs w:val="18"/>
          <w:color w:val="auto"/>
        </w:rPr>
        <w:t>(iii)TCW Investment Management Company, fka TCW Funds Management, Inc., a California corporation and an Investment Adviser registered under Section 203 of the Investment Advisers Act of 1940.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Note:</w:t>
            </w:r>
          </w:p>
        </w:tc>
        <w:tc>
          <w:tcPr>
            <w:tcW w:w="23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8"/>
              </w:rPr>
              <w:t>No Common Stock of</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Itron,</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is held</w:t>
            </w:r>
          </w:p>
        </w:tc>
        <w:tc>
          <w:tcPr>
            <w:tcW w:w="2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directly by The TCW Group,</w:t>
            </w:r>
          </w:p>
        </w:tc>
      </w:tr>
      <w:tr>
        <w:trPr>
          <w:trHeight w:val="203"/>
        </w:trPr>
        <w:tc>
          <w:tcPr>
            <w:tcW w:w="960" w:type="dxa"/>
            <w:vAlign w:val="bottom"/>
          </w:tcPr>
          <w:p>
            <w:pPr>
              <w:spacing w:after="0"/>
              <w:rPr>
                <w:sz w:val="17"/>
                <w:szCs w:val="17"/>
                <w:color w:val="auto"/>
              </w:rPr>
            </w:pP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Inc.  Other</w:t>
            </w:r>
          </w:p>
        </w:tc>
        <w:tc>
          <w:tcPr>
            <w:tcW w:w="20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than the  indirect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holdings</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TCW Group,</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960" w:type="dxa"/>
            <w:vAlign w:val="bottom"/>
          </w:tcPr>
          <w:p>
            <w:pPr>
              <w:spacing w:after="0"/>
              <w:rPr>
                <w:sz w:val="17"/>
                <w:szCs w:val="17"/>
                <w:color w:val="auto"/>
              </w:rPr>
            </w:pPr>
          </w:p>
        </w:tc>
        <w:tc>
          <w:tcPr>
            <w:tcW w:w="2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no Common Stock of</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Itron,</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Inc. is held</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directly or  indirectly by</w:t>
            </w:r>
          </w:p>
        </w:tc>
      </w:tr>
      <w:tr>
        <w:trPr>
          <w:trHeight w:val="203"/>
        </w:trPr>
        <w:tc>
          <w:tcPr>
            <w:tcW w:w="960" w:type="dxa"/>
            <w:vAlign w:val="bottom"/>
          </w:tcPr>
          <w:p>
            <w:pPr>
              <w:spacing w:after="0"/>
              <w:rPr>
                <w:sz w:val="17"/>
                <w:szCs w:val="17"/>
                <w:color w:val="auto"/>
              </w:rPr>
            </w:pP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Robert Day,</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 individual</w:t>
            </w:r>
          </w:p>
        </w:tc>
        <w:tc>
          <w:tcPr>
            <w:tcW w:w="3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who may be deemed to control The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TCW</w:t>
            </w:r>
          </w:p>
        </w:tc>
      </w:tr>
      <w:tr>
        <w:trPr>
          <w:trHeight w:val="203"/>
        </w:trPr>
        <w:tc>
          <w:tcPr>
            <w:tcW w:w="960" w:type="dxa"/>
            <w:vAlign w:val="bottom"/>
          </w:tcPr>
          <w:p>
            <w:pPr>
              <w:spacing w:after="0"/>
              <w:rPr>
                <w:sz w:val="17"/>
                <w:szCs w:val="17"/>
                <w:color w:val="auto"/>
              </w:rPr>
            </w:pP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Group, Inc.</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B: NON TCW ENTITIES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PARENT HOLDING COMPANY:</w:t>
      </w:r>
    </w:p>
    <w:p>
      <w:pPr>
        <w:spacing w:after="0" w:line="207" w:lineRule="exact"/>
        <w:rPr>
          <w:sz w:val="20"/>
          <w:szCs w:val="20"/>
          <w:color w:val="auto"/>
        </w:rPr>
      </w:pPr>
    </w:p>
    <w:p>
      <w:pPr>
        <w:ind w:left="1380" w:right="1779"/>
        <w:spacing w:after="0" w:line="290" w:lineRule="auto"/>
        <w:rPr>
          <w:sz w:val="20"/>
          <w:szCs w:val="20"/>
          <w:color w:val="auto"/>
        </w:rPr>
      </w:pPr>
      <w:r>
        <w:rPr>
          <w:rFonts w:ascii="Courier New" w:cs="Courier New" w:eastAsia="Courier New" w:hAnsi="Courier New"/>
          <w:sz w:val="16"/>
          <w:szCs w:val="16"/>
          <w:color w:val="auto"/>
        </w:rPr>
        <w:t>Robert Day (an individual who may be deemed to control the entities described below which are not subsidiaries of The TCW Group,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RELEVANT SUBSIDIARIES THAT ARE PERSONS DESCRIBED IN RULE 13d-1(b):</w:t>
      </w:r>
    </w:p>
    <w:p>
      <w:pPr>
        <w:spacing w:after="0" w:line="207" w:lineRule="exact"/>
        <w:rPr>
          <w:sz w:val="20"/>
          <w:szCs w:val="20"/>
          <w:color w:val="auto"/>
        </w:rPr>
      </w:pPr>
    </w:p>
    <w:p>
      <w:pPr>
        <w:ind w:left="1380" w:right="1779"/>
        <w:spacing w:after="0" w:line="236" w:lineRule="auto"/>
        <w:rPr>
          <w:sz w:val="20"/>
          <w:szCs w:val="20"/>
          <w:color w:val="auto"/>
        </w:rPr>
      </w:pPr>
      <w:r>
        <w:rPr>
          <w:rFonts w:ascii="Courier New" w:cs="Courier New" w:eastAsia="Courier New" w:hAnsi="Courier New"/>
          <w:sz w:val="18"/>
          <w:szCs w:val="18"/>
          <w:color w:val="auto"/>
        </w:rPr>
        <w:t>Oakmont Corporation, a California corporation and an Investment Adviser registered under Section 203 of the Investment Advisers Act of 1940.</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541" w:right="1440" w:bottom="1440" w:gutter="0" w:footer="0" w:header="0"/>
        </w:sectPr>
      </w:pPr>
    </w:p>
    <w:bookmarkStart w:id="9" w:name="page10"/>
    <w:bookmarkEnd w:id="9"/>
    <w:p>
      <w:pPr>
        <w:ind w:left="654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1779" w:firstLine="1369"/>
        <w:spacing w:after="0" w:line="237" w:lineRule="auto"/>
        <w:rPr>
          <w:sz w:val="20"/>
          <w:szCs w:val="20"/>
          <w:color w:val="auto"/>
        </w:rPr>
      </w:pPr>
      <w:r>
        <w:rPr>
          <w:rFonts w:ascii="Courier New" w:cs="Courier New" w:eastAsia="Courier New" w:hAnsi="Courier New"/>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accurate.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this 9th day of February, 2001.</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TCW Group, Inc.</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Linda D. Barker</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Linda D. Barker</w:t>
      </w:r>
    </w:p>
    <w:p>
      <w:pPr>
        <w:ind w:left="4960"/>
        <w:spacing w:after="0" w:line="238"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Robert Day</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Linda D. Barker</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Linda D. Barker</w:t>
      </w:r>
    </w:p>
    <w:p>
      <w:pPr>
        <w:ind w:left="4960"/>
        <w:spacing w:after="0" w:line="238" w:lineRule="auto"/>
        <w:rPr>
          <w:sz w:val="20"/>
          <w:szCs w:val="20"/>
          <w:color w:val="auto"/>
        </w:rPr>
      </w:pPr>
      <w:r>
        <w:rPr>
          <w:rFonts w:ascii="Courier New" w:cs="Courier New" w:eastAsia="Courier New" w:hAnsi="Courier New"/>
          <w:sz w:val="18"/>
          <w:szCs w:val="18"/>
          <w:color w:val="auto"/>
        </w:rPr>
        <w:t>Under Power of Attorney dated</w:t>
      </w:r>
    </w:p>
    <w:p>
      <w:pPr>
        <w:ind w:left="4960"/>
        <w:spacing w:after="0"/>
        <w:rPr>
          <w:sz w:val="20"/>
          <w:szCs w:val="20"/>
          <w:color w:val="auto"/>
        </w:rPr>
      </w:pPr>
      <w:r>
        <w:rPr>
          <w:rFonts w:ascii="Courier New" w:cs="Courier New" w:eastAsia="Courier New" w:hAnsi="Courier New"/>
          <w:sz w:val="18"/>
          <w:szCs w:val="18"/>
          <w:color w:val="auto"/>
        </w:rPr>
        <w:t>November 6, 2000 on file with</w:t>
      </w:r>
    </w:p>
    <w:p>
      <w:pPr>
        <w:ind w:left="4960"/>
        <w:spacing w:after="0" w:line="237" w:lineRule="auto"/>
        <w:rPr>
          <w:sz w:val="20"/>
          <w:szCs w:val="20"/>
          <w:color w:val="auto"/>
        </w:rPr>
      </w:pPr>
      <w:r>
        <w:rPr>
          <w:rFonts w:ascii="Courier New" w:cs="Courier New" w:eastAsia="Courier New" w:hAnsi="Courier New"/>
          <w:sz w:val="18"/>
          <w:szCs w:val="18"/>
          <w:color w:val="auto"/>
        </w:rPr>
        <w:t>Schedule 13G for Retek, Inc.</w:t>
      </w:r>
    </w:p>
    <w:p>
      <w:pPr>
        <w:ind w:left="4960"/>
        <w:spacing w:after="0" w:line="238" w:lineRule="auto"/>
        <w:rPr>
          <w:sz w:val="20"/>
          <w:szCs w:val="20"/>
          <w:color w:val="auto"/>
        </w:rPr>
      </w:pPr>
      <w:r>
        <w:rPr>
          <w:rFonts w:ascii="Courier New" w:cs="Courier New" w:eastAsia="Courier New" w:hAnsi="Courier New"/>
          <w:sz w:val="18"/>
          <w:szCs w:val="18"/>
          <w:color w:val="auto"/>
        </w:rPr>
        <w:t>dated November 8, 2000.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7">
    <w:nsid w:val="7C83E45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8">
    <w:nsid w:val="257130A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9">
    <w:nsid w:val="62BBD95A"/>
    <w:multiLevelType w:val="hybridMultilevel"/>
    <w:lvl w:ilvl="0">
      <w:lvlJc w:val="left"/>
      <w:lvlText w:val="-"/>
      <w:numFmt w:val="bullet"/>
      <w:start w:val="1"/>
    </w:lvl>
    <w:lvl w:ilvl="1">
      <w:lvlJc w:val="left"/>
      <w:lvlText w:val="%2."/>
      <w:numFmt w:val="decimal"/>
      <w:start w:val="10"/>
    </w:lvl>
  </w:abstractNum>
  <w:abstractNum w:abstractNumId="10">
    <w:nsid w:val="436C6125"/>
    <w:multiLevelType w:val="hybridMultilevel"/>
    <w:lvl w:ilvl="0">
      <w:lvlJc w:val="left"/>
      <w:lvlText w:val="-"/>
      <w:numFmt w:val="bullet"/>
      <w:start w:val="1"/>
    </w:lvl>
    <w:lvl w:ilvl="1">
      <w:lvlJc w:val="left"/>
      <w:lvlText w:val="%2."/>
      <w:numFmt w:val="decimal"/>
      <w:start w:val="11"/>
    </w:lvl>
  </w:abstractNum>
  <w:abstractNum w:abstractNumId="11">
    <w:nsid w:val="628C895D"/>
    <w:multiLevelType w:val="hybridMultilevel"/>
    <w:lvl w:ilvl="0">
      <w:lvlJc w:val="left"/>
      <w:lvlText w:val="-"/>
      <w:numFmt w:val="bullet"/>
      <w:start w:val="1"/>
    </w:lvl>
    <w:lvl w:ilvl="1">
      <w:lvlJc w:val="left"/>
      <w:lvlText w:val="%2."/>
      <w:numFmt w:val="decimal"/>
      <w:start w:val="12"/>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5">
    <w:nsid w:val="2D1D5AE9"/>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6">
    <w:nsid w:val="6763845E"/>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7">
    <w:nsid w:val="75A2A8D4"/>
    <w:multiLevelType w:val="hybridMultilevel"/>
    <w:lvl w:ilvl="0">
      <w:lvlJc w:val="left"/>
      <w:lvlText w:val="-"/>
      <w:numFmt w:val="bullet"/>
      <w:start w:val="1"/>
    </w:lvl>
    <w:lvl w:ilvl="1">
      <w:lvlJc w:val="left"/>
      <w:lvlText w:val="%2."/>
      <w:numFmt w:val="decimal"/>
      <w:start w:val="10"/>
    </w:lvl>
  </w:abstractNum>
  <w:abstractNum w:abstractNumId="18">
    <w:nsid w:val="8EDBDAB"/>
    <w:multiLevelType w:val="hybridMultilevel"/>
    <w:lvl w:ilvl="0">
      <w:lvlJc w:val="left"/>
      <w:lvlText w:val="-"/>
      <w:numFmt w:val="bullet"/>
      <w:start w:val="1"/>
    </w:lvl>
    <w:lvl w:ilvl="1">
      <w:lvlJc w:val="left"/>
      <w:lvlText w:val="%2."/>
      <w:numFmt w:val="decimal"/>
      <w:start w:val="11"/>
    </w:lvl>
  </w:abstractNum>
  <w:abstractNum w:abstractNumId="19">
    <w:nsid w:val="79838CB2"/>
    <w:multiLevelType w:val="hybridMultilevel"/>
    <w:lvl w:ilvl="0">
      <w:lvlJc w:val="left"/>
      <w:lvlText w:val="-"/>
      <w:numFmt w:val="bullet"/>
      <w:start w:val="1"/>
    </w:lvl>
    <w:lvl w:ilvl="1">
      <w:lvlJc w:val="left"/>
      <w:lvlText w:val="%2."/>
      <w:numFmt w:val="decimal"/>
      <w:start w:val="12"/>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6"/>
    </w:lvl>
  </w:abstractNum>
  <w:abstractNum w:abstractNumId="23">
    <w:nsid w:val="54E49EB4"/>
    <w:multiLevelType w:val="hybridMultilevel"/>
    <w:lvl w:ilvl="0">
      <w:lvlJc w:val="left"/>
      <w:lvlText w:val="(%1)"/>
      <w:numFmt w:val="lowerLetter"/>
      <w:start w:val="8"/>
    </w:lvl>
  </w:abstractNum>
  <w:abstractNum w:abstractNumId="24">
    <w:nsid w:val="71F32454"/>
    <w:multiLevelType w:val="hybridMultilevel"/>
    <w:lvl w:ilvl="0">
      <w:lvlJc w:val="left"/>
      <w:lvlText w:val="(%1)"/>
      <w:numFmt w:val="lowerLetter"/>
      <w:start w:val="1"/>
    </w:lvl>
    <w:lvl w:ilvl="1">
      <w:lvlJc w:val="left"/>
      <w:lvlText w:val="(%2)"/>
      <w:numFmt w:val="lowerRoman"/>
      <w:start w:val="1"/>
    </w:lvl>
  </w:abstractNum>
  <w:abstractNum w:abstractNumId="25">
    <w:nsid w:val="2CA8861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6">
    <w:nsid w:val="836C40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2019-12-13T15:24:16Z</dcterms:created>
  <dcterms:modified xsi:type="dcterms:W3CDTF">2019-12-13T15:24:16Z</dcterms:modified>
</cp:coreProperties>
</file>