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351" w:lineRule="exact"/>
        <w:rPr>
          <w:sz w:val="24"/>
          <w:szCs w:val="24"/>
          <w:color w:val="auto"/>
        </w:rPr>
      </w:pPr>
    </w:p>
    <w:p>
      <w:pPr>
        <w:ind w:left="2640"/>
        <w:spacing w:after="0"/>
        <w:rPr>
          <w:sz w:val="20"/>
          <w:szCs w:val="20"/>
          <w:color w:val="auto"/>
        </w:rPr>
      </w:pPr>
      <w:r>
        <w:rPr>
          <w:rFonts w:ascii="Arial" w:cs="Arial" w:eastAsia="Arial" w:hAnsi="Arial"/>
          <w:sz w:val="22"/>
          <w:szCs w:val="22"/>
          <w:color w:val="auto"/>
        </w:rPr>
        <w:t>_________________________________________________________</w:t>
      </w: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15)*</w:t>
      </w:r>
    </w:p>
    <w:p>
      <w:pPr>
        <w:spacing w:after="0" w:line="359"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Itron,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no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and Class of Securities)</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465741106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Samantha Nasello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Scopia Capital Management 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152 West 57th St., 33rd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10019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370-0303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6,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Statement)</w:t>
      </w:r>
    </w:p>
    <w:p>
      <w:pPr>
        <w:spacing w:after="0" w:line="82" w:lineRule="exact"/>
        <w:rPr>
          <w:sz w:val="24"/>
          <w:szCs w:val="24"/>
          <w:color w:val="auto"/>
        </w:rPr>
      </w:pPr>
    </w:p>
    <w:p>
      <w:pPr>
        <w:ind w:left="2680"/>
        <w:spacing w:after="0"/>
        <w:rPr>
          <w:sz w:val="20"/>
          <w:szCs w:val="20"/>
          <w:color w:val="auto"/>
        </w:rPr>
      </w:pPr>
      <w:r>
        <w:rPr>
          <w:rFonts w:ascii="Arial" w:cs="Arial" w:eastAsia="Arial" w:hAnsi="Arial"/>
          <w:sz w:val="22"/>
          <w:szCs w:val="22"/>
          <w:color w:val="auto"/>
        </w:rPr>
        <w:t>_________________________________________________________</w:t>
      </w:r>
    </w:p>
    <w:p>
      <w:pPr>
        <w:spacing w:after="0" w:line="348"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Rule 13d-1(f) or Rule 13d-1(g), check the following box. [ ]</w:t>
      </w:r>
    </w:p>
    <w:p>
      <w:pPr>
        <w:spacing w:after="0" w:line="19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13d-7(b)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460" w:right="10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ind w:right="12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6"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Schedule 13D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465741106</w:t>
      </w:r>
    </w:p>
    <w:p>
      <w:pPr>
        <w:spacing w:after="0" w:line="200" w:lineRule="exact"/>
        <w:rPr>
          <w:sz w:val="20"/>
          <w:szCs w:val="20"/>
          <w:color w:val="auto"/>
        </w:rPr>
      </w:pPr>
    </w:p>
    <w:p>
      <w:pPr>
        <w:spacing w:after="0" w:line="245" w:lineRule="exact"/>
        <w:rPr>
          <w:sz w:val="20"/>
          <w:szCs w:val="20"/>
          <w:color w:val="auto"/>
        </w:rPr>
      </w:pPr>
    </w:p>
    <w:p>
      <w:pPr>
        <w:ind w:left="1080" w:right="8040" w:hanging="982"/>
        <w:spacing w:after="0" w:line="440"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Persons: Scopia Capital Management LP</w:t>
      </w:r>
    </w:p>
    <w:p>
      <w:pPr>
        <w:ind w:left="1080" w:hanging="98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80"/>
        <w:spacing w:after="0" w:line="205" w:lineRule="exact"/>
        <w:tabs>
          <w:tab w:leader="none" w:pos="18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ind w:left="1080" w:hanging="98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1080" w:hanging="98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23" w:lineRule="exact"/>
        <w:rPr>
          <w:rFonts w:ascii="Arial" w:cs="Arial" w:eastAsia="Arial" w:hAnsi="Arial"/>
          <w:sz w:val="18"/>
          <w:szCs w:val="18"/>
          <w:color w:val="auto"/>
        </w:rPr>
      </w:pPr>
    </w:p>
    <w:p>
      <w:pPr>
        <w:ind w:left="1080" w:hanging="982"/>
        <w:spacing w:after="0" w:line="207" w:lineRule="exact"/>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080" w:hanging="98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840" w:type="dxa"/>
            <w:vAlign w:val="bottom"/>
          </w:tcPr>
          <w:p>
            <w:pPr>
              <w:spacing w:after="0"/>
              <w:rPr>
                <w:sz w:val="24"/>
                <w:szCs w:val="24"/>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4"/>
              </w:rPr>
              <w:t>SHARES</w:t>
            </w:r>
          </w:p>
        </w:tc>
        <w:tc>
          <w:tcPr>
            <w:tcW w:w="840" w:type="dxa"/>
            <w:vAlign w:val="bottom"/>
            <w:tcBorders>
              <w:bottom w:val="single" w:sz="8" w:color="auto"/>
            </w:tcBorders>
          </w:tcPr>
          <w:p>
            <w:pPr>
              <w:spacing w:after="0"/>
              <w:rPr>
                <w:sz w:val="7"/>
                <w:szCs w:val="7"/>
                <w:color w:val="auto"/>
              </w:rPr>
            </w:pPr>
          </w:p>
        </w:tc>
        <w:tc>
          <w:tcPr>
            <w:tcW w:w="86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(8)</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840" w:type="dxa"/>
            <w:vAlign w:val="bottom"/>
            <w:vMerge w:val="continue"/>
          </w:tcPr>
          <w:p>
            <w:pPr>
              <w:spacing w:after="0"/>
              <w:rPr>
                <w:sz w:val="10"/>
                <w:szCs w:val="10"/>
                <w:color w:val="auto"/>
              </w:rPr>
            </w:pPr>
          </w:p>
        </w:tc>
        <w:tc>
          <w:tcPr>
            <w:tcW w:w="8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7"/>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3,632,802</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(9)</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w w:val="93"/>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color w:val="auto"/>
                <w:w w:val="92"/>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rPr>
              <w:t>WITH:</w:t>
            </w:r>
          </w:p>
        </w:tc>
        <w:tc>
          <w:tcPr>
            <w:tcW w:w="840" w:type="dxa"/>
            <w:vAlign w:val="bottom"/>
            <w:tcBorders>
              <w:bottom w:val="single" w:sz="8" w:color="auto"/>
            </w:tcBorders>
          </w:tcPr>
          <w:p>
            <w:pPr>
              <w:spacing w:after="0"/>
              <w:rPr>
                <w:sz w:val="12"/>
                <w:szCs w:val="12"/>
                <w:color w:val="auto"/>
              </w:rPr>
            </w:pPr>
          </w:p>
        </w:tc>
        <w:tc>
          <w:tcPr>
            <w:tcW w:w="8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(10)</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20" w:type="dxa"/>
            <w:vAlign w:val="bottom"/>
          </w:tcPr>
          <w:p>
            <w:pPr>
              <w:ind w:left="360"/>
              <w:spacing w:after="0"/>
              <w:rPr>
                <w:sz w:val="20"/>
                <w:szCs w:val="20"/>
                <w:color w:val="auto"/>
              </w:rPr>
            </w:pPr>
            <w:r>
              <w:rPr>
                <w:rFonts w:ascii="Arial" w:cs="Arial" w:eastAsia="Arial" w:hAnsi="Arial"/>
                <w:sz w:val="18"/>
                <w:szCs w:val="18"/>
                <w:color w:val="auto"/>
              </w:rPr>
              <w:t>3,632,802</w:t>
            </w: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(11)</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3,632,802</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(12)</w:t>
            </w:r>
          </w:p>
        </w:tc>
        <w:tc>
          <w:tcPr>
            <w:tcW w:w="11100" w:type="dxa"/>
            <w:vAlign w:val="bottom"/>
            <w:gridSpan w:val="3"/>
          </w:tcPr>
          <w:p>
            <w:pPr>
              <w:ind w:left="76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320" w:type="dxa"/>
            <w:vAlign w:val="bottom"/>
            <w:tcBorders>
              <w:bottom w:val="single" w:sz="8" w:color="auto"/>
            </w:tcBorders>
            <w:gridSpan w:val="2"/>
          </w:tcPr>
          <w:p>
            <w:pPr>
              <w:spacing w:after="0"/>
              <w:rPr>
                <w:sz w:val="13"/>
                <w:szCs w:val="13"/>
                <w:color w:val="auto"/>
              </w:rPr>
            </w:pPr>
          </w:p>
        </w:tc>
        <w:tc>
          <w:tcPr>
            <w:tcW w:w="1110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(13)</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9.2%*</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(14)</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240" w:right="300" w:hanging="232"/>
        <w:spacing w:after="0" w:line="277"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39,349,003 shares of Common Stock of Itron, Inc. (the “Issuer”) outstanding as of April 30, 2019, as reported in the Issuer’s Form 10-Q filed with the Securities and Exchange Commission (“SEC”) on May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Schedule 13D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465741106</w:t>
      </w:r>
    </w:p>
    <w:p>
      <w:pPr>
        <w:spacing w:after="0" w:line="200" w:lineRule="exact"/>
        <w:rPr>
          <w:sz w:val="20"/>
          <w:szCs w:val="20"/>
          <w:color w:val="auto"/>
        </w:rPr>
      </w:pPr>
    </w:p>
    <w:p>
      <w:pPr>
        <w:spacing w:after="0" w:line="245" w:lineRule="exact"/>
        <w:rPr>
          <w:sz w:val="20"/>
          <w:szCs w:val="20"/>
          <w:color w:val="auto"/>
        </w:rPr>
      </w:pPr>
    </w:p>
    <w:p>
      <w:pPr>
        <w:ind w:left="1080" w:right="8280" w:hanging="982"/>
        <w:spacing w:after="0" w:line="440"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Reporting Persons: Scopia Management, Inc.</w:t>
      </w:r>
    </w:p>
    <w:p>
      <w:pPr>
        <w:ind w:left="1080" w:hanging="98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80"/>
        <w:spacing w:after="0" w:line="205" w:lineRule="exact"/>
        <w:tabs>
          <w:tab w:leader="none" w:pos="18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ind w:left="1080" w:hanging="98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1080" w:hanging="98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23" w:lineRule="exact"/>
        <w:rPr>
          <w:rFonts w:ascii="Arial" w:cs="Arial" w:eastAsia="Arial" w:hAnsi="Arial"/>
          <w:sz w:val="18"/>
          <w:szCs w:val="18"/>
          <w:color w:val="auto"/>
        </w:rPr>
      </w:pPr>
    </w:p>
    <w:p>
      <w:pPr>
        <w:ind w:left="1080" w:hanging="982"/>
        <w:spacing w:after="0" w:line="207" w:lineRule="exact"/>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080" w:hanging="98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840" w:type="dxa"/>
            <w:vAlign w:val="bottom"/>
          </w:tcPr>
          <w:p>
            <w:pPr>
              <w:spacing w:after="0"/>
              <w:rPr>
                <w:sz w:val="24"/>
                <w:szCs w:val="24"/>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4"/>
              </w:rPr>
              <w:t>SHARES</w:t>
            </w:r>
          </w:p>
        </w:tc>
        <w:tc>
          <w:tcPr>
            <w:tcW w:w="840" w:type="dxa"/>
            <w:vAlign w:val="bottom"/>
            <w:tcBorders>
              <w:bottom w:val="single" w:sz="8" w:color="auto"/>
            </w:tcBorders>
          </w:tcPr>
          <w:p>
            <w:pPr>
              <w:spacing w:after="0"/>
              <w:rPr>
                <w:sz w:val="7"/>
                <w:szCs w:val="7"/>
                <w:color w:val="auto"/>
              </w:rPr>
            </w:pPr>
          </w:p>
        </w:tc>
        <w:tc>
          <w:tcPr>
            <w:tcW w:w="86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(8)</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840" w:type="dxa"/>
            <w:vAlign w:val="bottom"/>
            <w:vMerge w:val="continue"/>
          </w:tcPr>
          <w:p>
            <w:pPr>
              <w:spacing w:after="0"/>
              <w:rPr>
                <w:sz w:val="10"/>
                <w:szCs w:val="10"/>
                <w:color w:val="auto"/>
              </w:rPr>
            </w:pPr>
          </w:p>
        </w:tc>
        <w:tc>
          <w:tcPr>
            <w:tcW w:w="8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7"/>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3,632,802</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(9)</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w w:val="93"/>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color w:val="auto"/>
                <w:w w:val="92"/>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rPr>
              <w:t>WITH:</w:t>
            </w:r>
          </w:p>
        </w:tc>
        <w:tc>
          <w:tcPr>
            <w:tcW w:w="840" w:type="dxa"/>
            <w:vAlign w:val="bottom"/>
            <w:tcBorders>
              <w:bottom w:val="single" w:sz="8" w:color="auto"/>
            </w:tcBorders>
          </w:tcPr>
          <w:p>
            <w:pPr>
              <w:spacing w:after="0"/>
              <w:rPr>
                <w:sz w:val="12"/>
                <w:szCs w:val="12"/>
                <w:color w:val="auto"/>
              </w:rPr>
            </w:pPr>
          </w:p>
        </w:tc>
        <w:tc>
          <w:tcPr>
            <w:tcW w:w="8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(10)</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20" w:type="dxa"/>
            <w:vAlign w:val="bottom"/>
          </w:tcPr>
          <w:p>
            <w:pPr>
              <w:ind w:left="360"/>
              <w:spacing w:after="0"/>
              <w:rPr>
                <w:sz w:val="20"/>
                <w:szCs w:val="20"/>
                <w:color w:val="auto"/>
              </w:rPr>
            </w:pPr>
            <w:r>
              <w:rPr>
                <w:rFonts w:ascii="Arial" w:cs="Arial" w:eastAsia="Arial" w:hAnsi="Arial"/>
                <w:sz w:val="18"/>
                <w:szCs w:val="18"/>
                <w:color w:val="auto"/>
              </w:rPr>
              <w:t>3,632,802</w:t>
            </w: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(11)</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3,632,802</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(12)</w:t>
            </w:r>
          </w:p>
        </w:tc>
        <w:tc>
          <w:tcPr>
            <w:tcW w:w="11100" w:type="dxa"/>
            <w:vAlign w:val="bottom"/>
            <w:gridSpan w:val="3"/>
          </w:tcPr>
          <w:p>
            <w:pPr>
              <w:ind w:left="76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320" w:type="dxa"/>
            <w:vAlign w:val="bottom"/>
            <w:tcBorders>
              <w:bottom w:val="single" w:sz="8" w:color="auto"/>
            </w:tcBorders>
            <w:gridSpan w:val="2"/>
          </w:tcPr>
          <w:p>
            <w:pPr>
              <w:spacing w:after="0"/>
              <w:rPr>
                <w:sz w:val="13"/>
                <w:szCs w:val="13"/>
                <w:color w:val="auto"/>
              </w:rPr>
            </w:pPr>
          </w:p>
        </w:tc>
        <w:tc>
          <w:tcPr>
            <w:tcW w:w="1110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(13)</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080" w:right="7100" w:hanging="1072"/>
        <w:spacing w:after="0" w:line="516"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CO,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40" w:right="100" w:hanging="232"/>
        <w:spacing w:after="0" w:line="277" w:lineRule="auto"/>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39,349,003 shares of Common Stock of the Issuer outstanding as of April 30, 2019, as reported in the Issuer’s Form 10-Q filed with the SEC on May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Schedule 13D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465741106</w:t>
      </w:r>
    </w:p>
    <w:p>
      <w:pPr>
        <w:spacing w:after="0" w:line="200" w:lineRule="exact"/>
        <w:rPr>
          <w:sz w:val="20"/>
          <w:szCs w:val="20"/>
          <w:color w:val="auto"/>
        </w:rPr>
      </w:pPr>
    </w:p>
    <w:p>
      <w:pPr>
        <w:spacing w:after="0" w:line="245" w:lineRule="exact"/>
        <w:rPr>
          <w:sz w:val="20"/>
          <w:szCs w:val="20"/>
          <w:color w:val="auto"/>
        </w:rPr>
      </w:pPr>
    </w:p>
    <w:p>
      <w:pPr>
        <w:ind w:left="1080" w:right="8280" w:hanging="982"/>
        <w:spacing w:after="0" w:line="414"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Name of Reporting Persons: Matthew Sirovich</w:t>
      </w:r>
    </w:p>
    <w:p>
      <w:pPr>
        <w:ind w:left="1080" w:hanging="98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80"/>
        <w:spacing w:after="0" w:line="205" w:lineRule="exact"/>
        <w:tabs>
          <w:tab w:leader="none" w:pos="18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ind w:left="1080" w:hanging="98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1080" w:hanging="98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23" w:lineRule="exact"/>
        <w:rPr>
          <w:rFonts w:ascii="Arial" w:cs="Arial" w:eastAsia="Arial" w:hAnsi="Arial"/>
          <w:sz w:val="18"/>
          <w:szCs w:val="18"/>
          <w:color w:val="auto"/>
        </w:rPr>
      </w:pPr>
    </w:p>
    <w:p>
      <w:pPr>
        <w:ind w:left="1080" w:hanging="982"/>
        <w:spacing w:after="0" w:line="207" w:lineRule="exact"/>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080" w:hanging="98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840" w:type="dxa"/>
            <w:vAlign w:val="bottom"/>
          </w:tcPr>
          <w:p>
            <w:pPr>
              <w:spacing w:after="0"/>
              <w:rPr>
                <w:sz w:val="24"/>
                <w:szCs w:val="24"/>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4"/>
              </w:rPr>
              <w:t>SHARES</w:t>
            </w:r>
          </w:p>
        </w:tc>
        <w:tc>
          <w:tcPr>
            <w:tcW w:w="840" w:type="dxa"/>
            <w:vAlign w:val="bottom"/>
            <w:tcBorders>
              <w:bottom w:val="single" w:sz="8" w:color="auto"/>
            </w:tcBorders>
          </w:tcPr>
          <w:p>
            <w:pPr>
              <w:spacing w:after="0"/>
              <w:rPr>
                <w:sz w:val="7"/>
                <w:szCs w:val="7"/>
                <w:color w:val="auto"/>
              </w:rPr>
            </w:pPr>
          </w:p>
        </w:tc>
        <w:tc>
          <w:tcPr>
            <w:tcW w:w="86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(8)</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840" w:type="dxa"/>
            <w:vAlign w:val="bottom"/>
            <w:vMerge w:val="continue"/>
          </w:tcPr>
          <w:p>
            <w:pPr>
              <w:spacing w:after="0"/>
              <w:rPr>
                <w:sz w:val="10"/>
                <w:szCs w:val="10"/>
                <w:color w:val="auto"/>
              </w:rPr>
            </w:pPr>
          </w:p>
        </w:tc>
        <w:tc>
          <w:tcPr>
            <w:tcW w:w="8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7"/>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3,632,802</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(9)</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w w:val="93"/>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color w:val="auto"/>
                <w:w w:val="92"/>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rPr>
              <w:t>WITH:</w:t>
            </w:r>
          </w:p>
        </w:tc>
        <w:tc>
          <w:tcPr>
            <w:tcW w:w="840" w:type="dxa"/>
            <w:vAlign w:val="bottom"/>
            <w:tcBorders>
              <w:bottom w:val="single" w:sz="8" w:color="auto"/>
            </w:tcBorders>
          </w:tcPr>
          <w:p>
            <w:pPr>
              <w:spacing w:after="0"/>
              <w:rPr>
                <w:sz w:val="12"/>
                <w:szCs w:val="12"/>
                <w:color w:val="auto"/>
              </w:rPr>
            </w:pPr>
          </w:p>
        </w:tc>
        <w:tc>
          <w:tcPr>
            <w:tcW w:w="8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(10)</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20" w:type="dxa"/>
            <w:vAlign w:val="bottom"/>
          </w:tcPr>
          <w:p>
            <w:pPr>
              <w:ind w:left="360"/>
              <w:spacing w:after="0"/>
              <w:rPr>
                <w:sz w:val="20"/>
                <w:szCs w:val="20"/>
                <w:color w:val="auto"/>
              </w:rPr>
            </w:pPr>
            <w:r>
              <w:rPr>
                <w:rFonts w:ascii="Arial" w:cs="Arial" w:eastAsia="Arial" w:hAnsi="Arial"/>
                <w:sz w:val="18"/>
                <w:szCs w:val="18"/>
                <w:color w:val="auto"/>
              </w:rPr>
              <w:t>3,632,802</w:t>
            </w: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(11)</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3,634,004</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(12)</w:t>
            </w:r>
          </w:p>
        </w:tc>
        <w:tc>
          <w:tcPr>
            <w:tcW w:w="11100" w:type="dxa"/>
            <w:vAlign w:val="bottom"/>
            <w:gridSpan w:val="3"/>
          </w:tcPr>
          <w:p>
            <w:pPr>
              <w:ind w:left="76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320" w:type="dxa"/>
            <w:vAlign w:val="bottom"/>
            <w:tcBorders>
              <w:bottom w:val="single" w:sz="8" w:color="auto"/>
            </w:tcBorders>
            <w:gridSpan w:val="2"/>
          </w:tcPr>
          <w:p>
            <w:pPr>
              <w:spacing w:after="0"/>
              <w:rPr>
                <w:sz w:val="13"/>
                <w:szCs w:val="13"/>
                <w:color w:val="auto"/>
              </w:rPr>
            </w:pPr>
          </w:p>
        </w:tc>
        <w:tc>
          <w:tcPr>
            <w:tcW w:w="1110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(13)</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9.2%*</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(14)</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240" w:right="100" w:hanging="232"/>
        <w:spacing w:after="0" w:line="277" w:lineRule="auto"/>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39,349,003 shares of Common Stock of the Issuer outstanding as of April 30, 2019, as reported in the Issuer’s Form 10-Q filed with the SEC on May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Schedule 13D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465741106</w:t>
      </w:r>
    </w:p>
    <w:p>
      <w:pPr>
        <w:spacing w:after="0" w:line="200" w:lineRule="exact"/>
        <w:rPr>
          <w:sz w:val="20"/>
          <w:szCs w:val="20"/>
          <w:color w:val="auto"/>
        </w:rPr>
      </w:pPr>
    </w:p>
    <w:p>
      <w:pPr>
        <w:spacing w:after="0" w:line="245" w:lineRule="exact"/>
        <w:rPr>
          <w:sz w:val="20"/>
          <w:szCs w:val="20"/>
          <w:color w:val="auto"/>
        </w:rPr>
      </w:pPr>
    </w:p>
    <w:p>
      <w:pPr>
        <w:ind w:left="1080" w:right="8280" w:hanging="982"/>
        <w:spacing w:after="0" w:line="391"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Reporting Persons: Jeremy Mindich</w:t>
      </w:r>
    </w:p>
    <w:p>
      <w:pPr>
        <w:ind w:left="1080" w:hanging="98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80"/>
        <w:spacing w:after="0" w:line="205" w:lineRule="exact"/>
        <w:tabs>
          <w:tab w:leader="none" w:pos="18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ind w:left="1080" w:hanging="98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1080" w:hanging="98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23" w:lineRule="exact"/>
        <w:rPr>
          <w:rFonts w:ascii="Arial" w:cs="Arial" w:eastAsia="Arial" w:hAnsi="Arial"/>
          <w:sz w:val="18"/>
          <w:szCs w:val="18"/>
          <w:color w:val="auto"/>
        </w:rPr>
      </w:pPr>
    </w:p>
    <w:p>
      <w:pPr>
        <w:ind w:left="1080" w:hanging="982"/>
        <w:spacing w:after="0" w:line="207" w:lineRule="exact"/>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080" w:hanging="98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840" w:type="dxa"/>
            <w:vAlign w:val="bottom"/>
          </w:tcPr>
          <w:p>
            <w:pPr>
              <w:spacing w:after="0"/>
              <w:rPr>
                <w:sz w:val="24"/>
                <w:szCs w:val="24"/>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4"/>
              </w:rPr>
              <w:t>SHARES</w:t>
            </w:r>
          </w:p>
        </w:tc>
        <w:tc>
          <w:tcPr>
            <w:tcW w:w="840" w:type="dxa"/>
            <w:vAlign w:val="bottom"/>
            <w:tcBorders>
              <w:bottom w:val="single" w:sz="8" w:color="auto"/>
            </w:tcBorders>
          </w:tcPr>
          <w:p>
            <w:pPr>
              <w:spacing w:after="0"/>
              <w:rPr>
                <w:sz w:val="7"/>
                <w:szCs w:val="7"/>
                <w:color w:val="auto"/>
              </w:rPr>
            </w:pPr>
          </w:p>
        </w:tc>
        <w:tc>
          <w:tcPr>
            <w:tcW w:w="86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(8)</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840" w:type="dxa"/>
            <w:vAlign w:val="bottom"/>
            <w:vMerge w:val="continue"/>
          </w:tcPr>
          <w:p>
            <w:pPr>
              <w:spacing w:after="0"/>
              <w:rPr>
                <w:sz w:val="10"/>
                <w:szCs w:val="10"/>
                <w:color w:val="auto"/>
              </w:rPr>
            </w:pPr>
          </w:p>
        </w:tc>
        <w:tc>
          <w:tcPr>
            <w:tcW w:w="8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7"/>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3,632,802</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(9)</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w w:val="93"/>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color w:val="auto"/>
                <w:w w:val="92"/>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rPr>
              <w:t>WITH:</w:t>
            </w:r>
          </w:p>
        </w:tc>
        <w:tc>
          <w:tcPr>
            <w:tcW w:w="840" w:type="dxa"/>
            <w:vAlign w:val="bottom"/>
            <w:tcBorders>
              <w:bottom w:val="single" w:sz="8" w:color="auto"/>
            </w:tcBorders>
          </w:tcPr>
          <w:p>
            <w:pPr>
              <w:spacing w:after="0"/>
              <w:rPr>
                <w:sz w:val="12"/>
                <w:szCs w:val="12"/>
                <w:color w:val="auto"/>
              </w:rPr>
            </w:pPr>
          </w:p>
        </w:tc>
        <w:tc>
          <w:tcPr>
            <w:tcW w:w="8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(10)</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20" w:type="dxa"/>
            <w:vAlign w:val="bottom"/>
          </w:tcPr>
          <w:p>
            <w:pPr>
              <w:ind w:left="360"/>
              <w:spacing w:after="0"/>
              <w:rPr>
                <w:sz w:val="20"/>
                <w:szCs w:val="20"/>
                <w:color w:val="auto"/>
              </w:rPr>
            </w:pPr>
            <w:r>
              <w:rPr>
                <w:rFonts w:ascii="Arial" w:cs="Arial" w:eastAsia="Arial" w:hAnsi="Arial"/>
                <w:sz w:val="18"/>
                <w:szCs w:val="18"/>
                <w:color w:val="auto"/>
              </w:rPr>
              <w:t>3,632,802</w:t>
            </w: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(11)</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3,633,455</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(12)</w:t>
            </w:r>
          </w:p>
        </w:tc>
        <w:tc>
          <w:tcPr>
            <w:tcW w:w="11100" w:type="dxa"/>
            <w:vAlign w:val="bottom"/>
            <w:gridSpan w:val="3"/>
          </w:tcPr>
          <w:p>
            <w:pPr>
              <w:ind w:left="76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320" w:type="dxa"/>
            <w:vAlign w:val="bottom"/>
            <w:tcBorders>
              <w:bottom w:val="single" w:sz="8" w:color="auto"/>
            </w:tcBorders>
            <w:gridSpan w:val="2"/>
          </w:tcPr>
          <w:p>
            <w:pPr>
              <w:spacing w:after="0"/>
              <w:rPr>
                <w:sz w:val="13"/>
                <w:szCs w:val="13"/>
                <w:color w:val="auto"/>
              </w:rPr>
            </w:pPr>
          </w:p>
        </w:tc>
        <w:tc>
          <w:tcPr>
            <w:tcW w:w="1110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(13)</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9.2%*</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(14)</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240" w:right="100" w:hanging="232"/>
        <w:spacing w:after="0" w:line="277" w:lineRule="auto"/>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39,349,003 shares of Common Stock of the Issuer outstanding as of April 30, 2019, as reported in the Issuer’s Form 10-Q filed with the SEC on May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Amendment No. 15 to Schedule 13D</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constitutes Amendment No. 15 to the Schedule 13D filed by the undersigned (“Amendment No. 15”). This Amendment No. 15 amends the Schedule 13D as specifically set forth herein.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All capitalized terms contained herein but not otherwise defined shall have the meanings ascribed to such terms in the Schedule 13D, as amended.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Information given in response to each item shall be deemed incorporated by reference in all other items, as applicable.</w:t>
      </w:r>
    </w:p>
    <w:p>
      <w:pPr>
        <w:spacing w:after="0" w:line="234" w:lineRule="exact"/>
        <w:rPr>
          <w:sz w:val="20"/>
          <w:szCs w:val="20"/>
          <w:color w:val="auto"/>
        </w:rPr>
      </w:pPr>
    </w:p>
    <w:p>
      <w:pPr>
        <w:ind w:right="4800"/>
        <w:spacing w:after="0" w:line="378" w:lineRule="auto"/>
        <w:rPr>
          <w:sz w:val="20"/>
          <w:szCs w:val="20"/>
          <w:color w:val="auto"/>
        </w:rPr>
      </w:pPr>
      <w:r>
        <w:rPr>
          <w:rFonts w:ascii="Arial" w:cs="Arial" w:eastAsia="Arial" w:hAnsi="Arial"/>
          <w:sz w:val="18"/>
          <w:szCs w:val="18"/>
          <w:b w:val="1"/>
          <w:bCs w:val="1"/>
          <w:color w:val="auto"/>
        </w:rPr>
        <w:t xml:space="preserve">ITEM 3. SOURCE AND AMOUNT OF FUNDS OR OTHER CONSIDERATION </w:t>
      </w:r>
      <w:r>
        <w:rPr>
          <w:rFonts w:ascii="Arial" w:cs="Arial" w:eastAsia="Arial" w:hAnsi="Arial"/>
          <w:sz w:val="18"/>
          <w:szCs w:val="18"/>
          <w:color w:val="auto"/>
        </w:rPr>
        <w:t>Item 3 of the Schedule 13D is hereby amended and restated as follows:</w:t>
      </w:r>
    </w:p>
    <w:p>
      <w:pPr>
        <w:spacing w:after="0" w:line="257" w:lineRule="auto"/>
        <w:rPr>
          <w:sz w:val="20"/>
          <w:szCs w:val="20"/>
          <w:color w:val="auto"/>
        </w:rPr>
      </w:pPr>
      <w:r>
        <w:rPr>
          <w:rFonts w:ascii="Arial" w:cs="Arial" w:eastAsia="Arial" w:hAnsi="Arial"/>
          <w:sz w:val="18"/>
          <w:szCs w:val="18"/>
          <w:color w:val="auto"/>
        </w:rPr>
        <w:t>The aggregate purchase price of the shares of common stock, no par value per share, of the Issuer (“Common Stock”) directly held by the Investment Vehicles reported herein was $142,358,132.18. The shares of Common Stock directly held by the Investment Vehicles were purchased with the working capital of the Investment Vehicles (which may, at any given time, include margin loans made by brokerage firms in the ordinary course of business). All shares of Common Stock reported herein were purchased in open market transactions through a broker unless as otherwise previously disclosed in this Schedule 13D, as amended.</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of Schedule 13D is supplemented and superseded, as the case may be, as follows: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Amendment No. 15 is being filed to report dispositions of beneficial ownership of shares of Common Stock in an amount equal to one percent or more of the Issuer’s outstanding Common Stock since the Reporting Persons’ previous Schedule 13D amendment. The disclosure in Item 5(c) below regarding transactions in the Issuer’s Common Stock effected during the previous 60 days is incorporated by reference herein. Consistent with their investment purpose, the Reporting Persons may make, or cause, further dispositions of Common Stock from time to time and may acquire, or cause to be acquired, additional shares of Common Stock, in each case depending on market conditions and other factors.</w:t>
      </w:r>
    </w:p>
    <w:p>
      <w:pPr>
        <w:spacing w:after="0" w:line="1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Reporting Persons intend to review their investment in the Issuer on a continuing basis and may from time to time and at any time in the future depending on various factors, including, without limitation, the outcome of any discussions with directors and officers of the Issuer, the Issuer’s financial position and strategic direction, actions taken by the Board, price levels of the Issuer’s securities, other investment opportunities available to the Reporting Persons, conditions in the securities market and general economic and industry conditions, take such actions with respect to the investment in the Issuer as they deem appropriate. These actions may include: (i) acquiring additional shares of Common Stock and/or other equity, debt, notes, other securities, or derivative or other instruments that are based upon or relate to the value of securities of the Issuer (collectively, “Securities”) in the open market or otherwise; (ii) disposing of any or all of their Securities in the open market or otherwise; (iii) engaging in any hedging or similar transactions with respect to the Securities; or (iv) proposing or considering one or more of the actions described in subsections (a) through (j) of Item 4 of Schedule 13D.</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Except as set forth herein or previously disclosed in the Schedule 13D, the Reporting Persons do not have present plans or proposals at this time that relate to or would result in any of the transactions described in subparagraphs (a) through (j) of Item 4 of Schedule 13D.</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hereby amended and restated as follows:</w:t>
      </w:r>
    </w:p>
    <w:p>
      <w:pPr>
        <w:spacing w:after="0" w:line="117" w:lineRule="exact"/>
        <w:rPr>
          <w:sz w:val="20"/>
          <w:szCs w:val="20"/>
          <w:color w:val="auto"/>
        </w:rPr>
      </w:pPr>
    </w:p>
    <w:p>
      <w:pPr>
        <w:ind w:right="300" w:firstLine="8"/>
        <w:spacing w:after="0" w:line="342" w:lineRule="auto"/>
        <w:tabs>
          <w:tab w:leader="none" w:pos="24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and (b) Items 7 through 11 and 13 of each of the cover pages of this Schedule 13D are incorporated herein by reference. Such information is based on 39,349,003 shares of Common Stock of the Issuer outstanding as of April 30, 2019, as reported in the Issuer’s Form 10-Q filed with SEC on May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473710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spacing w:after="0" w:line="255" w:lineRule="auto"/>
        <w:rPr>
          <w:sz w:val="20"/>
          <w:szCs w:val="20"/>
          <w:color w:val="auto"/>
        </w:rPr>
      </w:pPr>
      <w:r>
        <w:rPr>
          <w:rFonts w:ascii="Arial" w:cs="Arial" w:eastAsia="Arial" w:hAnsi="Arial"/>
          <w:sz w:val="18"/>
          <w:szCs w:val="18"/>
          <w:color w:val="auto"/>
        </w:rPr>
        <w:t>The Investment Vehicles have delegated to Scopia Capital sole voting and investment power over the securities held by the Investment Vehicles pursuant to their respective Investment Management Agreements with Scopia Capital. As a result, each of Scopia Capital, Scopia Management, as the general partner of Scopia Capital, and Messrs. Sirovich and Mindich, as Managing Directors of Scopia Management, may be deemed to exercise voting and investment power over the shares of Common Stock directly held by the Investment Vehicles. The Investment Vehicles specifically disclaim beneficial ownership of the securities of the Issuer directly held by them by virtue of their inability to vote or dispose of such securities as a result of their respective Investment Management Agreements with Scopia Capital.</w:t>
      </w:r>
    </w:p>
    <w:p>
      <w:pPr>
        <w:spacing w:after="0" w:line="193" w:lineRule="exact"/>
        <w:rPr>
          <w:sz w:val="20"/>
          <w:szCs w:val="20"/>
          <w:color w:val="auto"/>
        </w:rPr>
      </w:pPr>
    </w:p>
    <w:p>
      <w:pPr>
        <w:ind w:right="280" w:firstLine="8"/>
        <w:spacing w:after="0" w:line="264" w:lineRule="auto"/>
        <w:tabs>
          <w:tab w:leader="none" w:pos="2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or previously disclosed in the Schedule 13D, there have been no transactions in shares of Common Stock during the 60 days prior to the date hereof by any of the Reporting Persons. The information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is incorporated herein by reference.</w:t>
      </w:r>
    </w:p>
    <w:p>
      <w:pPr>
        <w:spacing w:after="0" w:line="181" w:lineRule="exact"/>
        <w:rPr>
          <w:rFonts w:ascii="Arial" w:cs="Arial" w:eastAsia="Arial" w:hAnsi="Arial"/>
          <w:sz w:val="18"/>
          <w:szCs w:val="18"/>
          <w:color w:val="auto"/>
        </w:rPr>
      </w:pPr>
    </w:p>
    <w:p>
      <w:pPr>
        <w:jc w:val="both"/>
        <w:ind w:right="300" w:firstLine="8"/>
        <w:spacing w:after="0" w:line="276" w:lineRule="auto"/>
        <w:tabs>
          <w:tab w:leader="none" w:pos="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Except as otherwise disclosed, all securities reported in this Schedule 13D are directly held by the Investment Vehicles, all of which are investment management clients of Scopia Capital. None of the Investment Vehicles individually directly holds more than 5% of the Issuer’s outstanding shares of Common Stock. The limited partners of (or investors in) each of the Investment Vehicles have the right to participate in the receipt of dividends from, or proceeds from the sale of, the shares of Common Stock held for the accounts of their respective Investment Vehicles in accordance with their respective limited partnership interests (or investment percentages) in their respective Investment Vehicles.</w:t>
      </w:r>
    </w:p>
    <w:p>
      <w:pPr>
        <w:spacing w:after="0" w:line="172" w:lineRule="exact"/>
        <w:rPr>
          <w:rFonts w:ascii="Arial" w:cs="Arial" w:eastAsia="Arial" w:hAnsi="Arial"/>
          <w:sz w:val="17"/>
          <w:szCs w:val="17"/>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932180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557"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After reasonable inquiry and to the best of my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as of June 10, 2019</w:t>
      </w:r>
    </w:p>
    <w:p>
      <w:pPr>
        <w:spacing w:after="0" w:line="200" w:lineRule="exact"/>
        <w:rPr>
          <w:sz w:val="20"/>
          <w:szCs w:val="20"/>
          <w:color w:val="auto"/>
        </w:rPr>
      </w:pPr>
    </w:p>
    <w:p>
      <w:pPr>
        <w:spacing w:after="0" w:line="23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SCOPIA CAPITAL MANAGEMENT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ind w:left="3640"/>
              <w:spacing w:after="0"/>
              <w:rPr>
                <w:sz w:val="20"/>
                <w:szCs w:val="20"/>
                <w:color w:val="auto"/>
              </w:rPr>
            </w:pPr>
            <w:r>
              <w:rPr>
                <w:rFonts w:ascii="Arial" w:cs="Arial" w:eastAsia="Arial" w:hAnsi="Arial"/>
                <w:sz w:val="18"/>
                <w:szCs w:val="18"/>
                <w:color w:val="auto"/>
              </w:rPr>
              <w:t>By:</w:t>
            </w:r>
          </w:p>
        </w:tc>
        <w:tc>
          <w:tcPr>
            <w:tcW w:w="7080" w:type="dxa"/>
            <w:vAlign w:val="bottom"/>
            <w:gridSpan w:val="3"/>
          </w:tcPr>
          <w:p>
            <w:pPr>
              <w:spacing w:after="0"/>
              <w:rPr>
                <w:sz w:val="20"/>
                <w:szCs w:val="20"/>
                <w:color w:val="auto"/>
              </w:rPr>
            </w:pPr>
            <w:r>
              <w:rPr>
                <w:rFonts w:ascii="Arial" w:cs="Arial" w:eastAsia="Arial" w:hAnsi="Arial"/>
                <w:sz w:val="18"/>
                <w:szCs w:val="18"/>
                <w:color w:val="auto"/>
              </w:rPr>
              <w:t>Scopia Management, Inc., its general partner</w:t>
            </w:r>
          </w:p>
        </w:tc>
      </w:tr>
      <w:tr>
        <w:trPr>
          <w:trHeight w:val="392"/>
        </w:trPr>
        <w:tc>
          <w:tcPr>
            <w:tcW w:w="4340" w:type="dxa"/>
            <w:vAlign w:val="bottom"/>
          </w:tcPr>
          <w:p>
            <w:pPr>
              <w:ind w:left="3640"/>
              <w:spacing w:after="0"/>
              <w:rPr>
                <w:sz w:val="20"/>
                <w:szCs w:val="20"/>
                <w:color w:val="auto"/>
              </w:rPr>
            </w:pPr>
            <w:r>
              <w:rPr>
                <w:rFonts w:ascii="Arial" w:cs="Arial" w:eastAsia="Arial" w:hAnsi="Arial"/>
                <w:sz w:val="18"/>
                <w:szCs w:val="18"/>
                <w:color w:val="auto"/>
              </w:rPr>
              <w:t>By:</w:t>
            </w: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Matthew Sirovich</w:t>
            </w:r>
          </w:p>
        </w:tc>
        <w:tc>
          <w:tcPr>
            <w:tcW w:w="5560" w:type="dxa"/>
            <w:vAlign w:val="bottom"/>
          </w:tcPr>
          <w:p>
            <w:pPr>
              <w:spacing w:after="0"/>
              <w:rPr>
                <w:sz w:val="24"/>
                <w:szCs w:val="24"/>
                <w:color w:val="auto"/>
              </w:rPr>
            </w:pPr>
          </w:p>
        </w:tc>
      </w:tr>
      <w:tr>
        <w:trPr>
          <w:trHeight w:val="222"/>
        </w:trPr>
        <w:tc>
          <w:tcPr>
            <w:tcW w:w="4340" w:type="dxa"/>
            <w:vAlign w:val="bottom"/>
          </w:tcPr>
          <w:p>
            <w:pPr>
              <w:ind w:left="3640"/>
              <w:spacing w:after="0"/>
              <w:rPr>
                <w:sz w:val="20"/>
                <w:szCs w:val="20"/>
                <w:color w:val="auto"/>
              </w:rPr>
            </w:pPr>
            <w:r>
              <w:rPr>
                <w:rFonts w:ascii="Arial" w:cs="Arial" w:eastAsia="Arial" w:hAnsi="Arial"/>
                <w:sz w:val="18"/>
                <w:szCs w:val="18"/>
                <w:color w:val="auto"/>
              </w:rPr>
              <w:t>Name:</w:t>
            </w:r>
          </w:p>
        </w:tc>
        <w:tc>
          <w:tcPr>
            <w:tcW w:w="7080" w:type="dxa"/>
            <w:vAlign w:val="bottom"/>
            <w:gridSpan w:val="3"/>
          </w:tcPr>
          <w:p>
            <w:pPr>
              <w:spacing w:after="0"/>
              <w:rPr>
                <w:sz w:val="20"/>
                <w:szCs w:val="20"/>
                <w:color w:val="auto"/>
              </w:rPr>
            </w:pPr>
            <w:r>
              <w:rPr>
                <w:rFonts w:ascii="Arial" w:cs="Arial" w:eastAsia="Arial" w:hAnsi="Arial"/>
                <w:sz w:val="18"/>
                <w:szCs w:val="18"/>
                <w:color w:val="auto"/>
              </w:rPr>
              <w:t>Matthew Sirovich</w:t>
            </w:r>
          </w:p>
        </w:tc>
      </w:tr>
      <w:tr>
        <w:trPr>
          <w:trHeight w:val="230"/>
        </w:trPr>
        <w:tc>
          <w:tcPr>
            <w:tcW w:w="4340" w:type="dxa"/>
            <w:vAlign w:val="bottom"/>
          </w:tcPr>
          <w:p>
            <w:pPr>
              <w:ind w:left="3640"/>
              <w:spacing w:after="0"/>
              <w:rPr>
                <w:sz w:val="20"/>
                <w:szCs w:val="20"/>
                <w:color w:val="auto"/>
              </w:rPr>
            </w:pPr>
            <w:r>
              <w:rPr>
                <w:rFonts w:ascii="Arial" w:cs="Arial" w:eastAsia="Arial" w:hAnsi="Arial"/>
                <w:sz w:val="18"/>
                <w:szCs w:val="18"/>
                <w:color w:val="auto"/>
              </w:rPr>
              <w:t>Title:</w:t>
            </w:r>
          </w:p>
        </w:tc>
        <w:tc>
          <w:tcPr>
            <w:tcW w:w="7080" w:type="dxa"/>
            <w:vAlign w:val="bottom"/>
            <w:gridSpan w:val="3"/>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11420" w:type="dxa"/>
            <w:vAlign w:val="bottom"/>
            <w:gridSpan w:val="4"/>
          </w:tcPr>
          <w:p>
            <w:pPr>
              <w:ind w:left="3640"/>
              <w:spacing w:after="0"/>
              <w:rPr>
                <w:sz w:val="20"/>
                <w:szCs w:val="20"/>
                <w:color w:val="auto"/>
              </w:rPr>
            </w:pPr>
            <w:r>
              <w:rPr>
                <w:rFonts w:ascii="Arial" w:cs="Arial" w:eastAsia="Arial" w:hAnsi="Arial"/>
                <w:sz w:val="18"/>
                <w:szCs w:val="18"/>
                <w:b w:val="1"/>
                <w:bCs w:val="1"/>
                <w:color w:val="auto"/>
              </w:rPr>
              <w:t>SCOPIA MANAGEMENT, INC.</w:t>
            </w:r>
          </w:p>
        </w:tc>
      </w:tr>
      <w:tr>
        <w:trPr>
          <w:trHeight w:val="392"/>
        </w:trPr>
        <w:tc>
          <w:tcPr>
            <w:tcW w:w="4340" w:type="dxa"/>
            <w:vAlign w:val="bottom"/>
          </w:tcPr>
          <w:p>
            <w:pPr>
              <w:ind w:left="3640"/>
              <w:spacing w:after="0"/>
              <w:rPr>
                <w:sz w:val="20"/>
                <w:szCs w:val="20"/>
                <w:color w:val="auto"/>
              </w:rPr>
            </w:pPr>
            <w:r>
              <w:rPr>
                <w:rFonts w:ascii="Arial" w:cs="Arial" w:eastAsia="Arial" w:hAnsi="Arial"/>
                <w:sz w:val="18"/>
                <w:szCs w:val="18"/>
                <w:color w:val="auto"/>
              </w:rPr>
              <w:t>By:</w:t>
            </w: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Matthew Sirovich</w:t>
            </w:r>
          </w:p>
        </w:tc>
        <w:tc>
          <w:tcPr>
            <w:tcW w:w="5560" w:type="dxa"/>
            <w:vAlign w:val="bottom"/>
          </w:tcPr>
          <w:p>
            <w:pPr>
              <w:spacing w:after="0"/>
              <w:rPr>
                <w:sz w:val="24"/>
                <w:szCs w:val="24"/>
                <w:color w:val="auto"/>
              </w:rPr>
            </w:pPr>
          </w:p>
        </w:tc>
      </w:tr>
      <w:tr>
        <w:trPr>
          <w:trHeight w:val="222"/>
        </w:trPr>
        <w:tc>
          <w:tcPr>
            <w:tcW w:w="4340" w:type="dxa"/>
            <w:vAlign w:val="bottom"/>
          </w:tcPr>
          <w:p>
            <w:pPr>
              <w:ind w:left="3640"/>
              <w:spacing w:after="0"/>
              <w:rPr>
                <w:sz w:val="20"/>
                <w:szCs w:val="20"/>
                <w:color w:val="auto"/>
              </w:rPr>
            </w:pPr>
            <w:r>
              <w:rPr>
                <w:rFonts w:ascii="Arial" w:cs="Arial" w:eastAsia="Arial" w:hAnsi="Arial"/>
                <w:sz w:val="18"/>
                <w:szCs w:val="18"/>
                <w:color w:val="auto"/>
              </w:rPr>
              <w:t>Name:</w:t>
            </w:r>
          </w:p>
        </w:tc>
        <w:tc>
          <w:tcPr>
            <w:tcW w:w="7080" w:type="dxa"/>
            <w:vAlign w:val="bottom"/>
            <w:gridSpan w:val="3"/>
          </w:tcPr>
          <w:p>
            <w:pPr>
              <w:spacing w:after="0"/>
              <w:rPr>
                <w:sz w:val="20"/>
                <w:szCs w:val="20"/>
                <w:color w:val="auto"/>
              </w:rPr>
            </w:pPr>
            <w:r>
              <w:rPr>
                <w:rFonts w:ascii="Arial" w:cs="Arial" w:eastAsia="Arial" w:hAnsi="Arial"/>
                <w:sz w:val="18"/>
                <w:szCs w:val="18"/>
                <w:color w:val="auto"/>
              </w:rPr>
              <w:t>Matthew Sirovich</w:t>
            </w:r>
          </w:p>
        </w:tc>
      </w:tr>
      <w:tr>
        <w:trPr>
          <w:trHeight w:val="230"/>
        </w:trPr>
        <w:tc>
          <w:tcPr>
            <w:tcW w:w="4340" w:type="dxa"/>
            <w:vAlign w:val="bottom"/>
          </w:tcPr>
          <w:p>
            <w:pPr>
              <w:ind w:left="3640"/>
              <w:spacing w:after="0"/>
              <w:rPr>
                <w:sz w:val="20"/>
                <w:szCs w:val="20"/>
                <w:color w:val="auto"/>
              </w:rPr>
            </w:pPr>
            <w:r>
              <w:rPr>
                <w:rFonts w:ascii="Arial" w:cs="Arial" w:eastAsia="Arial" w:hAnsi="Arial"/>
                <w:sz w:val="18"/>
                <w:szCs w:val="18"/>
                <w:color w:val="auto"/>
              </w:rPr>
              <w:t>Title:</w:t>
            </w:r>
          </w:p>
        </w:tc>
        <w:tc>
          <w:tcPr>
            <w:tcW w:w="7080" w:type="dxa"/>
            <w:vAlign w:val="bottom"/>
            <w:gridSpan w:val="3"/>
          </w:tcPr>
          <w:p>
            <w:pPr>
              <w:spacing w:after="0"/>
              <w:rPr>
                <w:sz w:val="20"/>
                <w:szCs w:val="20"/>
                <w:color w:val="auto"/>
              </w:rPr>
            </w:pPr>
            <w:r>
              <w:rPr>
                <w:rFonts w:ascii="Arial" w:cs="Arial" w:eastAsia="Arial" w:hAnsi="Arial"/>
                <w:sz w:val="18"/>
                <w:szCs w:val="18"/>
                <w:color w:val="auto"/>
              </w:rPr>
              <w:t>Managing Director</w:t>
            </w:r>
          </w:p>
        </w:tc>
      </w:tr>
      <w:tr>
        <w:trPr>
          <w:trHeight w:val="392"/>
        </w:trPr>
        <w:tc>
          <w:tcPr>
            <w:tcW w:w="4340" w:type="dxa"/>
            <w:vAlign w:val="bottom"/>
          </w:tcPr>
          <w:p>
            <w:pPr>
              <w:ind w:left="3640"/>
              <w:spacing w:after="0"/>
              <w:rPr>
                <w:sz w:val="20"/>
                <w:szCs w:val="20"/>
                <w:color w:val="auto"/>
              </w:rPr>
            </w:pPr>
            <w:r>
              <w:rPr>
                <w:rFonts w:ascii="Arial" w:cs="Arial" w:eastAsia="Arial" w:hAnsi="Arial"/>
                <w:sz w:val="18"/>
                <w:szCs w:val="18"/>
                <w:color w:val="auto"/>
              </w:rPr>
              <w:t>By:</w:t>
            </w: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Matthew Sirovich</w:t>
            </w:r>
          </w:p>
        </w:tc>
        <w:tc>
          <w:tcPr>
            <w:tcW w:w="5560" w:type="dxa"/>
            <w:vAlign w:val="bottom"/>
          </w:tcPr>
          <w:p>
            <w:pPr>
              <w:spacing w:after="0"/>
              <w:rPr>
                <w:sz w:val="24"/>
                <w:szCs w:val="24"/>
                <w:color w:val="auto"/>
              </w:rPr>
            </w:pPr>
          </w:p>
        </w:tc>
      </w:tr>
      <w:tr>
        <w:trPr>
          <w:trHeight w:val="412"/>
        </w:trPr>
        <w:tc>
          <w:tcPr>
            <w:tcW w:w="4340" w:type="dxa"/>
            <w:vAlign w:val="bottom"/>
          </w:tcPr>
          <w:p>
            <w:pPr>
              <w:ind w:left="3640"/>
              <w:spacing w:after="0"/>
              <w:rPr>
                <w:sz w:val="20"/>
                <w:szCs w:val="20"/>
                <w:color w:val="auto"/>
              </w:rPr>
            </w:pPr>
            <w:r>
              <w:rPr>
                <w:rFonts w:ascii="Arial" w:cs="Arial" w:eastAsia="Arial" w:hAnsi="Arial"/>
                <w:sz w:val="18"/>
                <w:szCs w:val="18"/>
                <w:color w:val="auto"/>
              </w:rPr>
              <w:t>By:</w:t>
            </w:r>
          </w:p>
        </w:tc>
        <w:tc>
          <w:tcPr>
            <w:tcW w:w="7080" w:type="dxa"/>
            <w:vAlign w:val="bottom"/>
            <w:gridSpan w:val="3"/>
          </w:tcPr>
          <w:p>
            <w:pPr>
              <w:spacing w:after="0"/>
              <w:rPr>
                <w:sz w:val="20"/>
                <w:szCs w:val="20"/>
                <w:color w:val="auto"/>
              </w:rPr>
            </w:pPr>
            <w:r>
              <w:rPr>
                <w:rFonts w:ascii="Arial" w:cs="Arial" w:eastAsia="Arial" w:hAnsi="Arial"/>
                <w:sz w:val="18"/>
                <w:szCs w:val="18"/>
                <w:color w:val="auto"/>
              </w:rPr>
              <w:t>/s/ Jeremy Mindich</w:t>
            </w:r>
          </w:p>
        </w:tc>
      </w:tr>
      <w:tr>
        <w:trPr>
          <w:trHeight w:val="554"/>
        </w:trPr>
        <w:tc>
          <w:tcPr>
            <w:tcW w:w="4340" w:type="dxa"/>
            <w:vAlign w:val="bottom"/>
            <w:tcBorders>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Except as previously disclosed in the Schedule 13D, the following table sets forth all transactions by the Reporting Persons (on behalf of the Investment Vehicles) with respect to shares of Common Stock effected in the last 60 days, inclusive of any transactions effected through 4:00 p.m., New York City time, on June 7, 2019. Except as otherwise noted below, all such transactions were sales of Common Stock effected in the open market, and the table excludes commissions paid in per share prices.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Scopia Capital Management LP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8"/>
              </w:rPr>
              <w:t>Shares of Common</w:t>
            </w:r>
          </w:p>
        </w:tc>
        <w:tc>
          <w:tcPr>
            <w:tcW w:w="4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r>
      <w:tr>
        <w:trPr>
          <w:trHeight w:val="216"/>
        </w:trPr>
        <w:tc>
          <w:tcPr>
            <w:tcW w:w="4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480" w:type="dxa"/>
            <w:vAlign w:val="bottom"/>
          </w:tcPr>
          <w:p>
            <w:pPr>
              <w:spacing w:after="0"/>
              <w:rPr>
                <w:sz w:val="18"/>
                <w:szCs w:val="18"/>
                <w:color w:val="auto"/>
              </w:rPr>
            </w:pPr>
          </w:p>
        </w:tc>
        <w:tc>
          <w:tcPr>
            <w:tcW w:w="1460" w:type="dxa"/>
            <w:vAlign w:val="bottom"/>
          </w:tcPr>
          <w:p>
            <w:pPr>
              <w:ind w:left="380"/>
              <w:spacing w:after="0"/>
              <w:rPr>
                <w:sz w:val="20"/>
                <w:szCs w:val="20"/>
                <w:color w:val="auto"/>
              </w:rPr>
            </w:pPr>
            <w:r>
              <w:rPr>
                <w:rFonts w:ascii="Arial" w:cs="Arial" w:eastAsia="Arial" w:hAnsi="Arial"/>
                <w:sz w:val="18"/>
                <w:szCs w:val="18"/>
                <w:b w:val="1"/>
                <w:bCs w:val="1"/>
                <w:color w:val="auto"/>
              </w:rPr>
              <w:t>Price Per</w:t>
            </w:r>
          </w:p>
        </w:tc>
        <w:tc>
          <w:tcPr>
            <w:tcW w:w="4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1"/>
              </w:rPr>
              <w:t>Date of</w:t>
            </w:r>
          </w:p>
        </w:tc>
      </w:tr>
      <w:tr>
        <w:trPr>
          <w:trHeight w:val="241"/>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Nature of Transaction</w:t>
            </w:r>
          </w:p>
        </w:tc>
        <w:tc>
          <w:tcPr>
            <w:tcW w:w="40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Purchased/(Sold)</w:t>
            </w:r>
          </w:p>
        </w:tc>
        <w:tc>
          <w:tcPr>
            <w:tcW w:w="480" w:type="dxa"/>
            <w:vAlign w:val="bottom"/>
          </w:tcPr>
          <w:p>
            <w:pPr>
              <w:spacing w:after="0"/>
              <w:rPr>
                <w:sz w:val="20"/>
                <w:szCs w:val="20"/>
                <w:color w:val="auto"/>
              </w:rPr>
            </w:pPr>
          </w:p>
        </w:tc>
        <w:tc>
          <w:tcPr>
            <w:tcW w:w="14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Share ($)</w:t>
            </w:r>
          </w:p>
        </w:tc>
        <w:tc>
          <w:tcPr>
            <w:tcW w:w="48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 / Sale</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400" w:type="dxa"/>
            <w:vAlign w:val="bottom"/>
            <w:shd w:val="clear" w:color="auto" w:fill="CCEEFF"/>
          </w:tcPr>
          <w:p>
            <w:pPr>
              <w:spacing w:after="0"/>
              <w:rPr>
                <w:sz w:val="18"/>
                <w:szCs w:val="18"/>
                <w:color w:val="auto"/>
              </w:rPr>
            </w:pPr>
          </w:p>
        </w:tc>
        <w:tc>
          <w:tcPr>
            <w:tcW w:w="25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(33,880)</w:t>
            </w: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$57.4301</w:t>
            </w:r>
          </w:p>
        </w:tc>
        <w:tc>
          <w:tcPr>
            <w:tcW w:w="48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5/21/2019</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40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(21,206)</w:t>
            </w:r>
          </w:p>
        </w:tc>
        <w:tc>
          <w:tcPr>
            <w:tcW w:w="1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$57.4733</w:t>
            </w:r>
          </w:p>
        </w:tc>
        <w:tc>
          <w:tcPr>
            <w:tcW w:w="24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5/22/2019</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40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(31,123)</w:t>
            </w:r>
          </w:p>
        </w:tc>
        <w:tc>
          <w:tcPr>
            <w:tcW w:w="1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$56.3787</w:t>
            </w:r>
          </w:p>
        </w:tc>
        <w:tc>
          <w:tcPr>
            <w:tcW w:w="24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5/23/2019</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40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(17,272)</w:t>
            </w:r>
          </w:p>
        </w:tc>
        <w:tc>
          <w:tcPr>
            <w:tcW w:w="1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$57.3051</w:t>
            </w:r>
          </w:p>
        </w:tc>
        <w:tc>
          <w:tcPr>
            <w:tcW w:w="24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5/24/2019</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40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(31,144)</w:t>
            </w:r>
          </w:p>
        </w:tc>
        <w:tc>
          <w:tcPr>
            <w:tcW w:w="1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$57.3385</w:t>
            </w:r>
          </w:p>
        </w:tc>
        <w:tc>
          <w:tcPr>
            <w:tcW w:w="24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5/28/2019</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40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(54,056)</w:t>
            </w: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$56.9985</w:t>
            </w:r>
          </w:p>
        </w:tc>
        <w:tc>
          <w:tcPr>
            <w:tcW w:w="24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5/29/2019</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40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(37,111)</w:t>
            </w: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$57.6251</w:t>
            </w:r>
          </w:p>
        </w:tc>
        <w:tc>
          <w:tcPr>
            <w:tcW w:w="24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5/30/2019</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40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(34,058)</w:t>
            </w: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$56.7757</w:t>
            </w:r>
          </w:p>
        </w:tc>
        <w:tc>
          <w:tcPr>
            <w:tcW w:w="24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5/31/2019</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40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(40,298)</w:t>
            </w: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$57.2353</w:t>
            </w:r>
          </w:p>
        </w:tc>
        <w:tc>
          <w:tcPr>
            <w:tcW w:w="24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1"/>
              </w:rPr>
              <w:t>6/3/2019</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40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(20,113)</w:t>
            </w: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$58.9413</w:t>
            </w:r>
          </w:p>
        </w:tc>
        <w:tc>
          <w:tcPr>
            <w:tcW w:w="48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6/4/2019</w:t>
            </w:r>
          </w:p>
        </w:tc>
      </w:tr>
      <w:tr>
        <w:trPr>
          <w:trHeight w:val="202"/>
        </w:trPr>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400" w:type="dxa"/>
            <w:vAlign w:val="bottom"/>
            <w:shd w:val="clear" w:color="auto" w:fill="CCEEFF"/>
          </w:tcPr>
          <w:p>
            <w:pPr>
              <w:spacing w:after="0"/>
              <w:rPr>
                <w:sz w:val="17"/>
                <w:szCs w:val="17"/>
                <w:color w:val="auto"/>
              </w:rPr>
            </w:pPr>
          </w:p>
        </w:tc>
        <w:tc>
          <w:tcPr>
            <w:tcW w:w="2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(31,559)</w:t>
            </w: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$58.8065</w:t>
            </w:r>
          </w:p>
        </w:tc>
        <w:tc>
          <w:tcPr>
            <w:tcW w:w="48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6/5/2019</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40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(61,677)</w:t>
            </w: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$57.8047</w:t>
            </w:r>
          </w:p>
        </w:tc>
        <w:tc>
          <w:tcPr>
            <w:tcW w:w="48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6/6/2019</w:t>
            </w:r>
          </w:p>
        </w:tc>
      </w:tr>
      <w:tr>
        <w:trPr>
          <w:trHeight w:val="23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400" w:type="dxa"/>
            <w:vAlign w:val="bottom"/>
            <w:shd w:val="clear" w:color="auto" w:fill="CCEEFF"/>
          </w:tcPr>
          <w:p>
            <w:pPr>
              <w:spacing w:after="0"/>
              <w:rPr>
                <w:sz w:val="20"/>
                <w:szCs w:val="20"/>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(13,928)</w:t>
            </w:r>
          </w:p>
        </w:tc>
        <w:tc>
          <w:tcPr>
            <w:tcW w:w="480" w:type="dxa"/>
            <w:vAlign w:val="bottom"/>
            <w:shd w:val="clear" w:color="auto" w:fill="CCEEFF"/>
          </w:tcPr>
          <w:p>
            <w:pPr>
              <w:spacing w:after="0"/>
              <w:rPr>
                <w:sz w:val="20"/>
                <w:szCs w:val="20"/>
                <w:color w:val="auto"/>
              </w:rPr>
            </w:pPr>
          </w:p>
        </w:tc>
        <w:tc>
          <w:tcPr>
            <w:tcW w:w="1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$58.7117</w:t>
            </w:r>
          </w:p>
        </w:tc>
        <w:tc>
          <w:tcPr>
            <w:tcW w:w="480" w:type="dxa"/>
            <w:vAlign w:val="bottom"/>
            <w:shd w:val="clear" w:color="auto" w:fill="CCEEFF"/>
          </w:tcPr>
          <w:p>
            <w:pPr>
              <w:spacing w:after="0"/>
              <w:rPr>
                <w:sz w:val="20"/>
                <w:szCs w:val="20"/>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6/7/2019</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3"/>
    </w:lvl>
  </w:abstractNum>
  <w:abstractNum w:abstractNumId="6">
    <w:nsid w:val="1190CDE7"/>
    <w:multiLevelType w:val="hybridMultilevel"/>
    <w:lvl w:ilvl="0">
      <w:lvlJc w:val="left"/>
      <w:lvlText w:val="(%1)"/>
      <w:numFmt w:val="decimal"/>
      <w:start w:val="14"/>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3"/>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3"/>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2019-12-01T19:30:51Z</dcterms:created>
  <dcterms:modified xsi:type="dcterms:W3CDTF">2019-12-01T19:30:51Z</dcterms:modified>
</cp:coreProperties>
</file>