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228600</wp:posOffset>
            </wp:positionV>
            <wp:extent cx="2186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April 29, 2009</w:t>
      </w:r>
    </w:p>
    <w:p>
      <w:pPr>
        <w:spacing w:after="0" w:line="2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1574165</wp:posOffset>
            </wp:positionH>
            <wp:positionV relativeFrom="paragraph">
              <wp:posOffset>-130810</wp:posOffset>
            </wp:positionV>
            <wp:extent cx="3944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right"/>
              <w:ind w:right="1210"/>
              <w:spacing w:after="0"/>
              <w:rPr>
                <w:sz w:val="20"/>
                <w:szCs w:val="20"/>
                <w:color w:val="auto"/>
              </w:rPr>
            </w:pPr>
            <w:r>
              <w:rPr>
                <w:rFonts w:ascii="Arial" w:cs="Arial" w:eastAsia="Arial" w:hAnsi="Arial"/>
                <w:sz w:val="18"/>
                <w:szCs w:val="18"/>
                <w:b w:val="1"/>
                <w:bCs w:val="1"/>
                <w:color w:val="auto"/>
              </w:rPr>
              <w:t>000-22418</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91-1011792</w:t>
            </w:r>
          </w:p>
        </w:tc>
      </w:tr>
      <w:tr>
        <w:trPr>
          <w:trHeight w:val="195"/>
        </w:trPr>
        <w:tc>
          <w:tcPr>
            <w:tcW w:w="3100" w:type="dxa"/>
            <w:vAlign w:val="bottom"/>
            <w:tcBorders>
              <w:top w:val="single" w:sz="8" w:color="auto"/>
            </w:tcBorders>
          </w:tcPr>
          <w:p>
            <w:pPr>
              <w:jc w:val="center"/>
              <w:ind w:left="570"/>
              <w:spacing w:after="0" w:line="195"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jc w:val="center"/>
              <w:ind w:right="63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left="570"/>
              <w:spacing w:after="0"/>
              <w:rPr>
                <w:sz w:val="20"/>
                <w:szCs w:val="20"/>
                <w:color w:val="auto"/>
              </w:rPr>
            </w:pPr>
            <w:r>
              <w:rPr>
                <w:rFonts w:ascii="Arial" w:cs="Arial" w:eastAsia="Arial" w:hAnsi="Arial"/>
                <w:sz w:val="18"/>
                <w:szCs w:val="18"/>
                <w:color w:val="auto"/>
                <w:w w:val="94"/>
              </w:rPr>
              <w:t>of Incorporation)</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630"/>
              <w:spacing w:after="0"/>
              <w:rPr>
                <w:sz w:val="20"/>
                <w:szCs w:val="20"/>
                <w:color w:val="auto"/>
              </w:rPr>
            </w:pPr>
            <w:r>
              <w:rPr>
                <w:rFonts w:ascii="Arial" w:cs="Arial" w:eastAsia="Arial" w:hAnsi="Arial"/>
                <w:sz w:val="18"/>
                <w:szCs w:val="18"/>
                <w:color w:val="auto"/>
                <w:w w:val="95"/>
              </w:rPr>
              <w:t>Identification No.)</w:t>
            </w:r>
          </w:p>
        </w:tc>
      </w:tr>
      <w:tr>
        <w:trPr>
          <w:trHeight w:val="702"/>
        </w:trPr>
        <w:tc>
          <w:tcPr>
            <w:tcW w:w="3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4"/>
          </w:tcPr>
          <w:p>
            <w:pPr>
              <w:jc w:val="center"/>
              <w:ind w:right="82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2900" w:type="dxa"/>
            <w:vAlign w:val="bottom"/>
            <w:tcBorders>
              <w:bottom w:val="single" w:sz="8" w:color="auto"/>
            </w:tcBorders>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80" w:type="dxa"/>
            <w:vAlign w:val="bottom"/>
            <w:gridSpan w:val="4"/>
          </w:tcPr>
          <w:p>
            <w:pPr>
              <w:jc w:val="center"/>
              <w:ind w:right="840"/>
              <w:spacing w:after="0"/>
              <w:rPr>
                <w:sz w:val="20"/>
                <w:szCs w:val="20"/>
                <w:color w:val="auto"/>
              </w:rPr>
            </w:pPr>
            <w:r>
              <w:rPr>
                <w:rFonts w:ascii="Arial" w:cs="Arial" w:eastAsia="Arial" w:hAnsi="Arial"/>
                <w:sz w:val="18"/>
                <w:szCs w:val="18"/>
                <w:color w:val="auto"/>
                <w:w w:val="92"/>
              </w:rPr>
              <w:t>(Address of Principal Executive Offices, Zip Code)</w:t>
            </w:r>
          </w:p>
        </w:tc>
        <w:tc>
          <w:tcPr>
            <w:tcW w:w="2900" w:type="dxa"/>
            <w:vAlign w:val="bottom"/>
          </w:tcPr>
          <w:p>
            <w:pPr>
              <w:spacing w:after="0"/>
              <w:rPr>
                <w:sz w:val="19"/>
                <w:szCs w:val="19"/>
                <w:color w:val="auto"/>
              </w:rPr>
            </w:pPr>
          </w:p>
        </w:tc>
      </w:tr>
      <w:tr>
        <w:trPr>
          <w:trHeight w:val="445"/>
        </w:trPr>
        <w:tc>
          <w:tcPr>
            <w:tcW w:w="3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(509) 924-9900</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5420" w:type="dxa"/>
            <w:vAlign w:val="bottom"/>
            <w:gridSpan w:val="5"/>
          </w:tcPr>
          <w:p>
            <w:pPr>
              <w:jc w:val="center"/>
              <w:ind w:right="180"/>
              <w:spacing w:after="0"/>
              <w:rPr>
                <w:sz w:val="20"/>
                <w:szCs w:val="20"/>
                <w:color w:val="auto"/>
              </w:rPr>
            </w:pPr>
            <w:r>
              <w:rPr>
                <w:rFonts w:ascii="Arial" w:cs="Arial" w:eastAsia="Arial" w:hAnsi="Arial"/>
                <w:sz w:val="18"/>
                <w:szCs w:val="18"/>
                <w:color w:val="auto"/>
                <w:w w:val="91"/>
              </w:rPr>
              <w:t>(Registrant’s Telephone Number, Including Area Code)</w:t>
            </w:r>
          </w:p>
        </w:tc>
        <w:tc>
          <w:tcPr>
            <w:tcW w:w="2900" w:type="dxa"/>
            <w:vAlign w:val="bottom"/>
          </w:tcPr>
          <w:p>
            <w:pPr>
              <w:spacing w:after="0"/>
              <w:rPr>
                <w:sz w:val="19"/>
                <w:szCs w:val="19"/>
                <w:color w:val="auto"/>
              </w:rPr>
            </w:pPr>
          </w:p>
        </w:tc>
      </w:tr>
      <w:tr>
        <w:trPr>
          <w:trHeight w:val="445"/>
        </w:trPr>
        <w:tc>
          <w:tcPr>
            <w:tcW w:w="31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5"/>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24"/>
        </w:trPr>
        <w:tc>
          <w:tcPr>
            <w:tcW w:w="3100" w:type="dxa"/>
            <w:vAlign w:val="bottom"/>
          </w:tcPr>
          <w:p>
            <w:pPr>
              <w:spacing w:after="0"/>
              <w:rPr>
                <w:sz w:val="19"/>
                <w:szCs w:val="19"/>
                <w:color w:val="auto"/>
              </w:rPr>
            </w:pPr>
          </w:p>
        </w:tc>
        <w:tc>
          <w:tcPr>
            <w:tcW w:w="542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900" w:type="dxa"/>
            <w:vAlign w:val="bottom"/>
          </w:tcPr>
          <w:p>
            <w:pPr>
              <w:spacing w:after="0"/>
              <w:rPr>
                <w:sz w:val="19"/>
                <w:szCs w:val="19"/>
                <w:color w:val="auto"/>
              </w:rPr>
            </w:pPr>
          </w:p>
        </w:tc>
      </w:tr>
    </w:tbl>
    <w:p>
      <w:pPr>
        <w:spacing w:after="0" w:line="200" w:lineRule="exact"/>
        <w:rPr>
          <w:sz w:val="24"/>
          <w:szCs w:val="24"/>
          <w:color w:val="auto"/>
        </w:rPr>
      </w:pPr>
    </w:p>
    <w:p>
      <w:pPr>
        <w:spacing w:after="0" w:line="25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23"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On April 29, 2009, Itron, Inc. issued a press release announcing their financial results for the three months ending March 31, 2009. A copy of this press release and accompanying financial statements are attached as Exhibit 99.1.</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gridSpan w:val="2"/>
          </w:tcPr>
          <w:p>
            <w:pPr>
              <w:ind w:left="360"/>
              <w:spacing w:after="0"/>
              <w:rPr>
                <w:sz w:val="20"/>
                <w:szCs w:val="20"/>
                <w:color w:val="auto"/>
              </w:rPr>
            </w:pPr>
            <w:r>
              <w:rPr>
                <w:rFonts w:ascii="Arial" w:cs="Arial" w:eastAsia="Arial" w:hAnsi="Arial"/>
                <w:sz w:val="18"/>
                <w:szCs w:val="18"/>
                <w:color w:val="auto"/>
              </w:rPr>
              <w:t>(d) Exhibits.</w:t>
            </w:r>
          </w:p>
        </w:tc>
        <w:tc>
          <w:tcPr>
            <w:tcW w:w="9720" w:type="dxa"/>
            <w:vAlign w:val="bottom"/>
          </w:tcPr>
          <w:p>
            <w:pPr>
              <w:spacing w:after="0"/>
              <w:rPr>
                <w:sz w:val="20"/>
                <w:szCs w:val="20"/>
                <w:color w:val="auto"/>
              </w:rPr>
            </w:pPr>
          </w:p>
        </w:tc>
      </w:tr>
      <w:tr>
        <w:trPr>
          <w:trHeight w:val="466"/>
        </w:trPr>
        <w:tc>
          <w:tcPr>
            <w:tcW w:w="1700" w:type="dxa"/>
            <w:vAlign w:val="bottom"/>
            <w:gridSpan w:val="2"/>
          </w:tcPr>
          <w:p>
            <w:pPr>
              <w:spacing w:after="0"/>
              <w:rPr>
                <w:sz w:val="20"/>
                <w:szCs w:val="20"/>
                <w:color w:val="auto"/>
              </w:rPr>
            </w:pPr>
            <w:r>
              <w:rPr>
                <w:rFonts w:ascii="Arial" w:cs="Arial" w:eastAsia="Arial" w:hAnsi="Arial"/>
                <w:sz w:val="18"/>
                <w:szCs w:val="18"/>
                <w:color w:val="auto"/>
              </w:rPr>
              <w:t>Exhibit Number</w:t>
            </w:r>
          </w:p>
        </w:tc>
        <w:tc>
          <w:tcPr>
            <w:tcW w:w="9720" w:type="dxa"/>
            <w:vAlign w:val="bottom"/>
          </w:tcPr>
          <w:p>
            <w:pPr>
              <w:spacing w:after="0"/>
              <w:rPr>
                <w:sz w:val="20"/>
                <w:szCs w:val="20"/>
                <w:color w:val="auto"/>
              </w:rPr>
            </w:pPr>
            <w:r>
              <w:rPr>
                <w:rFonts w:ascii="Arial" w:cs="Arial" w:eastAsia="Arial" w:hAnsi="Arial"/>
                <w:sz w:val="18"/>
                <w:szCs w:val="18"/>
                <w:color w:val="auto"/>
              </w:rPr>
              <w:t>Description</w:t>
            </w:r>
          </w:p>
        </w:tc>
      </w:tr>
      <w:tr>
        <w:trPr>
          <w:trHeight w:val="432"/>
        </w:trPr>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April 29, 2009.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ITRON, INC.</w:t>
            </w:r>
          </w:p>
        </w:tc>
        <w:tc>
          <w:tcPr>
            <w:tcW w:w="82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662"/>
        </w:trPr>
        <w:tc>
          <w:tcPr>
            <w:tcW w:w="2440" w:type="dxa"/>
            <w:vAlign w:val="bottom"/>
          </w:tcPr>
          <w:p>
            <w:pPr>
              <w:spacing w:after="0"/>
              <w:rPr>
                <w:sz w:val="20"/>
                <w:szCs w:val="20"/>
                <w:color w:val="auto"/>
              </w:rPr>
            </w:pPr>
            <w:r>
              <w:rPr>
                <w:rFonts w:ascii="Arial" w:cs="Arial" w:eastAsia="Arial" w:hAnsi="Arial"/>
                <w:sz w:val="18"/>
                <w:szCs w:val="18"/>
                <w:color w:val="auto"/>
              </w:rPr>
              <w:t>Dated: April 29, 2009</w:t>
            </w: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rPr>
              <w:t>By: /s/ Steven M. Helmbrecht</w:t>
            </w:r>
          </w:p>
        </w:tc>
      </w:tr>
      <w:tr>
        <w:trPr>
          <w:trHeight w:val="237"/>
        </w:trPr>
        <w:tc>
          <w:tcPr>
            <w:tcW w:w="2440" w:type="dxa"/>
            <w:vAlign w:val="bottom"/>
          </w:tcPr>
          <w:p>
            <w:pPr>
              <w:spacing w:after="0"/>
              <w:rPr>
                <w:sz w:val="20"/>
                <w:szCs w:val="20"/>
                <w:color w:val="auto"/>
              </w:rPr>
            </w:pPr>
            <w:r>
              <w:rPr>
                <w:rFonts w:ascii="Arial" w:cs="Arial" w:eastAsia="Arial" w:hAnsi="Arial"/>
                <w:sz w:val="18"/>
                <w:szCs w:val="18"/>
                <w:color w:val="auto"/>
              </w:rPr>
              <w:t>Steven M. Helmbrecht</w:t>
            </w:r>
          </w:p>
        </w:tc>
        <w:tc>
          <w:tcPr>
            <w:tcW w:w="820" w:type="dxa"/>
            <w:vAlign w:val="bottom"/>
          </w:tcPr>
          <w:p>
            <w:pPr>
              <w:spacing w:after="0"/>
              <w:rPr>
                <w:sz w:val="20"/>
                <w:szCs w:val="20"/>
                <w:color w:val="auto"/>
              </w:rPr>
            </w:pPr>
          </w:p>
        </w:tc>
        <w:tc>
          <w:tcPr>
            <w:tcW w:w="4200" w:type="dxa"/>
            <w:vAlign w:val="bottom"/>
            <w:tcBorders>
              <w:top w:val="single" w:sz="8" w:color="auto"/>
            </w:tcBorders>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Number</w:t>
            </w:r>
          </w:p>
        </w:tc>
        <w:tc>
          <w:tcPr>
            <w:tcW w:w="460" w:type="dxa"/>
            <w:vAlign w:val="bottom"/>
          </w:tcPr>
          <w:p>
            <w:pPr>
              <w:spacing w:after="0"/>
              <w:rPr>
                <w:sz w:val="20"/>
                <w:szCs w:val="20"/>
                <w:color w:val="auto"/>
              </w:rPr>
            </w:pPr>
          </w:p>
        </w:tc>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Press release dated April 29, 2009.</w:t>
            </w:r>
          </w:p>
        </w:tc>
      </w:tr>
    </w:tbl>
    <w:p>
      <w:pPr>
        <w:sectPr>
          <w:pgSz w:w="11900" w:h="16838" w:orient="portrait"/>
          <w:cols w:equalWidth="0" w:num="1">
            <w:col w:w="11420"/>
          </w:cols>
          <w:pgMar w:left="240" w:top="124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ANNOUNCES FIRST QUARTER RESULTS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LIBERTY LAKE, WA. — April 29, 2009 — Itron, Inc. (NASDAQ:ITRI) today reported financial results for its first quarter ended March 31, 2009. Results include:</w:t>
      </w:r>
    </w:p>
    <w:p>
      <w:pPr>
        <w:spacing w:after="0" w:line="197"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revenues of $389 million;</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non-GAAP diluted EPS of 33 cents;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Adjusted EBITDA of $43 million;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Bookings of $625 million.</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“Business was soft in the first quarter,” said Malcolm Unsworth, president and CEO. “We are seeing effects of the slowdown in the U.S. economy and our International results have been affected by a stronger dollar. Nonetheless, we had very strong bookings and our total backlog is at record levels, which gives us confidence in the longer term.”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Highlights:</w:t>
      </w:r>
    </w:p>
    <w:p>
      <w:pPr>
        <w:spacing w:after="0" w:line="27" w:lineRule="exact"/>
        <w:rPr>
          <w:sz w:val="20"/>
          <w:szCs w:val="20"/>
          <w:color w:val="auto"/>
        </w:rPr>
      </w:pPr>
    </w:p>
    <w:p>
      <w:pPr>
        <w:jc w:val="both"/>
        <w:ind w:left="340" w:right="320"/>
        <w:spacing w:after="0" w:line="268" w:lineRule="auto"/>
        <w:rPr>
          <w:sz w:val="20"/>
          <w:szCs w:val="20"/>
          <w:color w:val="auto"/>
        </w:rPr>
      </w:pPr>
      <w:r>
        <w:rPr>
          <w:rFonts w:ascii="Arial" w:cs="Arial" w:eastAsia="Arial" w:hAnsi="Arial"/>
          <w:sz w:val="17"/>
          <w:szCs w:val="17"/>
          <w:b w:val="1"/>
          <w:bCs w:val="1"/>
          <w:i w:val="1"/>
          <w:iCs w:val="1"/>
          <w:color w:val="auto"/>
        </w:rPr>
        <w:t xml:space="preserve">Realignment and New Accounting Pronouncement </w:t>
      </w:r>
      <w:r>
        <w:rPr>
          <w:rFonts w:ascii="Arial" w:cs="Arial" w:eastAsia="Arial" w:hAnsi="Arial"/>
          <w:sz w:val="17"/>
          <w:szCs w:val="17"/>
          <w:color w:val="auto"/>
        </w:rPr>
        <w:t>– As of January 1, 2009 our operating segments were realigned to more accurately reflect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geographic operations. Itron North America (INA) now includes sales of gas and water meters in North America, which were previously part of Actaris. Results in all periods presented reflect this realignment. As well, the Actaris brand name has been discontinued and the company is now operating under the Itron name and brand on a worldwide basis. Therefore our operating segments are now INA and Itron International (International). International consists of Actaris operations without North American gas and water meter sales. In addition, as of January 1, 2009 Itron adopted FSP APB 14-1, </w:t>
      </w:r>
      <w:r>
        <w:rPr>
          <w:rFonts w:ascii="Arial" w:cs="Arial" w:eastAsia="Arial" w:hAnsi="Arial"/>
          <w:sz w:val="17"/>
          <w:szCs w:val="17"/>
          <w:i w:val="1"/>
          <w:iCs w:val="1"/>
          <w:color w:val="auto"/>
        </w:rPr>
        <w:t>Accounting for Convertible Debt Instruments That May Be Settled in Cash Upon Conversion</w:t>
      </w:r>
      <w:r>
        <w:rPr>
          <w:rFonts w:ascii="Arial" w:cs="Arial" w:eastAsia="Arial" w:hAnsi="Arial"/>
          <w:sz w:val="17"/>
          <w:szCs w:val="17"/>
          <w:color w:val="auto"/>
        </w:rPr>
        <w:t xml:space="preserve"> (FSP 14-1), which requires retroactive restatement of increased interest expense and an allocation of the convertible subordinated notes obligation between debt and equity. This change is reflected in the following discussion and financial statements.</w:t>
      </w:r>
    </w:p>
    <w:p>
      <w:pPr>
        <w:spacing w:after="0" w:line="211" w:lineRule="exact"/>
        <w:rPr>
          <w:sz w:val="20"/>
          <w:szCs w:val="20"/>
          <w:color w:val="auto"/>
        </w:rPr>
      </w:pPr>
    </w:p>
    <w:p>
      <w:pPr>
        <w:jc w:val="both"/>
        <w:ind w:left="340" w:right="320"/>
        <w:spacing w:after="0" w:line="255"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 Total revenues of $389 million for the first quarter of 2009 were $90 million, or 19%, lower than 2008 first quarter revenues of $478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INA revenues of $139 million for the first quarter of 2009 were $30 million, or 18%, lower than the first quarter of 2008. The lower revenue in 2009 was primarily driven by fewer electric meters shipped during the quarter due to the completion of a number of AMR contracts in 2008 and related to the economic downturn. International revenues were $249 million for the first quarter of 2009, which were $60 million, or 19%, lower than first quarter 2008. Nearly 90% of the decrease in International revenue was due to foreign exchange rates while the remainder was due to product mix. Shipments of products to electric, gas and water utilities comprised approximately 37%, 28% and 35% of total International revenue in 2009 compared with 40%, 27% and 33% in 2008.</w:t>
      </w:r>
    </w:p>
    <w:p>
      <w:pPr>
        <w:spacing w:after="0" w:line="216" w:lineRule="exact"/>
        <w:rPr>
          <w:sz w:val="20"/>
          <w:szCs w:val="20"/>
          <w:color w:val="auto"/>
        </w:rPr>
      </w:pPr>
    </w:p>
    <w:p>
      <w:pPr>
        <w:jc w:val="both"/>
        <w:ind w:left="340" w:right="340"/>
        <w:spacing w:after="0" w:line="259"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 Gross margin for the first quarter of 2009 was 33.4%. This compares with 34.0% in the first quarter of 2008. First quarter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INA gross margin of 37.5% was comparable to 2008 gross margin of 37.8%. International gross margin of 31.0% was lower than first quarter 2008 gross margin of 31.9% primarily due to the completion of a smart metering project in Sweden and a higher mix of service revenue with lower margins in South America.</w:t>
      </w:r>
    </w:p>
    <w:p>
      <w:pPr>
        <w:spacing w:after="0" w:line="214" w:lineRule="exact"/>
        <w:rPr>
          <w:sz w:val="20"/>
          <w:szCs w:val="20"/>
          <w:color w:val="auto"/>
        </w:rPr>
      </w:pPr>
    </w:p>
    <w:p>
      <w:pPr>
        <w:jc w:val="both"/>
        <w:ind w:left="340" w:right="320"/>
        <w:spacing w:after="0" w:line="273" w:lineRule="auto"/>
        <w:rPr>
          <w:sz w:val="20"/>
          <w:szCs w:val="20"/>
          <w:color w:val="auto"/>
        </w:rPr>
      </w:pPr>
      <w:r>
        <w:rPr>
          <w:rFonts w:ascii="Arial" w:cs="Arial" w:eastAsia="Arial" w:hAnsi="Arial"/>
          <w:sz w:val="17"/>
          <w:szCs w:val="17"/>
          <w:b w:val="1"/>
          <w:bCs w:val="1"/>
          <w:i w:val="1"/>
          <w:iCs w:val="1"/>
          <w:color w:val="auto"/>
        </w:rPr>
        <w:t xml:space="preserve">Operating Expenses </w:t>
      </w:r>
      <w:r>
        <w:rPr>
          <w:rFonts w:ascii="Arial" w:cs="Arial" w:eastAsia="Arial" w:hAnsi="Arial"/>
          <w:sz w:val="17"/>
          <w:szCs w:val="17"/>
          <w:color w:val="auto"/>
        </w:rPr>
        <w:t>– Total operating expenses for the first quarter of 2009 were $121 million compared with 2008 first quarter operating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$135 million. INA operating expenses of $44.5 million in the first quarter of 2009 were somewhat lower than 2008 first quarter operating expenses of $46.0 million due to lower sales expenses. International operating expenses in the first quarter of 2009 of $67.5 million were $12 million lower than the $79.5 million in the first quarter of 2008, due in large part to decreased amortization of intangibles expense in the 2009 period, as well as foreign exchange rates. Corporate unallocated expenses of $8.6 million for the first quarter of 2009 were $1.2 million lower than the first quarter of 2008 due to lower compensation and consulting fees for Sarbanes-Oxley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ind w:left="340"/>
        <w:spacing w:after="0" w:line="271" w:lineRule="auto"/>
        <w:rPr>
          <w:sz w:val="20"/>
          <w:szCs w:val="20"/>
          <w:color w:val="auto"/>
        </w:rPr>
      </w:pPr>
      <w:r>
        <w:rPr>
          <w:rFonts w:ascii="Arial" w:cs="Arial" w:eastAsia="Arial" w:hAnsi="Arial"/>
          <w:sz w:val="17"/>
          <w:szCs w:val="17"/>
          <w:b w:val="1"/>
          <w:bCs w:val="1"/>
          <w:i w:val="1"/>
          <w:iCs w:val="1"/>
          <w:color w:val="auto"/>
        </w:rPr>
        <w:t xml:space="preserve">Interest and Other Income </w:t>
      </w:r>
      <w:r>
        <w:rPr>
          <w:rFonts w:ascii="Arial" w:cs="Arial" w:eastAsia="Arial" w:hAnsi="Arial"/>
          <w:sz w:val="17"/>
          <w:szCs w:val="17"/>
          <w:color w:val="auto"/>
        </w:rPr>
        <w:t>– Net interest expense of $16 million in the first quarter of 2009 was substantially lower than the $27 million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period in 2008, due to lower average debt balances and lower interest rates. Debt fee amortization expense, which is included in net interest expense, of $1.8 million in the first quarter of 2009, was comparable to the same period in 2008. Other expense was $2 million in the first quarter of 2009 compared with other income of $188,000 in 2008. The other expense in the current period is primarily due to consulting and legal fees associated with an amendment to our senior debt agreement and losses on transactions caused by volatility in foreign exchange rates. The first quarter of 2009 also included a $10.3 million net loss on the extinguishment of debt related to a convertible debt for common stock exchange. The difference in the value of the shares of Itron’s common stock issued under the exchange agreement and the value of the shares used to derive the amount payable under the original conversion agreement resulted in a net loss on extinguishment of debt.</w:t>
      </w:r>
    </w:p>
    <w:p>
      <w:pPr>
        <w:spacing w:after="0" w:line="206"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had an income tax benefit of $6,000 in the first quarter of 2009 compared with $591,000 in the same quarter of 2008.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benefit in 2009 was due primarily to a lower effective tax rate for the year driven by lower income in high tax jurisdictions. The tax benefit in 2008 was primarily due to a one-time net tax benefit related to subsidiary interest expense.</w:t>
      </w:r>
    </w:p>
    <w:p>
      <w:pPr>
        <w:spacing w:after="0" w:line="20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GAAP Net Income/Loss and EPS </w:t>
      </w:r>
      <w:r>
        <w:rPr>
          <w:rFonts w:ascii="Arial" w:cs="Arial" w:eastAsia="Arial" w:hAnsi="Arial"/>
          <w:sz w:val="18"/>
          <w:szCs w:val="18"/>
          <w:color w:val="auto"/>
        </w:rPr>
        <w:t>– Our GAAP net loss and fully diluted EPS loss for the first quarter of 2009 was $19.7 million, or 55 cents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compared with net income of $953,000, or 3 cents per share, in the same period in 2008.</w:t>
      </w:r>
    </w:p>
    <w:p>
      <w:pPr>
        <w:spacing w:after="0" w:line="19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b w:val="1"/>
          <w:bCs w:val="1"/>
          <w:i w:val="1"/>
          <w:iCs w:val="1"/>
          <w:color w:val="auto"/>
        </w:rPr>
        <w:t xml:space="preserve">Non-GAAP Operating Income, Net Income and Diluted EPS </w:t>
      </w:r>
      <w:r>
        <w:rPr>
          <w:rFonts w:ascii="Arial" w:cs="Arial" w:eastAsia="Arial" w:hAnsi="Arial"/>
          <w:sz w:val="18"/>
          <w:szCs w:val="18"/>
          <w:color w:val="auto"/>
        </w:rPr>
        <w:t>– Non-GAAP operating income, which excludes amortization expense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intangible assets, was $32.4 million, or 8.3% of revenues in the first quarter of 2009. This was lower than the $58.5 million, or 12.2% of revenues, in the first quarter of 2008 primarily due to the lower revenue. Non-GAAP net income, which also excludes amortization of debt fees, the additional non-cash interest expense related to the adoption of FSP 14-1 and the non-cash loss associated with the convertible debt for stock exchange, was $12.2 million compared with $26.9 million in the 2008 period. Non-GAAP diluted EPS was 33 cents in 2009 compared with 82 cents in 2008. The lower net income and EPS was primarily due to lower revenues in 2009. Fully diluted shares outstanding in the first quarter of 2009 were approximately 3.8 million higher than the same period in 2008 primarily due to the equity offering of 3.4 million shares in the second quarter of 2008 and the convertible debt for stock exchange in the first quarter of 2009. Our non-GAAP tax rates were 32% and 27% for the first quarter of 2009 and 2008. The higher non-GAAP tax rate in the first quarter of 2009 was driven primarily by the tax effect of certain foreign subsidiary interest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Highlights:</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b w:val="1"/>
          <w:bCs w:val="1"/>
          <w:i w:val="1"/>
          <w:iCs w:val="1"/>
          <w:color w:val="auto"/>
        </w:rPr>
        <w:t xml:space="preserve">New Order Bookings and Backlog </w:t>
      </w:r>
      <w:r>
        <w:rPr>
          <w:rFonts w:ascii="Arial" w:cs="Arial" w:eastAsia="Arial" w:hAnsi="Arial"/>
          <w:sz w:val="18"/>
          <w:szCs w:val="18"/>
          <w:color w:val="auto"/>
        </w:rPr>
        <w:t>- New order bookings for the first quarter of 2009 were $625 million, compared with $484 million in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2008. Our book-to-bill ratios were 1.6 to 1 and 1.02 to 1 for the first quarter of 2009 and 2008, respectively. New order bookings for 2009 included $260 million related to our AMI contract with San Diego Gas and Electric (SDG&amp;E). The first phase of the project was accepted by SDG&amp;E during the quarter. Total backlog was $1.5 billion at March 31, 2009 compared with $683 million at March 31, 2008. Twelve month backlog of $471 million at March 31, 2009 was lower than the $552 million at March 31, 2008 due to the completion of a number of contracts in 2008 and the expected timing of future AMI shipments.</w:t>
      </w:r>
    </w:p>
    <w:p>
      <w:pPr>
        <w:spacing w:after="0" w:line="22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Cash Flows </w:t>
      </w:r>
      <w:r>
        <w:rPr>
          <w:rFonts w:ascii="Arial" w:cs="Arial" w:eastAsia="Arial" w:hAnsi="Arial"/>
          <w:sz w:val="18"/>
          <w:szCs w:val="18"/>
          <w:color w:val="auto"/>
        </w:rPr>
        <w:t>– Net cash provided by operating activities during the first quarter of 2009 was $43 million, compared with $56 million in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2008. Adjusted earnings before interest, taxes, depreciation and amortization and non-cash loss on extinguishment of debt (Adjusted EBITDA) in the first quarter of 2009 was $43 million compared with $72 million for the same period in 2008. Free cash flow in the first quarter of 2009 was $29 million compared with $43 million in the first quarter of 2008.</w:t>
      </w:r>
    </w:p>
    <w:p>
      <w:pPr>
        <w:spacing w:after="0" w:line="21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Debt Amendment </w:t>
      </w:r>
      <w:r>
        <w:rPr>
          <w:rFonts w:ascii="Arial" w:cs="Arial" w:eastAsia="Arial" w:hAnsi="Arial"/>
          <w:sz w:val="18"/>
          <w:szCs w:val="18"/>
          <w:color w:val="auto"/>
        </w:rPr>
        <w:t>– On April 24, 2009, we completed an amendment to our credit facility which provides for adjustments to the maximum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ratio and the minimum interest coverage ratio. The amendment also provides an uncommitted option to increase the $115 million multicurrency revolving line-of-credit by an additional $75 million without a further amendment to the credit facility. Interest rates on the credit facility will continue to be based on the respective borrowing’s denominated London Interbank Offering Rate (LIBOR) plus an additional margin. The additional margin was increased from 1.75% to 3.5% as of April 24,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supplement our consolidated financial statements presented in accordance with GAAP, we use certain non-GAAP financial measures, including non-GAAP operating income, non-GAAP net income and diluted EPS and Adjusted EBITDA.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costs associated with acquisitions. We exclude these expenses in our non-GAAP financial measures as we believe the net result is a measure of our core business that is not subject to the variations of expenses associated with these infrequently occurring items. Non-GAAP performance measures should be considered in addition to, and not as a substitute for, results prepared in accordance with GAAP. Finally,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Itron will host a conference call to discuss the financial results contained in this release at 2:00 p.m. (PDT) on April 29, 2009. The call will be webcast in a listen only mode and can be accessed online at </w:t>
      </w:r>
      <w:r>
        <w:rPr>
          <w:rFonts w:ascii="Arial" w:cs="Arial" w:eastAsia="Arial" w:hAnsi="Arial"/>
          <w:sz w:val="16"/>
          <w:szCs w:val="16"/>
          <w:b w:val="1"/>
          <w:bCs w:val="1"/>
          <w:u w:val="single" w:color="auto"/>
          <w:color w:val="auto"/>
        </w:rPr>
        <w:t>www.itron.com,</w:t>
      </w:r>
      <w:r>
        <w:rPr>
          <w:rFonts w:ascii="Arial" w:cs="Arial" w:eastAsia="Arial" w:hAnsi="Arial"/>
          <w:sz w:val="16"/>
          <w:szCs w:val="16"/>
          <w:color w:val="auto"/>
        </w:rPr>
        <w:t xml:space="preserve"> “</w:t>
      </w:r>
      <w:r>
        <w:rPr>
          <w:rFonts w:ascii="Arial" w:cs="Arial" w:eastAsia="Arial" w:hAnsi="Arial"/>
          <w:sz w:val="16"/>
          <w:szCs w:val="16"/>
          <w:i w:val="1"/>
          <w:iCs w:val="1"/>
          <w:color w:val="auto"/>
        </w:rPr>
        <w:t>Investors/InvestorEvents”.</w:t>
      </w:r>
      <w:r>
        <w:rPr>
          <w:rFonts w:ascii="Arial" w:cs="Arial" w:eastAsia="Arial" w:hAnsi="Arial"/>
          <w:sz w:val="16"/>
          <w:szCs w:val="16"/>
          <w:color w:val="auto"/>
        </w:rPr>
        <w:t xml:space="preserve"> The live webcast will begin at 2:00 p.m. (PDT). The webcast replay will begin after the conclusion of the live call and will be available for two weeks. A telephone replay of the call will also be available approximately one hour after the conclusion of the live call, for 48 hours, and is accessible by dialing </w:t>
      </w:r>
      <w:r>
        <w:rPr>
          <w:rFonts w:ascii="Arial" w:cs="Arial" w:eastAsia="Arial" w:hAnsi="Arial"/>
          <w:sz w:val="16"/>
          <w:szCs w:val="16"/>
          <w:b w:val="1"/>
          <w:bCs w:val="1"/>
          <w:color w:val="auto"/>
        </w:rPr>
        <w:t>(888) 203-1112 (Domestic)</w:t>
      </w:r>
      <w:r>
        <w:rPr>
          <w:rFonts w:ascii="Arial" w:cs="Arial" w:eastAsia="Arial" w:hAnsi="Arial"/>
          <w:sz w:val="16"/>
          <w:szCs w:val="16"/>
          <w:color w:val="auto"/>
        </w:rPr>
        <w:t xml:space="preserve"> or </w:t>
      </w:r>
      <w:r>
        <w:rPr>
          <w:rFonts w:ascii="Arial" w:cs="Arial" w:eastAsia="Arial" w:hAnsi="Arial"/>
          <w:sz w:val="16"/>
          <w:szCs w:val="16"/>
          <w:b w:val="1"/>
          <w:bCs w:val="1"/>
          <w:color w:val="auto"/>
        </w:rPr>
        <w:t>(719) 457-0820 (International)</w:t>
      </w:r>
      <w:r>
        <w:rPr>
          <w:rFonts w:ascii="Arial" w:cs="Arial" w:eastAsia="Arial" w:hAnsi="Arial"/>
          <w:sz w:val="16"/>
          <w:szCs w:val="16"/>
          <w:color w:val="auto"/>
        </w:rPr>
        <w:t>,</w:t>
      </w:r>
    </w:p>
    <w:p>
      <w:pPr>
        <w:spacing w:after="0" w:line="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entering passcode </w:t>
      </w:r>
      <w:r>
        <w:rPr>
          <w:rFonts w:ascii="Arial" w:cs="Arial" w:eastAsia="Arial" w:hAnsi="Arial"/>
          <w:sz w:val="18"/>
          <w:szCs w:val="18"/>
          <w:b w:val="1"/>
          <w:bCs w:val="1"/>
          <w:color w:val="auto"/>
        </w:rPr>
        <w:t>#6466939.</w:t>
      </w:r>
      <w:r>
        <w:rPr>
          <w:rFonts w:ascii="Arial" w:cs="Arial" w:eastAsia="Arial" w:hAnsi="Arial"/>
          <w:sz w:val="18"/>
          <w:szCs w:val="18"/>
          <w:color w:val="auto"/>
        </w:rPr>
        <w:t xml:space="preserve"> You may also view presentation materials related to the earnings call on Itron’s website, </w:t>
      </w:r>
      <w:r>
        <w:rPr>
          <w:rFonts w:ascii="Arial" w:cs="Arial" w:eastAsia="Arial" w:hAnsi="Arial"/>
          <w:sz w:val="18"/>
          <w:szCs w:val="18"/>
          <w:u w:val="single" w:color="auto"/>
          <w:color w:val="auto"/>
        </w:rPr>
        <w:t>www.itron.com/Investors/Presentations.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Itron:</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Itron, Inc. is a leading technology provider to the global energy and water industries. Our company is the world’s leading provider of intelligent metering, data collection and utility software solutions, with nearly 8,000 utilities worldwide relying on our technology to optimize the delivery and use of energy and water. Our products include electricity, gas, water and heat meters, data collection and communication systems, including automated meter reading (AMR) and advanced metering infrastructure (AMI); meter data management and related software applications; as well as project management, installation and consulting services. To know more, start here: </w:t>
      </w:r>
      <w:r>
        <w:rPr>
          <w:rFonts w:ascii="Arial" w:cs="Arial" w:eastAsia="Arial" w:hAnsi="Arial"/>
          <w:sz w:val="18"/>
          <w:szCs w:val="18"/>
          <w:u w:val="single" w:color="auto"/>
          <w:color w:val="auto"/>
        </w:rPr>
        <w:t>www.itron.com</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Deloris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and Corporate Communications</w:t>
      </w:r>
    </w:p>
    <w:p>
      <w:pPr>
        <w:spacing w:after="0" w:line="9" w:lineRule="exact"/>
        <w:rPr>
          <w:sz w:val="20"/>
          <w:szCs w:val="20"/>
          <w:color w:val="auto"/>
        </w:rPr>
      </w:pPr>
    </w:p>
    <w:p>
      <w:pPr>
        <w:ind w:right="94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891-3523 deloris.duquette@itron.com</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Statements of operations, segment information, balance sheets, cash flow statements and reconciliations of non-GAAP financial measures to the most directly comparable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10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(Unaudited, in thousands, except per share data)</w:t>
            </w:r>
          </w:p>
        </w:tc>
        <w:tc>
          <w:tcPr>
            <w:tcW w:w="2580" w:type="dxa"/>
            <w:vAlign w:val="bottom"/>
          </w:tcPr>
          <w:p>
            <w:pPr>
              <w:spacing w:after="0"/>
              <w:rPr>
                <w:sz w:val="20"/>
                <w:szCs w:val="20"/>
                <w:color w:val="auto"/>
              </w:rPr>
            </w:pPr>
          </w:p>
        </w:tc>
        <w:tc>
          <w:tcPr>
            <w:tcW w:w="2600" w:type="dxa"/>
            <w:vAlign w:val="bottom"/>
            <w:gridSpan w:val="7"/>
            <w:vMerge w:val="restart"/>
          </w:tcPr>
          <w:p>
            <w:pPr>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60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2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388,518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Cost of revenues</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258,934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315,917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129,584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760"/>
              <w:spacing w:after="0"/>
              <w:rPr>
                <w:sz w:val="20"/>
                <w:szCs w:val="20"/>
                <w:color w:val="auto"/>
              </w:rPr>
            </w:pPr>
            <w:r>
              <w:rPr>
                <w:rFonts w:ascii="Arial" w:cs="Arial" w:eastAsia="Arial" w:hAnsi="Arial"/>
                <w:sz w:val="18"/>
                <w:szCs w:val="18"/>
                <w:color w:val="auto"/>
              </w:rPr>
              <w:t>Sales and marketing</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36,975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Product development</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760"/>
              <w:spacing w:after="0"/>
              <w:rPr>
                <w:sz w:val="20"/>
                <w:szCs w:val="20"/>
                <w:color w:val="auto"/>
              </w:rPr>
            </w:pPr>
            <w:r>
              <w:rPr>
                <w:rFonts w:ascii="Arial" w:cs="Arial" w:eastAsia="Arial" w:hAnsi="Arial"/>
                <w:sz w:val="18"/>
                <w:szCs w:val="18"/>
                <w:color w:val="auto"/>
              </w:rPr>
              <w:t>General and administrative</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29,024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Amortization of intangible assets</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1540"/>
              <w:spacing w:after="0"/>
              <w:rPr>
                <w:sz w:val="20"/>
                <w:szCs w:val="20"/>
                <w:color w:val="auto"/>
              </w:rPr>
            </w:pPr>
            <w:r>
              <w:rPr>
                <w:rFonts w:ascii="Arial" w:cs="Arial" w:eastAsia="Arial" w:hAnsi="Arial"/>
                <w:sz w:val="18"/>
                <w:szCs w:val="18"/>
                <w:color w:val="auto"/>
              </w:rPr>
              <w:t>Total operating expenses</w:t>
            </w: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120,635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Operating income</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760"/>
              <w:spacing w:after="0"/>
              <w:rPr>
                <w:sz w:val="20"/>
                <w:szCs w:val="20"/>
                <w:color w:val="auto"/>
              </w:rPr>
            </w:pPr>
            <w:r>
              <w:rPr>
                <w:rFonts w:ascii="Arial" w:cs="Arial" w:eastAsia="Arial" w:hAnsi="Arial"/>
                <w:sz w:val="18"/>
                <w:szCs w:val="18"/>
                <w:color w:val="auto"/>
              </w:rPr>
              <w:t>Interest income</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Interest expense</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760"/>
              <w:spacing w:after="0"/>
              <w:rPr>
                <w:sz w:val="20"/>
                <w:szCs w:val="20"/>
                <w:color w:val="auto"/>
              </w:rPr>
            </w:pPr>
            <w:r>
              <w:rPr>
                <w:rFonts w:ascii="Arial" w:cs="Arial" w:eastAsia="Arial" w:hAnsi="Arial"/>
                <w:sz w:val="18"/>
                <w:szCs w:val="18"/>
                <w:color w:val="auto"/>
              </w:rPr>
              <w:t>Loss on extinguishment of debt</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(10,340)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Other income (expense), net</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1540"/>
              <w:spacing w:after="0"/>
              <w:rPr>
                <w:sz w:val="20"/>
                <w:szCs w:val="20"/>
                <w:color w:val="auto"/>
              </w:rPr>
            </w:pPr>
            <w:r>
              <w:rPr>
                <w:rFonts w:ascii="Arial" w:cs="Arial" w:eastAsia="Arial" w:hAnsi="Arial"/>
                <w:sz w:val="18"/>
                <w:szCs w:val="18"/>
                <w:color w:val="auto"/>
              </w:rPr>
              <w:t>Total other income (expense)</w:t>
            </w: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(28,684)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(19,735)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82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(19,729)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(Loss) earnings per common share</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760"/>
              <w:spacing w:after="0"/>
              <w:rPr>
                <w:sz w:val="20"/>
                <w:szCs w:val="20"/>
                <w:color w:val="auto"/>
              </w:rPr>
            </w:pPr>
            <w:r>
              <w:rPr>
                <w:rFonts w:ascii="Arial" w:cs="Arial" w:eastAsia="Arial" w:hAnsi="Arial"/>
                <w:sz w:val="18"/>
                <w:szCs w:val="18"/>
                <w:color w:val="auto"/>
              </w:rPr>
              <w:t>Basic</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Diluted</w:t>
            </w:r>
          </w:p>
        </w:tc>
        <w:tc>
          <w:tcPr>
            <w:tcW w:w="282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760"/>
              <w:spacing w:after="0"/>
              <w:rPr>
                <w:sz w:val="20"/>
                <w:szCs w:val="20"/>
                <w:color w:val="auto"/>
              </w:rPr>
            </w:pPr>
            <w:r>
              <w:rPr>
                <w:rFonts w:ascii="Arial" w:cs="Arial" w:eastAsia="Arial" w:hAnsi="Arial"/>
                <w:sz w:val="18"/>
                <w:szCs w:val="18"/>
                <w:color w:val="auto"/>
              </w:rPr>
              <w:t>Basic</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36,151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Diluted</w:t>
            </w: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32,745</w:t>
            </w:r>
          </w:p>
        </w:tc>
        <w:tc>
          <w:tcPr>
            <w:tcW w:w="0" w:type="dxa"/>
            <w:vAlign w:val="bottom"/>
          </w:tcPr>
          <w:p>
            <w:pPr>
              <w:spacing w:after="0"/>
              <w:rPr>
                <w:sz w:val="1"/>
                <w:szCs w:val="1"/>
                <w:color w:val="auto"/>
              </w:rPr>
            </w:pPr>
          </w:p>
        </w:tc>
      </w:tr>
      <w:tr>
        <w:trPr>
          <w:trHeight w:val="848"/>
        </w:trPr>
        <w:tc>
          <w:tcPr>
            <w:tcW w:w="20" w:type="dxa"/>
            <w:vAlign w:val="bottom"/>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jc w:val="center"/>
        <w:ind w:right="10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SEGMENT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(Unaudited, in thousands)</w:t>
            </w:r>
          </w:p>
        </w:tc>
        <w:tc>
          <w:tcPr>
            <w:tcW w:w="2640" w:type="dxa"/>
            <w:vAlign w:val="bottom"/>
          </w:tcPr>
          <w:p>
            <w:pPr>
              <w:spacing w:after="0"/>
              <w:rPr>
                <w:sz w:val="20"/>
                <w:szCs w:val="20"/>
                <w:color w:val="auto"/>
              </w:rPr>
            </w:pPr>
          </w:p>
        </w:tc>
        <w:tc>
          <w:tcPr>
            <w:tcW w:w="2600" w:type="dxa"/>
            <w:vAlign w:val="bottom"/>
            <w:gridSpan w:val="7"/>
            <w:vMerge w:val="restart"/>
          </w:tcPr>
          <w:p>
            <w:pPr>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60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Itron North America</w:t>
            </w:r>
          </w:p>
        </w:tc>
        <w:tc>
          <w:tcPr>
            <w:tcW w:w="288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139,386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Itron International</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249,132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308,648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Company</w:t>
            </w:r>
          </w:p>
        </w:tc>
        <w:tc>
          <w:tcPr>
            <w:tcW w:w="288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388,518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Itron North America</w:t>
            </w:r>
          </w:p>
        </w:tc>
        <w:tc>
          <w:tcPr>
            <w:tcW w:w="288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52,319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Itron International</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77,265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98,342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Company</w:t>
            </w:r>
          </w:p>
        </w:tc>
        <w:tc>
          <w:tcPr>
            <w:tcW w:w="288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129,584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Itron North America</w:t>
            </w:r>
          </w:p>
        </w:tc>
        <w:tc>
          <w:tcPr>
            <w:tcW w:w="288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Itron International</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9,785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unallocated</w:t>
            </w: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560"/>
              <w:spacing w:after="0"/>
              <w:rPr>
                <w:sz w:val="20"/>
                <w:szCs w:val="20"/>
                <w:color w:val="auto"/>
              </w:rPr>
            </w:pPr>
            <w:r>
              <w:rPr>
                <w:rFonts w:ascii="Arial" w:cs="Arial" w:eastAsia="Arial" w:hAnsi="Arial"/>
                <w:sz w:val="18"/>
                <w:szCs w:val="18"/>
                <w:color w:val="auto"/>
              </w:rPr>
              <w:t>Total Company</w:t>
            </w:r>
          </w:p>
        </w:tc>
        <w:tc>
          <w:tcPr>
            <w:tcW w:w="2880" w:type="dxa"/>
            <w:vAlign w:val="bottom"/>
            <w:gridSpan w:val="2"/>
          </w:tcPr>
          <w:p>
            <w:pPr>
              <w:ind w:left="26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8,949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60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Unit Shipments</w:t>
            </w: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60" w:type="dxa"/>
            <w:vAlign w:val="bottom"/>
            <w:gridSpan w:val="6"/>
            <w:shd w:val="clear" w:color="auto" w:fill="CCEEFF"/>
          </w:tcPr>
          <w:p>
            <w:pPr>
              <w:jc w:val="right"/>
              <w:ind w:right="640"/>
              <w:spacing w:after="0"/>
              <w:rPr>
                <w:sz w:val="20"/>
                <w:szCs w:val="20"/>
                <w:color w:val="auto"/>
              </w:rPr>
            </w:pPr>
            <w:r>
              <w:rPr>
                <w:rFonts w:ascii="Arial" w:cs="Arial" w:eastAsia="Arial" w:hAnsi="Arial"/>
                <w:sz w:val="18"/>
                <w:szCs w:val="18"/>
                <w:color w:val="auto"/>
              </w:rPr>
              <w:t>(units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Total meters (with or without AMR)</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Electricity - Itron North America</w:t>
            </w: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560"/>
              <w:spacing w:after="0"/>
              <w:rPr>
                <w:sz w:val="20"/>
                <w:szCs w:val="20"/>
                <w:color w:val="auto"/>
              </w:rPr>
            </w:pPr>
            <w:r>
              <w:rPr>
                <w:rFonts w:ascii="Arial" w:cs="Arial" w:eastAsia="Arial" w:hAnsi="Arial"/>
                <w:sz w:val="18"/>
                <w:szCs w:val="18"/>
                <w:color w:val="auto"/>
              </w:rPr>
              <w:t>Electricity - Itron International</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Gas</w:t>
            </w: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560"/>
              <w:spacing w:after="0"/>
              <w:rPr>
                <w:sz w:val="20"/>
                <w:szCs w:val="20"/>
                <w:color w:val="auto"/>
              </w:rPr>
            </w:pPr>
            <w:r>
              <w:rPr>
                <w:rFonts w:ascii="Arial" w:cs="Arial" w:eastAsia="Arial" w:hAnsi="Arial"/>
                <w:sz w:val="18"/>
                <w:szCs w:val="18"/>
                <w:color w:val="auto"/>
              </w:rPr>
              <w:t>Water</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meters</w:t>
            </w:r>
          </w:p>
        </w:tc>
        <w:tc>
          <w:tcPr>
            <w:tcW w:w="2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AMR units (North America and International)</w:t>
            </w: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560"/>
              <w:spacing w:after="0"/>
              <w:rPr>
                <w:sz w:val="20"/>
                <w:szCs w:val="20"/>
                <w:color w:val="auto"/>
              </w:rPr>
            </w:pPr>
            <w:r>
              <w:rPr>
                <w:rFonts w:ascii="Arial" w:cs="Arial" w:eastAsia="Arial" w:hAnsi="Arial"/>
                <w:sz w:val="18"/>
                <w:szCs w:val="18"/>
                <w:color w:val="auto"/>
              </w:rPr>
              <w:t>Meters with AMR</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AMR modules</w:t>
            </w: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900"/>
              <w:spacing w:after="0"/>
              <w:rPr>
                <w:sz w:val="20"/>
                <w:szCs w:val="20"/>
                <w:color w:val="auto"/>
              </w:rPr>
            </w:pPr>
            <w:r>
              <w:rPr>
                <w:rFonts w:ascii="Arial" w:cs="Arial" w:eastAsia="Arial" w:hAnsi="Arial"/>
                <w:sz w:val="18"/>
                <w:szCs w:val="18"/>
                <w:color w:val="auto"/>
              </w:rPr>
              <w:t>Total AMR units</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Meters with other vendors' AMR</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right="240"/>
        <w:spacing w:after="0" w:line="255" w:lineRule="auto"/>
        <w:rPr>
          <w:sz w:val="20"/>
          <w:szCs w:val="20"/>
          <w:color w:val="auto"/>
        </w:rPr>
      </w:pPr>
      <w:r>
        <w:rPr>
          <w:rFonts w:ascii="Arial" w:cs="Arial" w:eastAsia="Arial" w:hAnsi="Arial"/>
          <w:sz w:val="18"/>
          <w:szCs w:val="18"/>
          <w:color w:val="auto"/>
        </w:rPr>
        <w:t>We made refinements to our two operating segments on January 1, 2009 as we continue to integrate and refine the operations of the Actaris acquisition that was completed in 2007. The information presented for the three months ended March 31, 2008 reflects the restatement of our segment operating results based on this refinement.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 w:name="page10"/>
    <w:bookmarkEnd w:id="9"/>
    <w:p>
      <w:pPr>
        <w:jc w:val="center"/>
        <w:ind w:right="6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(Unaudited, 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March 31,</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tcPr>
          <w:p>
            <w:pPr>
              <w:ind w:left="4040"/>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309,977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6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top w:val="single" w:sz="8" w:color="CCEEFF"/>
            </w:tcBorders>
          </w:tcPr>
          <w:p>
            <w:pPr>
              <w:ind w:left="13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663,378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717,717</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294,938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307,717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Prepaid debt fees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433,198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481,886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1,215,562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1,285,853</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2,673,321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76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192,274</w:t>
            </w:r>
          </w:p>
        </w:tc>
        <w:tc>
          <w:tcPr>
            <w:tcW w:w="22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60"/>
              <w:spacing w:after="0"/>
              <w:rPr>
                <w:sz w:val="20"/>
                <w:szCs w:val="20"/>
                <w:color w:val="auto"/>
              </w:rPr>
            </w:pPr>
            <w:r>
              <w:rPr>
                <w:rFonts w:ascii="Arial" w:cs="Arial" w:eastAsia="Arial" w:hAnsi="Arial"/>
                <w:sz w:val="18"/>
                <w:szCs w:val="18"/>
                <w:color w:val="auto"/>
              </w:rPr>
              <w:t>Wages and benefits payable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Taxes payable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Current portion of warranty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60"/>
              <w:spacing w:after="0"/>
              <w:rPr>
                <w:sz w:val="20"/>
                <w:szCs w:val="20"/>
                <w:color w:val="auto"/>
              </w:rPr>
            </w:pPr>
            <w:r>
              <w:rPr>
                <w:rFonts w:ascii="Arial" w:cs="Arial" w:eastAsia="Arial" w:hAnsi="Arial"/>
                <w:sz w:val="18"/>
                <w:szCs w:val="18"/>
                <w:color w:val="auto"/>
              </w:rPr>
              <w:t>Unearned revenue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Deferred income taxes, net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3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425,785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945,566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Pension plan benefits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Other obligations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62,889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58,743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1,593,054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6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1,120,934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60"/>
              <w:spacing w:after="0"/>
              <w:rPr>
                <w:sz w:val="20"/>
                <w:szCs w:val="20"/>
                <w:color w:val="auto"/>
              </w:rPr>
            </w:pPr>
            <w:r>
              <w:rPr>
                <w:rFonts w:ascii="Arial" w:cs="Arial" w:eastAsia="Arial" w:hAnsi="Arial"/>
                <w:sz w:val="18"/>
                <w:szCs w:val="18"/>
                <w:color w:val="auto"/>
              </w:rPr>
              <w:t>Accumulated other comprehensive (loss) income, net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(53,437)</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760"/>
              <w:spacing w:after="0"/>
              <w:rPr>
                <w:sz w:val="20"/>
                <w:szCs w:val="20"/>
                <w:color w:val="auto"/>
              </w:rPr>
            </w:pPr>
            <w:r>
              <w:rPr>
                <w:rFonts w:ascii="Arial" w:cs="Arial" w:eastAsia="Arial" w:hAnsi="Arial"/>
                <w:sz w:val="18"/>
                <w:szCs w:val="18"/>
                <w:color w:val="auto"/>
              </w:rPr>
              <w:t>Cumulative effect of change in accounting principle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1,080,267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1,058,776</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34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2,673,321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88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(Unaudited, in thousands)</w:t>
            </w:r>
          </w:p>
        </w:tc>
        <w:tc>
          <w:tcPr>
            <w:tcW w:w="2600" w:type="dxa"/>
            <w:vAlign w:val="bottom"/>
            <w:gridSpan w:val="7"/>
            <w:vMerge w:val="restart"/>
          </w:tcPr>
          <w:p>
            <w:pPr>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(19,729)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3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Amortization of prepaid debt fees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320"/>
              <w:spacing w:after="0"/>
              <w:rPr>
                <w:sz w:val="20"/>
                <w:szCs w:val="20"/>
                <w:color w:val="auto"/>
              </w:rPr>
            </w:pPr>
            <w:r>
              <w:rPr>
                <w:rFonts w:ascii="Arial" w:cs="Arial" w:eastAsia="Arial" w:hAnsi="Arial"/>
                <w:sz w:val="18"/>
                <w:szCs w:val="18"/>
                <w:color w:val="auto"/>
              </w:rPr>
              <w:t>Amortization of convertible debt discount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Loss on extinguishment of debt,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32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payables, other current liabilities, and taxes payable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60"/>
              <w:spacing w:after="0"/>
              <w:rPr>
                <w:sz w:val="20"/>
                <w:szCs w:val="20"/>
                <w:color w:val="auto"/>
              </w:rPr>
            </w:pPr>
            <w:r>
              <w:rPr>
                <w:rFonts w:ascii="Arial" w:cs="Arial" w:eastAsia="Arial" w:hAnsi="Arial"/>
                <w:sz w:val="18"/>
                <w:szCs w:val="18"/>
                <w:color w:val="auto"/>
              </w:rPr>
              <w:t>Wages and benefits payable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Unearned revenue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60"/>
              <w:spacing w:after="0"/>
              <w:rPr>
                <w:sz w:val="20"/>
                <w:szCs w:val="20"/>
                <w:color w:val="auto"/>
              </w:rPr>
            </w:pPr>
            <w:r>
              <w:rPr>
                <w:rFonts w:ascii="Arial" w:cs="Arial" w:eastAsia="Arial" w:hAnsi="Arial"/>
                <w:sz w:val="18"/>
                <w:szCs w:val="18"/>
                <w:color w:val="auto"/>
              </w:rPr>
              <w:t>Warranty</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Effect of foreign exchange rate changes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Acquisitions of property, plant, and equipment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(13,712)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Business acquisitions &amp; contingent consideration, net of cash equivalents acquired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60"/>
              <w:spacing w:after="0"/>
              <w:rPr>
                <w:sz w:val="20"/>
                <w:szCs w:val="20"/>
                <w:color w:val="auto"/>
              </w:rPr>
            </w:pPr>
            <w:r>
              <w:rPr>
                <w:rFonts w:ascii="Arial" w:cs="Arial" w:eastAsia="Arial" w:hAnsi="Arial"/>
                <w:sz w:val="18"/>
                <w:szCs w:val="18"/>
                <w:color w:val="auto"/>
              </w:rPr>
              <w:t>Payments on debt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(67,551)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Issuance of common stock</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(42,299)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144,390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102,091</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95,519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5"/>
        </w:trPr>
        <w:tc>
          <w:tcPr>
            <w:tcW w:w="20" w:type="dxa"/>
            <w:vAlign w:val="bottom"/>
          </w:tcPr>
          <w:p>
            <w:pPr>
              <w:spacing w:after="0"/>
              <w:rPr>
                <w:sz w:val="24"/>
                <w:szCs w:val="24"/>
                <w:color w:val="auto"/>
              </w:rPr>
            </w:pPr>
          </w:p>
        </w:tc>
        <w:tc>
          <w:tcPr>
            <w:tcW w:w="88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Non-GAAP Financial Measures</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accompanying press release dated April 29, 2009 contains non-GAAP financial measures. To supplement our consolidated financial statements, which are prepared and presented in accordance with GAAP, we use certain non-GAAP financial measures, including non-GAAP operating income, non-GAAP net income and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Our executive compensation plans exclude non-cash charges related to amortization of intangibles and discrete cash and non-cash charges that are infrequent in nature such as in-process research and development (IPR&amp;D), purchase accounting adjustments or extinguishment of debt gains and losses. We believe that both management and investors benefit from referring to these non-GAAP financial measures in assessing our performance and when planning, forecasting and analyzing future periods. These non-GAAP financial measures also facilitate management’s internal comparisons to our historical performance and ability to service debt as well as comparisons to our competitor’s operating results. We believe these non-GAAP financial measures are useful to investors because they allow for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Non-GAAP operating income </w:t>
      </w:r>
      <w:r>
        <w:rPr>
          <w:rFonts w:ascii="Arial" w:cs="Arial" w:eastAsia="Arial" w:hAnsi="Arial"/>
          <w:sz w:val="17"/>
          <w:szCs w:val="17"/>
          <w:color w:val="auto"/>
        </w:rPr>
        <w:t>– We define non-GAAP operating income as operating income minus amortization of intangible assets. We consider this non-GAAP financial measure to be a useful metric for management and investors because it excludes the effects of expenses that are related to previous acquisitions. By excluding these expenses we believe that it is easier for management and investors to compare our financial results over multiple periods and analyze trends in our operations. For example, expenses related to amortization of intangible assets are now decreasing, which is improving GAAP operating margins, yet the improvement in GAAP operating margins due to this lower expense is not necessarily reflective of an improvement in our core business. There are some limitations related to the use of non-GAAP operating income versus operating income calculated in accordance with GAAP. Non-GAAP operating income excludes some costs that are recurring. Additionally, the expenses that we exclude in our calculation of non-GAAP operating income may differ from the expenses that our peer companies exclude when they report the results of their operations. We compensate for these limitations by providing specific information about the GAAP amounts we have excluded from our non-GAAP operating income and evaluating non-GAAP operating income together with GAAP operating income.</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Non-GAAP net income and non-GAAP EPS </w:t>
      </w:r>
      <w:r>
        <w:rPr>
          <w:rFonts w:ascii="Arial" w:cs="Arial" w:eastAsia="Arial" w:hAnsi="Arial"/>
          <w:sz w:val="16"/>
          <w:szCs w:val="16"/>
          <w:color w:val="auto"/>
        </w:rPr>
        <w:t>– We define non-GAAP net income as net income minus the expenses associated with amortization of intangible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amortization of debt fees, non-cash interest expense from the adoption of FSB APB 14-1 and non-cash loss on the extinguishment of debt. We define non-GAAP EPS as non-GAAP net income divided by the weighted average shares, on a fully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EPS. We compensate for these limitations by providing specific information regarding the GAAP amounts excluded from non-GAAP net income and non-GAAP EPS and evaluating non-GAAP net income and non-GAAP EPS together with GAAP net income and GAAP EPS.</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 We define Adjusted EBITDA as net income minus interest income, plus interest expense, tax expense, depreciation and amortization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 expenses and the non-cash loss on the extinguishment of debt.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expenses that we exclude in our calculation of Adjusted EBITDA may differ from the expenses that our peer companies exclude when they report their results. Management compensates for this limitation by providing a reconciliation of this measure to GAAP net income.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We define free cash flow as net cash provided by operating activities less acquisitions of property, plant and equipment. We believe free</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provides investors with a relevant measure of liquidity and a useful basis for assessing our ability to fund our operations and repay our debt. The same limitations described above regarding our use of non-GAAP operating income apply to our use of free cash flow. We compensate for these limitations by providing specific information regarding the GAAP amounts and reconciling to free cash flow.</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center"/>
        <w:ind w:right="10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TO MOST DIRECTLY COMPARABLE GAAP FINANCIAL MEASURES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3"/>
          </w:tcPr>
          <w:p>
            <w:pPr>
              <w:spacing w:after="0"/>
              <w:rPr>
                <w:sz w:val="20"/>
                <w:szCs w:val="20"/>
                <w:color w:val="auto"/>
              </w:rPr>
            </w:pPr>
            <w:r>
              <w:rPr>
                <w:rFonts w:ascii="Arial" w:cs="Arial" w:eastAsia="Arial" w:hAnsi="Arial"/>
                <w:sz w:val="18"/>
                <w:szCs w:val="18"/>
                <w:color w:val="auto"/>
              </w:rPr>
              <w:t>(Unaudited, in thousands, except per share data)</w:t>
            </w:r>
          </w:p>
        </w:tc>
        <w:tc>
          <w:tcPr>
            <w:tcW w:w="2080" w:type="dxa"/>
            <w:vAlign w:val="bottom"/>
          </w:tcPr>
          <w:p>
            <w:pPr>
              <w:spacing w:after="0"/>
              <w:rPr>
                <w:sz w:val="20"/>
                <w:szCs w:val="20"/>
                <w:color w:val="auto"/>
              </w:rPr>
            </w:pPr>
          </w:p>
        </w:tc>
        <w:tc>
          <w:tcPr>
            <w:tcW w:w="2600" w:type="dxa"/>
            <w:vAlign w:val="bottom"/>
            <w:gridSpan w:val="7"/>
            <w:vMerge w:val="restart"/>
          </w:tcPr>
          <w:p>
            <w:pPr>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Non-GAAP operating income:</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GAAP operating income</w:t>
            </w:r>
          </w:p>
        </w:tc>
        <w:tc>
          <w:tcPr>
            <w:tcW w:w="232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60"/>
              <w:spacing w:after="0"/>
              <w:rPr>
                <w:sz w:val="20"/>
                <w:szCs w:val="20"/>
                <w:color w:val="auto"/>
              </w:rPr>
            </w:pPr>
            <w:r>
              <w:rPr>
                <w:rFonts w:ascii="Arial" w:cs="Arial" w:eastAsia="Arial" w:hAnsi="Arial"/>
                <w:sz w:val="18"/>
                <w:szCs w:val="18"/>
                <w:color w:val="auto"/>
              </w:rPr>
              <w:t>Amortization of intangible assets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23,478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31,252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Non-GAAP operating income</w:t>
            </w:r>
          </w:p>
        </w:tc>
        <w:tc>
          <w:tcPr>
            <w:tcW w:w="232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32,427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Borders>
              <w:top w:val="single" w:sz="8" w:color="CCEEFF"/>
            </w:tcBorders>
            <w:gridSpan w:val="2"/>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60"/>
              <w:spacing w:after="0"/>
              <w:rPr>
                <w:sz w:val="20"/>
                <w:szCs w:val="20"/>
                <w:color w:val="auto"/>
              </w:rPr>
            </w:pPr>
            <w:r>
              <w:rPr>
                <w:rFonts w:ascii="Arial" w:cs="Arial" w:eastAsia="Arial" w:hAnsi="Arial"/>
                <w:sz w:val="18"/>
                <w:szCs w:val="18"/>
                <w:color w:val="auto"/>
              </w:rPr>
              <w:t>GAAP net income (loss)</w:t>
            </w:r>
          </w:p>
        </w:tc>
        <w:tc>
          <w:tcPr>
            <w:tcW w:w="232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(19,729)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Amortization of intangible assets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60"/>
              <w:spacing w:after="0"/>
              <w:rPr>
                <w:sz w:val="20"/>
                <w:szCs w:val="20"/>
                <w:color w:val="auto"/>
              </w:rPr>
            </w:pPr>
            <w:r>
              <w:rPr>
                <w:rFonts w:ascii="Arial" w:cs="Arial" w:eastAsia="Arial" w:hAnsi="Arial"/>
                <w:sz w:val="18"/>
                <w:szCs w:val="18"/>
                <w:color w:val="auto"/>
              </w:rPr>
              <w:t>Amortization of debt placement fees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w:t>
            </w:r>
          </w:p>
        </w:tc>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FSP APB 14-1 interest expense</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60"/>
              <w:spacing w:after="0"/>
              <w:rPr>
                <w:sz w:val="20"/>
                <w:szCs w:val="20"/>
                <w:color w:val="auto"/>
              </w:rPr>
            </w:pPr>
            <w:r>
              <w:rPr>
                <w:rFonts w:ascii="Arial" w:cs="Arial" w:eastAsia="Arial" w:hAnsi="Arial"/>
                <w:sz w:val="18"/>
                <w:szCs w:val="18"/>
                <w:color w:val="auto"/>
              </w:rPr>
              <w:t>Loss on extinguishment of debt, net</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9,960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Income tax effect of non-GAAP adjustments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60"/>
              <w:spacing w:after="0"/>
              <w:rPr>
                <w:sz w:val="20"/>
                <w:szCs w:val="20"/>
                <w:color w:val="auto"/>
              </w:rPr>
            </w:pPr>
            <w:r>
              <w:rPr>
                <w:rFonts w:ascii="Arial" w:cs="Arial" w:eastAsia="Arial" w:hAnsi="Arial"/>
                <w:sz w:val="18"/>
                <w:szCs w:val="18"/>
                <w:color w:val="auto"/>
              </w:rPr>
              <w:t>Non-GAAP net income</w:t>
            </w:r>
          </w:p>
        </w:tc>
        <w:tc>
          <w:tcPr>
            <w:tcW w:w="232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12,221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26,873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bottom w:val="single" w:sz="8" w:color="CCEEFF"/>
            </w:tcBorders>
            <w:gridSpan w:val="2"/>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60"/>
              <w:spacing w:after="0"/>
              <w:rPr>
                <w:sz w:val="20"/>
                <w:szCs w:val="20"/>
                <w:color w:val="auto"/>
              </w:rPr>
            </w:pPr>
            <w:r>
              <w:rPr>
                <w:rFonts w:ascii="Arial" w:cs="Arial" w:eastAsia="Arial" w:hAnsi="Arial"/>
                <w:sz w:val="18"/>
                <w:szCs w:val="18"/>
                <w:color w:val="auto"/>
              </w:rPr>
              <w:t>Non-GAAP diluted EPS</w:t>
            </w:r>
          </w:p>
        </w:tc>
        <w:tc>
          <w:tcPr>
            <w:tcW w:w="232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60"/>
              <w:spacing w:after="0"/>
              <w:rPr>
                <w:sz w:val="20"/>
                <w:szCs w:val="20"/>
                <w:color w:val="auto"/>
              </w:rPr>
            </w:pPr>
            <w:r>
              <w:rPr>
                <w:rFonts w:ascii="Arial" w:cs="Arial" w:eastAsia="Arial" w:hAnsi="Arial"/>
                <w:sz w:val="18"/>
                <w:szCs w:val="18"/>
                <w:color w:val="auto"/>
              </w:rPr>
              <w:t>Weighted average common shares outstanding - Diluted</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36,539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32,745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gridSpan w:val="2"/>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GAAP net income (loss)</w:t>
            </w:r>
          </w:p>
        </w:tc>
        <w:tc>
          <w:tcPr>
            <w:tcW w:w="232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(19,729)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60"/>
              <w:spacing w:after="0"/>
              <w:rPr>
                <w:sz w:val="20"/>
                <w:szCs w:val="20"/>
                <w:color w:val="auto"/>
              </w:rPr>
            </w:pPr>
            <w:r>
              <w:rPr>
                <w:rFonts w:ascii="Arial" w:cs="Arial" w:eastAsia="Arial" w:hAnsi="Arial"/>
                <w:sz w:val="18"/>
                <w:szCs w:val="18"/>
                <w:color w:val="auto"/>
              </w:rPr>
              <w:t>Interest income</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Interest expense</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60"/>
              <w:spacing w:after="0"/>
              <w:rPr>
                <w:sz w:val="20"/>
                <w:szCs w:val="20"/>
                <w:color w:val="auto"/>
              </w:rPr>
            </w:pPr>
            <w:r>
              <w:rPr>
                <w:rFonts w:ascii="Arial" w:cs="Arial" w:eastAsia="Arial" w:hAnsi="Arial"/>
                <w:sz w:val="18"/>
                <w:szCs w:val="18"/>
                <w:color w:val="auto"/>
              </w:rPr>
              <w:t>Income tax benefit</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60"/>
              <w:spacing w:after="0"/>
              <w:rPr>
                <w:sz w:val="20"/>
                <w:szCs w:val="20"/>
                <w:color w:val="auto"/>
              </w:rPr>
            </w:pPr>
            <w:r>
              <w:rPr>
                <w:rFonts w:ascii="Arial" w:cs="Arial" w:eastAsia="Arial" w:hAnsi="Arial"/>
                <w:sz w:val="18"/>
                <w:szCs w:val="18"/>
                <w:color w:val="auto"/>
              </w:rPr>
              <w:t>Loss on extinguishment of debt, net</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9,960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Adjusted EBITDA</w:t>
            </w:r>
          </w:p>
        </w:tc>
        <w:tc>
          <w:tcPr>
            <w:tcW w:w="232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42,771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0"/>
              </w:rPr>
              <w:t>Free Cash Flow:</w:t>
            </w:r>
          </w:p>
        </w:tc>
        <w:tc>
          <w:tcPr>
            <w:tcW w:w="55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232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42,726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Acquisitions of property, plant, and equipment</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60"/>
              <w:spacing w:after="0"/>
              <w:rPr>
                <w:sz w:val="20"/>
                <w:szCs w:val="20"/>
                <w:color w:val="auto"/>
              </w:rPr>
            </w:pPr>
            <w:r>
              <w:rPr>
                <w:rFonts w:ascii="Arial" w:cs="Arial" w:eastAsia="Arial" w:hAnsi="Arial"/>
                <w:sz w:val="18"/>
                <w:szCs w:val="18"/>
                <w:color w:val="auto"/>
              </w:rPr>
              <w:t>Free Cash Flow</w:t>
            </w:r>
          </w:p>
        </w:tc>
        <w:tc>
          <w:tcPr>
            <w:tcW w:w="232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29,014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43,303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580" w:right="180" w:hanging="386"/>
        <w:spacing w:after="0" w:line="25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On January 1, 2009, we adopted FSP APB 14-1, </w:t>
      </w:r>
      <w:r>
        <w:rPr>
          <w:rFonts w:ascii="Arial" w:cs="Arial" w:eastAsia="Arial" w:hAnsi="Arial"/>
          <w:sz w:val="18"/>
          <w:szCs w:val="18"/>
          <w:i w:val="1"/>
          <w:iCs w:val="1"/>
          <w:color w:val="auto"/>
        </w:rPr>
        <w:t>Accounting for Convertible Debt Instruments That May Be Settled in Cash upon Conversion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(Including Partial Cash Settlement), </w:t>
      </w:r>
      <w:r>
        <w:rPr>
          <w:rFonts w:ascii="Arial" w:cs="Arial" w:eastAsia="Arial" w:hAnsi="Arial"/>
          <w:sz w:val="18"/>
          <w:szCs w:val="18"/>
          <w:color w:val="auto"/>
        </w:rPr>
        <w:t>(FSP 14-1) and applied FSP 14-1 retrospectively to all periods for which our convertible debt was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excluded the additional interest expense associated with FSP 14-1 as detailed in our discussion of our use of non-GAAP financial measures.</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509"/>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2019-12-10T06:00:43Z</dcterms:created>
  <dcterms:modified xsi:type="dcterms:W3CDTF">2019-12-10T06:00:43Z</dcterms:modified>
</cp:coreProperties>
</file>