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7, 2005.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333-118782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38" w:lineRule="exact"/>
        <w:rPr>
          <w:sz w:val="24"/>
          <w:szCs w:val="24"/>
          <w:color w:val="auto"/>
        </w:rPr>
      </w:pPr>
    </w:p>
    <w:tbl>
      <w:tblPr>
        <w:tblLayout w:type="fixed"/>
        <w:tblInd w:w="218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740" w:type="dxa"/>
            <w:vAlign w:val="bottom"/>
            <w:gridSpan w:val="2"/>
          </w:tcPr>
          <w:p>
            <w:pPr>
              <w:jc w:val="center"/>
              <w:ind w:right="2472"/>
              <w:spacing w:after="0"/>
              <w:rPr>
                <w:sz w:val="20"/>
                <w:szCs w:val="20"/>
                <w:color w:val="auto"/>
              </w:rPr>
            </w:pPr>
            <w:r>
              <w:rPr>
                <w:rFonts w:ascii="Arial" w:cs="Arial" w:eastAsia="Arial" w:hAnsi="Arial"/>
                <w:sz w:val="22"/>
                <w:szCs w:val="22"/>
                <w:b w:val="1"/>
                <w:bCs w:val="1"/>
                <w:i w:val="1"/>
                <w:iCs w:val="1"/>
                <w:color w:val="auto"/>
                <w:w w:val="97"/>
              </w:rPr>
              <w:t>UNDER</w:t>
            </w:r>
          </w:p>
        </w:tc>
      </w:tr>
      <w:tr>
        <w:trPr>
          <w:trHeight w:val="275"/>
        </w:trPr>
        <w:tc>
          <w:tcPr>
            <w:tcW w:w="1680" w:type="dxa"/>
            <w:vAlign w:val="bottom"/>
          </w:tcPr>
          <w:p>
            <w:pPr>
              <w:spacing w:after="0"/>
              <w:rPr>
                <w:sz w:val="23"/>
                <w:szCs w:val="23"/>
                <w:color w:val="auto"/>
              </w:rPr>
            </w:pPr>
          </w:p>
        </w:tc>
        <w:tc>
          <w:tcPr>
            <w:tcW w:w="5500" w:type="dxa"/>
            <w:vAlign w:val="bottom"/>
            <w:gridSpan w:val="3"/>
          </w:tcPr>
          <w:p>
            <w:pPr>
              <w:jc w:val="center"/>
              <w:ind w:right="1712"/>
              <w:spacing w:after="0"/>
              <w:rPr>
                <w:sz w:val="20"/>
                <w:szCs w:val="20"/>
                <w:color w:val="auto"/>
              </w:rPr>
            </w:pPr>
            <w:r>
              <w:rPr>
                <w:rFonts w:ascii="Arial" w:cs="Arial" w:eastAsia="Arial" w:hAnsi="Arial"/>
                <w:sz w:val="22"/>
                <w:szCs w:val="22"/>
                <w:b w:val="1"/>
                <w:bCs w:val="1"/>
                <w:i w:val="1"/>
                <w:iCs w:val="1"/>
                <w:color w:val="auto"/>
                <w:w w:val="94"/>
              </w:rPr>
              <w:t>THE SECURITIES ACT OF 1933</w:t>
            </w:r>
          </w:p>
        </w:tc>
      </w:tr>
      <w:tr>
        <w:trPr>
          <w:trHeight w:val="166"/>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r>
      <w:tr>
        <w:trPr>
          <w:trHeight w:val="656"/>
        </w:trPr>
        <w:tc>
          <w:tcPr>
            <w:tcW w:w="1680" w:type="dxa"/>
            <w:vAlign w:val="bottom"/>
          </w:tcPr>
          <w:p>
            <w:pPr>
              <w:spacing w:after="0"/>
              <w:rPr>
                <w:sz w:val="24"/>
                <w:szCs w:val="24"/>
                <w:color w:val="auto"/>
              </w:rPr>
            </w:pPr>
          </w:p>
        </w:tc>
        <w:tc>
          <w:tcPr>
            <w:tcW w:w="5500" w:type="dxa"/>
            <w:vAlign w:val="bottom"/>
            <w:gridSpan w:val="3"/>
          </w:tcPr>
          <w:p>
            <w:pPr>
              <w:jc w:val="center"/>
              <w:ind w:right="173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1680" w:type="dxa"/>
            <w:vAlign w:val="bottom"/>
          </w:tcPr>
          <w:p>
            <w:pPr>
              <w:spacing w:after="0"/>
              <w:rPr>
                <w:sz w:val="15"/>
                <w:szCs w:val="15"/>
                <w:color w:val="auto"/>
              </w:rPr>
            </w:pPr>
          </w:p>
        </w:tc>
        <w:tc>
          <w:tcPr>
            <w:tcW w:w="5500" w:type="dxa"/>
            <w:vAlign w:val="bottom"/>
            <w:gridSpan w:val="3"/>
          </w:tcPr>
          <w:p>
            <w:pPr>
              <w:jc w:val="center"/>
              <w:ind w:right="173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58"/>
        </w:trPr>
        <w:tc>
          <w:tcPr>
            <w:tcW w:w="1680" w:type="dxa"/>
            <w:vAlign w:val="bottom"/>
          </w:tcPr>
          <w:p>
            <w:pPr>
              <w:jc w:val="center"/>
              <w:ind w:right="222"/>
              <w:spacing w:after="0"/>
              <w:rPr>
                <w:sz w:val="20"/>
                <w:szCs w:val="20"/>
                <w:color w:val="auto"/>
              </w:rPr>
            </w:pPr>
            <w:r>
              <w:rPr>
                <w:rFonts w:ascii="Arial" w:cs="Arial" w:eastAsia="Arial" w:hAnsi="Arial"/>
                <w:sz w:val="18"/>
                <w:szCs w:val="18"/>
                <w:b w:val="1"/>
                <w:bCs w:val="1"/>
                <w:color w:val="auto"/>
                <w:w w:val="87"/>
              </w:rPr>
              <w:t>Washington</w:t>
            </w:r>
          </w:p>
        </w:tc>
        <w:tc>
          <w:tcPr>
            <w:tcW w:w="5500" w:type="dxa"/>
            <w:vAlign w:val="bottom"/>
            <w:gridSpan w:val="3"/>
          </w:tcPr>
          <w:p>
            <w:pPr>
              <w:jc w:val="center"/>
              <w:ind w:left="4020"/>
              <w:spacing w:after="0"/>
              <w:rPr>
                <w:sz w:val="20"/>
                <w:szCs w:val="20"/>
                <w:color w:val="auto"/>
              </w:rPr>
            </w:pPr>
            <w:r>
              <w:rPr>
                <w:rFonts w:ascii="Arial" w:cs="Arial" w:eastAsia="Arial" w:hAnsi="Arial"/>
                <w:sz w:val="18"/>
                <w:szCs w:val="18"/>
                <w:b w:val="1"/>
                <w:bCs w:val="1"/>
                <w:color w:val="auto"/>
                <w:w w:val="87"/>
              </w:rPr>
              <w:t>91-1011792</w:t>
            </w:r>
          </w:p>
        </w:tc>
      </w:tr>
      <w:tr>
        <w:trPr>
          <w:trHeight w:val="149"/>
        </w:trPr>
        <w:tc>
          <w:tcPr>
            <w:tcW w:w="16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40" w:type="dxa"/>
            <w:vAlign w:val="bottom"/>
          </w:tcPr>
          <w:p>
            <w:pPr>
              <w:jc w:val="center"/>
              <w:ind w:left="11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540" w:type="dxa"/>
            <w:vAlign w:val="bottom"/>
          </w:tcPr>
          <w:p>
            <w:pPr>
              <w:jc w:val="center"/>
              <w:ind w:left="113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Russell N. Fairbanks,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2818 N. Sullivan Road, Spokane,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See Table of Additional Registrants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4800, Seattle, Washington 98101-3099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583-8888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118745</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41" w:lineRule="exact"/>
        <w:rPr>
          <w:sz w:val="24"/>
          <w:szCs w:val="24"/>
          <w:color w:val="auto"/>
        </w:rPr>
      </w:pPr>
    </w:p>
    <w:p>
      <w:pPr>
        <w:ind w:left="460"/>
        <w:spacing w:after="0"/>
        <w:tabs>
          <w:tab w:leader="none" w:pos="5660" w:val="left"/>
        </w:tabs>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soon as practicable after the effective date of this Registration Statement.</w:t>
      </w:r>
    </w:p>
    <w:p>
      <w:pPr>
        <w:spacing w:after="0" w:line="83" w:lineRule="exact"/>
        <w:rPr>
          <w:sz w:val="24"/>
          <w:szCs w:val="24"/>
          <w:color w:val="auto"/>
        </w:rPr>
      </w:pPr>
    </w:p>
    <w:p>
      <w:pPr>
        <w:ind w:right="540" w:firstLine="456"/>
        <w:spacing w:after="0" w:line="229"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100965</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0" w:lineRule="exact"/>
        <w:rPr>
          <w:sz w:val="24"/>
          <w:szCs w:val="24"/>
          <w:color w:val="auto"/>
        </w:rPr>
      </w:pPr>
    </w:p>
    <w:p>
      <w:pPr>
        <w:ind w:right="60" w:firstLine="456"/>
        <w:spacing w:after="0" w:line="256"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156210</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Primary</w:t>
            </w:r>
          </w:p>
        </w:tc>
        <w:tc>
          <w:tcPr>
            <w:tcW w:w="3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Including</w:t>
            </w:r>
          </w:p>
        </w:tc>
      </w:tr>
      <w:tr>
        <w:trPr>
          <w:trHeight w:val="149"/>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Standard</w:t>
            </w:r>
          </w:p>
        </w:tc>
        <w:tc>
          <w:tcPr>
            <w:tcW w:w="3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Zip Code and</w:t>
            </w:r>
          </w:p>
        </w:tc>
      </w:tr>
      <w:tr>
        <w:trPr>
          <w:trHeight w:val="149"/>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or Other</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Industrial</w:t>
            </w:r>
          </w:p>
        </w:tc>
        <w:tc>
          <w:tcPr>
            <w:tcW w:w="3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Telephone Number,</w:t>
            </w:r>
          </w:p>
        </w:tc>
      </w:tr>
      <w:tr>
        <w:trPr>
          <w:trHeight w:val="149"/>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Jurisdiction of</w:t>
            </w:r>
          </w:p>
        </w:tc>
        <w:tc>
          <w:tcPr>
            <w:tcW w:w="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IRS Employer</w:t>
            </w:r>
          </w:p>
        </w:tc>
        <w:tc>
          <w:tcPr>
            <w:tcW w:w="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Classification</w:t>
            </w:r>
          </w:p>
        </w:tc>
        <w:tc>
          <w:tcPr>
            <w:tcW w:w="3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Including Area Code, of</w:t>
            </w: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Exact Name of Registrant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Code</w:t>
            </w:r>
          </w:p>
        </w:tc>
        <w:tc>
          <w:tcPr>
            <w:tcW w:w="3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Registrant’s Principal</w:t>
            </w:r>
          </w:p>
        </w:tc>
      </w:t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as Specified in Its Charter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3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(EIN)</w:t>
            </w:r>
          </w:p>
        </w:tc>
        <w:tc>
          <w:tcPr>
            <w:tcW w:w="3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(SIC)</w:t>
            </w:r>
          </w:p>
        </w:tc>
        <w:tc>
          <w:tcPr>
            <w:tcW w:w="3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Executive Office</w:t>
            </w:r>
          </w:p>
        </w:tc>
      </w:tr>
      <w:tr>
        <w:trPr>
          <w:trHeight w:val="95"/>
        </w:trPr>
        <w:tc>
          <w:tcPr>
            <w:tcW w:w="188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r>
      <w:tr>
        <w:trPr>
          <w:trHeight w:val="309"/>
        </w:trPr>
        <w:tc>
          <w:tcPr>
            <w:tcW w:w="4120" w:type="dxa"/>
            <w:vAlign w:val="bottom"/>
            <w:gridSpan w:val="2"/>
          </w:tcPr>
          <w:p>
            <w:pPr>
              <w:spacing w:after="0"/>
              <w:rPr>
                <w:sz w:val="20"/>
                <w:szCs w:val="20"/>
                <w:color w:val="auto"/>
              </w:rPr>
            </w:pPr>
            <w:r>
              <w:rPr>
                <w:rFonts w:ascii="Arial" w:cs="Arial" w:eastAsia="Arial" w:hAnsi="Arial"/>
                <w:sz w:val="18"/>
                <w:szCs w:val="18"/>
                <w:color w:val="auto"/>
              </w:rPr>
              <w:t>Itron International,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5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91-1738883</w:t>
            </w:r>
          </w:p>
        </w:tc>
        <w:tc>
          <w:tcPr>
            <w:tcW w:w="14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3663</w:t>
            </w:r>
          </w:p>
        </w:tc>
        <w:tc>
          <w:tcPr>
            <w:tcW w:w="3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1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Itron Engineering Services,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5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03-0509518</w:t>
            </w:r>
          </w:p>
        </w:tc>
        <w:tc>
          <w:tcPr>
            <w:tcW w:w="14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3663</w:t>
            </w:r>
          </w:p>
        </w:tc>
        <w:tc>
          <w:tcPr>
            <w:tcW w:w="3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1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EMD Holding,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Washington</w:t>
            </w:r>
          </w:p>
        </w:tc>
        <w:tc>
          <w:tcPr>
            <w:tcW w:w="15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48-1273508</w:t>
            </w:r>
          </w:p>
        </w:tc>
        <w:tc>
          <w:tcPr>
            <w:tcW w:w="14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3663</w:t>
            </w:r>
          </w:p>
        </w:tc>
        <w:tc>
          <w:tcPr>
            <w:tcW w:w="3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1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Itron Electricity Metering, Inc.</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5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58-2209907</w:t>
            </w:r>
          </w:p>
        </w:tc>
        <w:tc>
          <w:tcPr>
            <w:tcW w:w="14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3663</w:t>
            </w:r>
          </w:p>
        </w:tc>
        <w:tc>
          <w:tcPr>
            <w:tcW w:w="3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2818 North Sullivan Road</w:t>
            </w:r>
          </w:p>
        </w:tc>
      </w:tr>
      <w:tr>
        <w:trPr>
          <w:trHeight w:val="222"/>
        </w:trPr>
        <w:tc>
          <w:tcPr>
            <w:tcW w:w="1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Spokane, WA 99216</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February 7, 2005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66040</wp:posOffset>
            </wp:positionV>
            <wp:extent cx="11493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93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Itron, Inc.</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OFFER TO EXCHANGE</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jc w:val="center"/>
        <w:ind w:right="-39"/>
        <w:spacing w:after="0"/>
        <w:rPr>
          <w:sz w:val="20"/>
          <w:szCs w:val="20"/>
          <w:color w:val="auto"/>
        </w:rPr>
      </w:pPr>
      <w:r>
        <w:rPr>
          <w:rFonts w:ascii="Arial" w:cs="Arial" w:eastAsia="Arial" w:hAnsi="Arial"/>
          <w:sz w:val="18"/>
          <w:szCs w:val="18"/>
          <w:b w:val="1"/>
          <w:bCs w:val="1"/>
          <w:color w:val="auto"/>
        </w:rPr>
        <w:t>that have been registered under the Securities Act of 1933, as amended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any and all of its outstanding</w:t>
      </w:r>
    </w:p>
    <w:p>
      <w:pPr>
        <w:jc w:val="center"/>
        <w:ind w:right="-39"/>
        <w:spacing w:after="0" w:line="220"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were issued and sold in a transaction exempt from registration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70"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color w:val="auto"/>
        </w:rPr>
        <w:t xml:space="preserve">Itron, Inc. a Washington corporation, hereby offers to exchange, upon the terms and conditions set forth in this prospectus and the accompanying letter of transmittal, up to $125 million in aggregate principal amount of its 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due 2012, which we refer to as the “exchange notes,” for the same principal amount of its outstanding 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2012, which we refer to as the “original notes.” The original notes and the exchange notes will be unsecured obligations and are and will be subordinated to all of our existing and future senior indebtedness and other liabilities and those of subsidiary guarantors.</w:t>
      </w:r>
    </w:p>
    <w:p>
      <w:pPr>
        <w:spacing w:after="0" w:line="6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terms of the exchange notes are substantially identical to the terms of the original notes, except that the exchange notes will generally be freely transferable and do not contain certain terms with respect to registration rights and liquidation damages. We will issue the exchange notes under the indenture governing the original notes. For a description of the principal terms of the exchange notes, see “Description of Notes.”</w:t>
      </w:r>
    </w:p>
    <w:p>
      <w:pPr>
        <w:spacing w:after="0" w:line="6" w:lineRule="exact"/>
        <w:rPr>
          <w:sz w:val="20"/>
          <w:szCs w:val="20"/>
          <w:color w:val="auto"/>
        </w:rPr>
      </w:pPr>
    </w:p>
    <w:p>
      <w:pPr>
        <w:ind w:left="460"/>
        <w:spacing w:after="0"/>
        <w:tabs>
          <w:tab w:leader="none" w:pos="600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5"/>
          <w:szCs w:val="15"/>
          <w:b w:val="1"/>
          <w:bCs w:val="1"/>
          <w:color w:val="auto"/>
        </w:rPr>
        <w:t xml:space="preserve">, 2005, unless we extend the offer. </w:t>
      </w:r>
      <w:r>
        <w:rPr>
          <w:rFonts w:ascii="Arial" w:cs="Arial" w:eastAsia="Arial" w:hAnsi="Arial"/>
          <w:sz w:val="15"/>
          <w:szCs w:val="15"/>
          <w:color w:val="auto"/>
        </w:rPr>
        <w:t>At any time prior to the expiration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may withdraw your tender of any original notes; otherwise, such tender is irrevocable. We will receive no cash proceeds from the exchange offer.</w:t>
      </w:r>
    </w:p>
    <w:p>
      <w:pPr>
        <w:spacing w:after="0" w:line="9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exchange notes constitute a new issue of securities for which there is no established trading market. Any original notes not tendered and accepted in the exchange offer will remain outstanding. To the extent original notes are tendered and accepted in the exchange offer, your ability to sell untendered, and tendered but unaccepted, original notes could be adversely affected. Following consummation of the exchange offer, the original notes will continue to be subject to their existing transfer restriction and we will generally have no further obligations to provide for the registration of the original notes under the Securities Act of 1933, as amended, or the Securities Act. We cannot guarantee that an active trading market will develop or give assurances as to the liquidity of the trading market for either the original notes or the exchange notes. We do not intend to apply for listing of either the original notes or the exchange notes on any exchange or market.</w:t>
      </w:r>
    </w:p>
    <w:p>
      <w:pPr>
        <w:spacing w:after="0" w:line="5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its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for a period of 180 days following the consummation of the exchange offer in connection with resales of exchange notes received in exchange for notes where the original notes were acquired by the broker-dealer as a result of market-making activities or other trading activities. We and the guarantors have agreed that, for a period of 180 days following the consummation of the exchange offer, we will make this prospectus available to any broker-dealer for use in connection with any resale of the exchange notes. See “Plan of Distribution.”</w:t>
      </w:r>
    </w:p>
    <w:p>
      <w:pPr>
        <w:spacing w:after="0" w:line="5" w:lineRule="exact"/>
        <w:rPr>
          <w:sz w:val="20"/>
          <w:szCs w:val="20"/>
          <w:color w:val="auto"/>
        </w:rPr>
      </w:pPr>
    </w:p>
    <w:p>
      <w:pPr>
        <w:ind w:right="76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the exchange notes involves certain risks. Please read “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140" w:type="dxa"/>
            <w:vAlign w:val="bottom"/>
          </w:tcPr>
          <w:p>
            <w:pPr>
              <w:spacing w:after="0"/>
              <w:rPr>
                <w:sz w:val="20"/>
                <w:szCs w:val="20"/>
                <w:color w:val="auto"/>
              </w:rPr>
            </w:pPr>
            <w:r>
              <w:rPr>
                <w:rFonts w:ascii="Arial" w:cs="Arial" w:eastAsia="Arial" w:hAnsi="Arial"/>
                <w:sz w:val="18"/>
                <w:szCs w:val="18"/>
                <w:color w:val="auto"/>
                <w:w w:val="92"/>
              </w:rPr>
              <w:t>This prospectus and the letter of transmittal are first being mailed to all holders of the original notes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113030</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 exchange notes or determined if this prospectus is truthful or complete. Any representation to the contrary is a criminal offense.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228"/>
        </w:trPr>
        <w:tc>
          <w:tcPr>
            <w:tcW w:w="2460" w:type="dxa"/>
            <w:vAlign w:val="bottom"/>
          </w:tcPr>
          <w:p>
            <w:pPr>
              <w:spacing w:after="0"/>
              <w:rPr>
                <w:sz w:val="20"/>
                <w:szCs w:val="20"/>
                <w:color w:val="auto"/>
              </w:rPr>
            </w:pPr>
            <w:r>
              <w:rPr>
                <w:rFonts w:ascii="Arial" w:cs="Arial" w:eastAsia="Arial" w:hAnsi="Arial"/>
                <w:sz w:val="18"/>
                <w:szCs w:val="18"/>
                <w:b w:val="1"/>
                <w:bCs w:val="1"/>
                <w:color w:val="auto"/>
                <w:w w:val="95"/>
              </w:rPr>
              <w:t>The date of this prospectus is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2005.</w:t>
            </w: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prospectus incorporates important business and financial information about us that is not included in or delivered with this prospectus. Documents incorporated by reference are available from us without charge. Any person, including any beneficial owners, to whom this prospectus is delivered, may obtain documents incorporated by reference in, but not delivered with, this prospectus by requesting them by telephone or in writing at the following address: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Spokane, Washington 99216-1897</w:t>
      </w:r>
    </w:p>
    <w:p>
      <w:pPr>
        <w:spacing w:after="0" w:line="9" w:lineRule="exact"/>
        <w:rPr>
          <w:sz w:val="20"/>
          <w:szCs w:val="20"/>
          <w:color w:val="auto"/>
        </w:rPr>
      </w:pPr>
    </w:p>
    <w:p>
      <w:pPr>
        <w:ind w:left="5580" w:hanging="415"/>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924-9900</w:t>
      </w:r>
    </w:p>
    <w:p>
      <w:pPr>
        <w:spacing w:after="0" w:line="32"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Attn: Investor Relations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obtain timely delivery, you must request these documents no later than five business days before the expiration date of the exchange offer.</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You should rely only on the information incorporated by reference or provided in this prospectus or any prospectus supplement. We have not authorized anyone else to provide you with information different from that contained in this prospectus. We are offering to exchange original notes for exchange notes only in jurisdictions where such offer is permitted. You should not assume that the information in the incorporated documents, this prospectus or any prospectus supplement is accurate as of any other date other than the date on the front of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This summary highlights information about our business and this offering. It does not contain all the information that you may consider important in making your investment decision. Therefore, you should read the entire prospectus carefully, including the additional documents to which we refer you, before making an investment decision. You should carefully consider, among other things, the matters discussed in “Risk Factors.” Unless otherwise noted or required by the context, in this prospectus, “we,” “our,” “us” and “Itron” refer to Itron, Inc. and its consolidated subsidiaries, including Itron Electricity Metering, Inc., or “IEM,” which consists of (a) the electricity meter manufacturing and sales operations in the United States acquired from Schlumberger Limited, or “Schlumberger” and (b) the electricity meter operations of certain foreign affiliates acquired from Schlumberger in Canada, Mexico, Taiwan and France.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Itron is a leading technology provider and source of knowledge for creating, collecting, analyzing and applying critical data about electric, gas and water usage to the global energy and water industries. We deliver value to our customers by providing industry-leading solutions for electricity metering, meter data collection, energy and water information management, demand side management and response, load forecasting, analysis and consulting services, distribution system design and optimization, web-based workforce automation, commercial and industrial (C&amp;I) customer care and residential energy and water management.</w:t>
      </w:r>
    </w:p>
    <w:p>
      <w:pPr>
        <w:spacing w:after="0" w:line="8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provided handheld computer meter data collection systems used by meter readers since Itron’s founding in 1977 and automatic meter reading (AMR) since 1986. On July 1, 2004, we completed the acquisition of Schlumberger’s electricity metering business, founded in 1899, which included electricity meter manufacturing and sales operations in the United States (U.S.) and the electricity meter operations of certain foreign affiliates of Schlumberger in Canada, Mexico, Taiwan and France. As a result of this acquisition, we are now one of the leading manufacturers of electricity meters in the U.S. and Canada.</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vision is to provide energy and water utilities and end-users with the knowledge they require to optimize the delivery and use of energy and water. Our products and services help reduce costs, increase efficiency and reliability, reduce risk, enhance regulatory and safety compliance, optimize asset utilization and improve customer service. Our solutions are comprised of hardware, software and services that integrate the creation, measurement, collection, management, application and forecasting of data, providing a platform for utilities to share and apply critical knowledge throughout the utility and with other market participants, including end-users. Our three operating segments are Hardware Solutions-Electricity Metering, Hardware Solutions-Meter Data Collection and Software Solutions.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of solutions includes:</w:t>
      </w:r>
    </w:p>
    <w:p>
      <w:pPr>
        <w:spacing w:after="0" w:line="77" w:lineRule="exact"/>
        <w:rPr>
          <w:sz w:val="20"/>
          <w:szCs w:val="20"/>
          <w:color w:val="auto"/>
        </w:rPr>
      </w:pPr>
    </w:p>
    <w:p>
      <w:pPr>
        <w:ind w:left="900" w:right="5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Hardware Solutions-Electricity Meters. </w:t>
      </w:r>
      <w:r>
        <w:rPr>
          <w:rFonts w:ascii="Arial" w:cs="Arial" w:eastAsia="Arial" w:hAnsi="Arial"/>
          <w:sz w:val="18"/>
          <w:szCs w:val="18"/>
          <w:color w:val="auto"/>
        </w:rPr>
        <w:t>We offer a diverse range of residential, C&amp;I, and generation, transmission and distribution, or GT&amp;D,</w:t>
      </w:r>
      <w:r>
        <w:rPr>
          <w:rFonts w:ascii="Arial" w:cs="Arial" w:eastAsia="Arial" w:hAnsi="Arial"/>
          <w:sz w:val="18"/>
          <w:szCs w:val="18"/>
          <w:i w:val="1"/>
          <w:iCs w:val="1"/>
          <w:color w:val="auto"/>
        </w:rPr>
        <w:t xml:space="preserve"> </w:t>
      </w:r>
      <w:r>
        <w:rPr>
          <w:rFonts w:ascii="Arial" w:cs="Arial" w:eastAsia="Arial" w:hAnsi="Arial"/>
          <w:sz w:val="18"/>
          <w:szCs w:val="18"/>
          <w:color w:val="auto"/>
        </w:rPr>
        <w:t>meters.</w:t>
      </w:r>
    </w:p>
    <w:p>
      <w:pPr>
        <w:spacing w:after="0" w:line="37"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Hardware Solutions Meter Data Collection. </w:t>
      </w:r>
      <w:r>
        <w:rPr>
          <w:rFonts w:ascii="Arial" w:cs="Arial" w:eastAsia="Arial" w:hAnsi="Arial"/>
          <w:sz w:val="18"/>
          <w:szCs w:val="18"/>
          <w:color w:val="auto"/>
        </w:rPr>
        <w:t>Our handheld systems capture and store data from meters as meter readers walk their routes. Our AMR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 for residential meters primarily involves the use of radio communications technology to collect and transmit meter data from electricity, gas and water meters.</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Software Solutions. </w:t>
      </w:r>
      <w:r>
        <w:rPr>
          <w:rFonts w:ascii="Arial" w:cs="Arial" w:eastAsia="Arial" w:hAnsi="Arial"/>
          <w:sz w:val="18"/>
          <w:szCs w:val="18"/>
          <w:color w:val="auto"/>
        </w:rPr>
        <w:t>We provide software applications for commercial, industrial and residential meter data collection, workforce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water meter data management and knowledge applications. In addition to software, we offer professional services for the implementation, system testing and integration of software as well as training, maintenance and software hosting.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320"/>
        <w:spacing w:after="0" w:line="422" w:lineRule="auto"/>
        <w:rPr>
          <w:sz w:val="20"/>
          <w:szCs w:val="20"/>
          <w:color w:val="auto"/>
        </w:rPr>
      </w:pPr>
      <w:r>
        <w:rPr>
          <w:rFonts w:ascii="Arial" w:cs="Arial" w:eastAsia="Arial" w:hAnsi="Arial"/>
          <w:sz w:val="18"/>
          <w:szCs w:val="18"/>
          <w:color w:val="auto"/>
        </w:rPr>
        <w:t xml:space="preserve">Our principal executive offices are located at 2818 North Sullivan Road, Spokane, Washington 99216. Our telephone number is (509) 924-9900. </w:t>
      </w:r>
      <w:r>
        <w:rPr>
          <w:rFonts w:ascii="Arial" w:cs="Arial" w:eastAsia="Arial" w:hAnsi="Arial"/>
          <w:sz w:val="18"/>
          <w:szCs w:val="18"/>
          <w:b w:val="1"/>
          <w:bCs w:val="1"/>
          <w:color w:val="auto"/>
        </w:rPr>
        <w:t>SUMMARY OF THE EXCHANGE OFFER</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May 2004, we completed a private offering of the original notes. We received aggregate proceeds, before discount, expenses and commissions, of $125 million from the sale of the original notes.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offering of original notes, we entered into a registration rights agreement with the initial purchaser of the original notes in which we agreed to use best efforts to deliver to you this prospectus to commence the exchange offer for the original notes within 120 days of their issuance. In the exchange offer, you are entitled to exchange your original notes for exchange notes, with substantially identical terms as the original notes. The exchange notes will be accepted for clearance through The Depository Trust Company, or the DTC, and Clearstream Banking SA, or Clearstream, or Euroclear Bank S.A.N.V., as operator of the Euroclear System, or Euroclear, with a new CUSIP and ISIN number and common code. You should read the discussions under the headings “The Exchange Offer,” “Book-Entry”; “Delivery and Form” and “Description of Notes,” respectively, for more information about the exchange offer and exchange notes. After the exchange offer is completed, you will no longer be entitled to any exchange or, with limited exceptions, registration rights for your original 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The Exchange Offer</w:t>
            </w: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89"/>
              </w:rPr>
              <w:t>We are offering to exchange up to $125 million principal amount of the exchange notes for up to $125</w:t>
            </w:r>
          </w:p>
        </w:tc>
      </w:tr>
      <w:tr>
        <w:trPr>
          <w:trHeight w:val="216"/>
        </w:trPr>
        <w:tc>
          <w:tcPr>
            <w:tcW w:w="2860" w:type="dxa"/>
            <w:vAlign w:val="bottom"/>
          </w:tcPr>
          <w:p>
            <w:pPr>
              <w:spacing w:after="0"/>
              <w:rPr>
                <w:sz w:val="18"/>
                <w:szCs w:val="18"/>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97"/>
              </w:rPr>
              <w:t>million principal amount of the original notes. Original notes may only be exchanged in $1,000</w:t>
            </w:r>
          </w:p>
        </w:tc>
      </w:tr>
      <w:tr>
        <w:trPr>
          <w:trHeight w:val="222"/>
        </w:trPr>
        <w:tc>
          <w:tcPr>
            <w:tcW w:w="2860" w:type="dxa"/>
            <w:vAlign w:val="bottom"/>
          </w:tcPr>
          <w:p>
            <w:pPr>
              <w:spacing w:after="0"/>
              <w:rPr>
                <w:sz w:val="19"/>
                <w:szCs w:val="19"/>
                <w:color w:val="auto"/>
              </w:rPr>
            </w:pPr>
          </w:p>
        </w:tc>
        <w:tc>
          <w:tcPr>
            <w:tcW w:w="6460" w:type="dxa"/>
            <w:vAlign w:val="bottom"/>
          </w:tcPr>
          <w:p>
            <w:pPr>
              <w:ind w:left="1260"/>
              <w:spacing w:after="0"/>
              <w:rPr>
                <w:sz w:val="20"/>
                <w:szCs w:val="20"/>
                <w:color w:val="auto"/>
              </w:rPr>
            </w:pPr>
            <w:r>
              <w:rPr>
                <w:rFonts w:ascii="Arial" w:cs="Arial" w:eastAsia="Arial" w:hAnsi="Arial"/>
                <w:sz w:val="18"/>
                <w:szCs w:val="18"/>
                <w:color w:val="auto"/>
              </w:rPr>
              <w:t>increments.</w:t>
            </w:r>
          </w:p>
        </w:tc>
        <w:tc>
          <w:tcPr>
            <w:tcW w:w="2060" w:type="dxa"/>
            <w:vAlign w:val="bottom"/>
          </w:tcPr>
          <w:p>
            <w:pPr>
              <w:spacing w:after="0"/>
              <w:rPr>
                <w:sz w:val="19"/>
                <w:szCs w:val="19"/>
                <w:color w:val="auto"/>
              </w:rPr>
            </w:pPr>
          </w:p>
        </w:tc>
      </w:tr>
      <w:tr>
        <w:trPr>
          <w:trHeight w:val="372"/>
        </w:trPr>
        <w:tc>
          <w:tcPr>
            <w:tcW w:w="2860" w:type="dxa"/>
            <w:vAlign w:val="bottom"/>
          </w:tcPr>
          <w:p>
            <w:pPr>
              <w:spacing w:after="0"/>
              <w:rPr>
                <w:sz w:val="24"/>
                <w:szCs w:val="24"/>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92"/>
              </w:rPr>
              <w:t>The terms of the exchange notes are identical in all material respects to those of the original notes,</w:t>
            </w:r>
          </w:p>
        </w:tc>
      </w:tr>
      <w:tr>
        <w:trPr>
          <w:trHeight w:val="216"/>
        </w:trPr>
        <w:tc>
          <w:tcPr>
            <w:tcW w:w="2860" w:type="dxa"/>
            <w:vAlign w:val="bottom"/>
          </w:tcPr>
          <w:p>
            <w:pPr>
              <w:spacing w:after="0"/>
              <w:rPr>
                <w:sz w:val="18"/>
                <w:szCs w:val="18"/>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87"/>
              </w:rPr>
              <w:t>except the exchange notes will not be subject to transfer restrictions and holders of the exchange notes,</w:t>
            </w:r>
          </w:p>
        </w:tc>
      </w:tr>
      <w:tr>
        <w:trPr>
          <w:trHeight w:val="216"/>
        </w:trPr>
        <w:tc>
          <w:tcPr>
            <w:tcW w:w="2860" w:type="dxa"/>
            <w:vAlign w:val="bottom"/>
          </w:tcPr>
          <w:p>
            <w:pPr>
              <w:spacing w:after="0"/>
              <w:rPr>
                <w:sz w:val="18"/>
                <w:szCs w:val="18"/>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95"/>
              </w:rPr>
              <w:t>with limited exceptions, will have no registration rights. Also, the exchange notes will not include</w:t>
            </w:r>
          </w:p>
        </w:tc>
      </w:tr>
      <w:tr>
        <w:trPr>
          <w:trHeight w:val="216"/>
        </w:trPr>
        <w:tc>
          <w:tcPr>
            <w:tcW w:w="2860" w:type="dxa"/>
            <w:vAlign w:val="bottom"/>
          </w:tcPr>
          <w:p>
            <w:pPr>
              <w:spacing w:after="0"/>
              <w:rPr>
                <w:sz w:val="18"/>
                <w:szCs w:val="18"/>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89"/>
              </w:rPr>
              <w:t>provisions contained in the original notes that required payment of liquidated damages in the event we</w:t>
            </w:r>
          </w:p>
        </w:tc>
      </w:tr>
      <w:tr>
        <w:trPr>
          <w:trHeight w:val="222"/>
        </w:trPr>
        <w:tc>
          <w:tcPr>
            <w:tcW w:w="2860" w:type="dxa"/>
            <w:vAlign w:val="bottom"/>
          </w:tcPr>
          <w:p>
            <w:pPr>
              <w:spacing w:after="0"/>
              <w:rPr>
                <w:sz w:val="19"/>
                <w:szCs w:val="19"/>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rPr>
              <w:t>failed to satisfy our registration obligations with respect to the original notes.</w:t>
            </w:r>
          </w:p>
        </w:tc>
      </w:tr>
      <w:tr>
        <w:trPr>
          <w:trHeight w:val="372"/>
        </w:trPr>
        <w:tc>
          <w:tcPr>
            <w:tcW w:w="2860" w:type="dxa"/>
            <w:vAlign w:val="bottom"/>
          </w:tcPr>
          <w:p>
            <w:pPr>
              <w:spacing w:after="0"/>
              <w:rPr>
                <w:sz w:val="24"/>
                <w:szCs w:val="24"/>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88"/>
              </w:rPr>
              <w:t>Original notes that are not tendered for exchange will continue to be subject to transfer restrictions and,</w:t>
            </w:r>
          </w:p>
        </w:tc>
      </w:tr>
      <w:tr>
        <w:trPr>
          <w:trHeight w:val="216"/>
        </w:trPr>
        <w:tc>
          <w:tcPr>
            <w:tcW w:w="2860" w:type="dxa"/>
            <w:vAlign w:val="bottom"/>
          </w:tcPr>
          <w:p>
            <w:pPr>
              <w:spacing w:after="0"/>
              <w:rPr>
                <w:sz w:val="18"/>
                <w:szCs w:val="18"/>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89"/>
              </w:rPr>
              <w:t>with limited exceptions, will not have registration rights. Therefore, the market for secondary resales of</w:t>
            </w:r>
          </w:p>
        </w:tc>
      </w:tr>
      <w:tr>
        <w:trPr>
          <w:trHeight w:val="222"/>
        </w:trPr>
        <w:tc>
          <w:tcPr>
            <w:tcW w:w="2860" w:type="dxa"/>
            <w:vAlign w:val="bottom"/>
          </w:tcPr>
          <w:p>
            <w:pPr>
              <w:spacing w:after="0"/>
              <w:rPr>
                <w:sz w:val="19"/>
                <w:szCs w:val="19"/>
                <w:color w:val="auto"/>
              </w:rPr>
            </w:pPr>
          </w:p>
        </w:tc>
        <w:tc>
          <w:tcPr>
            <w:tcW w:w="6460" w:type="dxa"/>
            <w:vAlign w:val="bottom"/>
          </w:tcPr>
          <w:p>
            <w:pPr>
              <w:ind w:left="1260"/>
              <w:spacing w:after="0"/>
              <w:rPr>
                <w:sz w:val="20"/>
                <w:szCs w:val="20"/>
                <w:color w:val="auto"/>
              </w:rPr>
            </w:pPr>
            <w:r>
              <w:rPr>
                <w:rFonts w:ascii="Arial" w:cs="Arial" w:eastAsia="Arial" w:hAnsi="Arial"/>
                <w:sz w:val="18"/>
                <w:szCs w:val="18"/>
                <w:color w:val="auto"/>
                <w:w w:val="91"/>
              </w:rPr>
              <w:t>original notes that are not tendered for exchange is likely to be minimal.</w:t>
            </w:r>
          </w:p>
        </w:tc>
        <w:tc>
          <w:tcPr>
            <w:tcW w:w="2060" w:type="dxa"/>
            <w:vAlign w:val="bottom"/>
          </w:tcPr>
          <w:p>
            <w:pPr>
              <w:spacing w:after="0"/>
              <w:rPr>
                <w:sz w:val="19"/>
                <w:szCs w:val="19"/>
                <w:color w:val="auto"/>
              </w:rPr>
            </w:pPr>
          </w:p>
        </w:tc>
      </w:tr>
      <w:tr>
        <w:trPr>
          <w:trHeight w:val="378"/>
        </w:trPr>
        <w:tc>
          <w:tcPr>
            <w:tcW w:w="2860" w:type="dxa"/>
            <w:vAlign w:val="bottom"/>
          </w:tcPr>
          <w:p>
            <w:pPr>
              <w:spacing w:after="0"/>
              <w:rPr>
                <w:sz w:val="24"/>
                <w:szCs w:val="24"/>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99"/>
              </w:rPr>
              <w:t>We will issue registered exchange notes promptly after the expiration of the exchange offer.</w:t>
            </w:r>
          </w:p>
        </w:tc>
      </w:tr>
      <w:tr>
        <w:trPr>
          <w:trHeight w:val="372"/>
        </w:trPr>
        <w:tc>
          <w:tcPr>
            <w:tcW w:w="2860" w:type="dxa"/>
            <w:vAlign w:val="bottom"/>
          </w:tcPr>
          <w:p>
            <w:pPr>
              <w:spacing w:after="0"/>
              <w:rPr>
                <w:sz w:val="20"/>
                <w:szCs w:val="20"/>
                <w:color w:val="auto"/>
              </w:rPr>
            </w:pPr>
            <w:r>
              <w:rPr>
                <w:rFonts w:ascii="Arial" w:cs="Arial" w:eastAsia="Arial" w:hAnsi="Arial"/>
                <w:sz w:val="18"/>
                <w:szCs w:val="18"/>
                <w:color w:val="auto"/>
              </w:rPr>
              <w:t>Expiration Date</w:t>
            </w:r>
          </w:p>
        </w:tc>
        <w:tc>
          <w:tcPr>
            <w:tcW w:w="6460" w:type="dxa"/>
            <w:vAlign w:val="bottom"/>
          </w:tcPr>
          <w:p>
            <w:pPr>
              <w:ind w:left="1260"/>
              <w:spacing w:after="0"/>
              <w:rPr>
                <w:sz w:val="20"/>
                <w:szCs w:val="20"/>
                <w:color w:val="auto"/>
              </w:rPr>
            </w:pPr>
            <w:r>
              <w:rPr>
                <w:rFonts w:ascii="Arial" w:cs="Arial" w:eastAsia="Arial" w:hAnsi="Arial"/>
                <w:sz w:val="18"/>
                <w:szCs w:val="18"/>
                <w:color w:val="auto"/>
                <w:w w:val="98"/>
              </w:rPr>
              <w:t>The exchange offer will expire at 5:00 p.m. New York City time, on</w:t>
            </w:r>
          </w:p>
        </w:tc>
        <w:tc>
          <w:tcPr>
            <w:tcW w:w="2060" w:type="dxa"/>
            <w:vAlign w:val="bottom"/>
          </w:tcPr>
          <w:p>
            <w:pPr>
              <w:ind w:left="140"/>
              <w:spacing w:after="0"/>
              <w:rPr>
                <w:sz w:val="20"/>
                <w:szCs w:val="20"/>
                <w:color w:val="auto"/>
              </w:rPr>
            </w:pPr>
            <w:r>
              <w:rPr>
                <w:rFonts w:ascii="Arial" w:cs="Arial" w:eastAsia="Arial" w:hAnsi="Arial"/>
                <w:sz w:val="18"/>
                <w:szCs w:val="18"/>
                <w:color w:val="auto"/>
                <w:w w:val="87"/>
              </w:rPr>
              <w:t>, 2005, unless we decide to</w:t>
            </w:r>
          </w:p>
        </w:tc>
      </w:tr>
      <w:tr>
        <w:trPr>
          <w:trHeight w:val="216"/>
        </w:trPr>
        <w:tc>
          <w:tcPr>
            <w:tcW w:w="2860" w:type="dxa"/>
            <w:vAlign w:val="bottom"/>
          </w:tcPr>
          <w:p>
            <w:pPr>
              <w:spacing w:after="0"/>
              <w:rPr>
                <w:sz w:val="18"/>
                <w:szCs w:val="18"/>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93"/>
              </w:rPr>
              <w:t>extend the expiration date. Please read “The Exchange Offer – Extensions, Delay in Acceptance,</w:t>
            </w:r>
          </w:p>
        </w:tc>
      </w:tr>
      <w:tr>
        <w:trPr>
          <w:trHeight w:val="222"/>
        </w:trPr>
        <w:tc>
          <w:tcPr>
            <w:tcW w:w="2860" w:type="dxa"/>
            <w:vAlign w:val="bottom"/>
          </w:tcPr>
          <w:p>
            <w:pPr>
              <w:spacing w:after="0"/>
              <w:rPr>
                <w:sz w:val="19"/>
                <w:szCs w:val="19"/>
                <w:color w:val="auto"/>
              </w:rPr>
            </w:pP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rPr>
              <w:t>Termination or Amendment” for more information about extending the expiration date.</w:t>
            </w:r>
          </w:p>
        </w:tc>
      </w:tr>
      <w:tr>
        <w:trPr>
          <w:trHeight w:val="372"/>
        </w:trPr>
        <w:tc>
          <w:tcPr>
            <w:tcW w:w="2860" w:type="dxa"/>
            <w:vAlign w:val="bottom"/>
          </w:tcPr>
          <w:p>
            <w:pPr>
              <w:spacing w:after="0"/>
              <w:rPr>
                <w:sz w:val="20"/>
                <w:szCs w:val="20"/>
                <w:color w:val="auto"/>
              </w:rPr>
            </w:pPr>
            <w:r>
              <w:rPr>
                <w:rFonts w:ascii="Arial" w:cs="Arial" w:eastAsia="Arial" w:hAnsi="Arial"/>
                <w:sz w:val="18"/>
                <w:szCs w:val="18"/>
                <w:color w:val="auto"/>
              </w:rPr>
              <w:t>Withdrawal of Tenders</w:t>
            </w:r>
          </w:p>
        </w:tc>
        <w:tc>
          <w:tcPr>
            <w:tcW w:w="8520" w:type="dxa"/>
            <w:vAlign w:val="bottom"/>
            <w:gridSpan w:val="2"/>
          </w:tcPr>
          <w:p>
            <w:pPr>
              <w:ind w:left="1260"/>
              <w:spacing w:after="0"/>
              <w:rPr>
                <w:sz w:val="20"/>
                <w:szCs w:val="20"/>
                <w:color w:val="auto"/>
              </w:rPr>
            </w:pPr>
            <w:r>
              <w:rPr>
                <w:rFonts w:ascii="Arial" w:cs="Arial" w:eastAsia="Arial" w:hAnsi="Arial"/>
                <w:sz w:val="18"/>
                <w:szCs w:val="18"/>
                <w:color w:val="auto"/>
                <w:w w:val="90"/>
              </w:rPr>
              <w:t>You may withdraw your tender of original notes at any time prior to the expiration date. We will return</w:t>
            </w:r>
          </w:p>
        </w:tc>
      </w:tr>
      <w:tr>
        <w:trPr>
          <w:trHeight w:val="222"/>
        </w:trPr>
        <w:tc>
          <w:tcPr>
            <w:tcW w:w="2860" w:type="dxa"/>
            <w:vAlign w:val="bottom"/>
          </w:tcPr>
          <w:p>
            <w:pPr>
              <w:spacing w:after="0"/>
              <w:rPr>
                <w:sz w:val="19"/>
                <w:szCs w:val="19"/>
                <w:color w:val="auto"/>
              </w:rPr>
            </w:pPr>
          </w:p>
        </w:tc>
        <w:tc>
          <w:tcPr>
            <w:tcW w:w="6460" w:type="dxa"/>
            <w:vAlign w:val="bottom"/>
          </w:tcPr>
          <w:p>
            <w:pPr>
              <w:ind w:left="1260"/>
              <w:spacing w:after="0"/>
              <w:rPr>
                <w:sz w:val="20"/>
                <w:szCs w:val="20"/>
                <w:color w:val="auto"/>
              </w:rPr>
            </w:pPr>
            <w:r>
              <w:rPr>
                <w:rFonts w:ascii="Arial" w:cs="Arial" w:eastAsia="Arial" w:hAnsi="Arial"/>
                <w:sz w:val="18"/>
                <w:szCs w:val="18"/>
                <w:color w:val="auto"/>
              </w:rPr>
              <w:t>to you, without charge, promptly</w:t>
            </w:r>
          </w:p>
        </w:tc>
        <w:tc>
          <w:tcPr>
            <w:tcW w:w="2060" w:type="dxa"/>
            <w:vAlign w:val="bottom"/>
          </w:tcPr>
          <w:p>
            <w:pPr>
              <w:spacing w:after="0"/>
              <w:rPr>
                <w:sz w:val="19"/>
                <w:szCs w:val="19"/>
                <w:color w:val="auto"/>
              </w:rPr>
            </w:pPr>
          </w:p>
        </w:tc>
      </w:tr>
      <w:tr>
        <w:trPr>
          <w:trHeight w:val="378"/>
        </w:trPr>
        <w:tc>
          <w:tcPr>
            <w:tcW w:w="2860" w:type="dxa"/>
            <w:vAlign w:val="bottom"/>
          </w:tcPr>
          <w:p>
            <w:pPr>
              <w:spacing w:after="0"/>
              <w:rPr>
                <w:sz w:val="24"/>
                <w:szCs w:val="24"/>
                <w:color w:val="auto"/>
              </w:rPr>
            </w:pPr>
          </w:p>
        </w:tc>
        <w:tc>
          <w:tcPr>
            <w:tcW w:w="6460" w:type="dxa"/>
            <w:vAlign w:val="bottom"/>
          </w:tcPr>
          <w:p>
            <w:pPr>
              <w:ind w:left="2820"/>
              <w:spacing w:after="0"/>
              <w:rPr>
                <w:sz w:val="20"/>
                <w:szCs w:val="20"/>
                <w:color w:val="auto"/>
              </w:rPr>
            </w:pPr>
            <w:r>
              <w:rPr>
                <w:rFonts w:ascii="Arial" w:cs="Arial" w:eastAsia="Arial" w:hAnsi="Arial"/>
                <w:sz w:val="18"/>
                <w:szCs w:val="18"/>
                <w:color w:val="auto"/>
              </w:rPr>
              <w:t>2</w:t>
            </w:r>
          </w:p>
        </w:tc>
        <w:tc>
          <w:tcPr>
            <w:tcW w:w="20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68" w:lineRule="auto"/>
        <w:rPr>
          <w:sz w:val="20"/>
          <w:szCs w:val="20"/>
          <w:color w:val="auto"/>
        </w:rPr>
      </w:pPr>
      <w:r>
        <w:rPr>
          <w:rFonts w:ascii="Arial" w:cs="Arial" w:eastAsia="Arial" w:hAnsi="Arial"/>
          <w:sz w:val="18"/>
          <w:szCs w:val="18"/>
          <w:color w:val="auto"/>
        </w:rPr>
        <w:t>after the expiration or termination of the exchange offer any original notes that you tendered but that were not accepted for exchange.</w:t>
      </w:r>
    </w:p>
    <w:p>
      <w:pPr>
        <w:sectPr>
          <w:pgSz w:w="11900" w:h="16838" w:orient="portrait"/>
          <w:cols w:equalWidth="0" w:num="1">
            <w:col w:w="11400"/>
          </w:cols>
          <w:pgMar w:left="240" w:top="459" w:right="25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We will not be required to accept original notes for exchange:</w:t>
      </w:r>
    </w:p>
    <w:p>
      <w:pPr>
        <w:spacing w:after="0" w:line="12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if the exchange offer would be unlawful or would violate any interpretation of the SEC staff, or</w:t>
      </w:r>
    </w:p>
    <w:p>
      <w:pPr>
        <w:spacing w:after="0" w:line="37"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60"/>
        <w:spacing w:after="0" w:line="268" w:lineRule="auto"/>
        <w:rPr>
          <w:sz w:val="20"/>
          <w:szCs w:val="20"/>
          <w:color w:val="auto"/>
        </w:rPr>
      </w:pPr>
      <w:r>
        <w:rPr>
          <w:rFonts w:ascii="Arial" w:cs="Arial" w:eastAsia="Arial" w:hAnsi="Arial"/>
          <w:sz w:val="18"/>
          <w:szCs w:val="18"/>
          <w:color w:val="auto"/>
        </w:rPr>
        <w:t>if any legal action has been instituted or threatened that would impair our ability to proceed with the exchange offer.</w:t>
      </w:r>
    </w:p>
    <w:p>
      <w:pPr>
        <w:spacing w:after="0" w:line="118"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ind w:left="4120" w:right="220"/>
        <w:spacing w:after="0" w:line="259" w:lineRule="auto"/>
        <w:rPr>
          <w:sz w:val="20"/>
          <w:szCs w:val="20"/>
          <w:color w:val="auto"/>
        </w:rPr>
      </w:pPr>
      <w:r>
        <w:rPr>
          <w:rFonts w:ascii="Arial" w:cs="Arial" w:eastAsia="Arial" w:hAnsi="Arial"/>
          <w:sz w:val="18"/>
          <w:szCs w:val="18"/>
          <w:color w:val="auto"/>
        </w:rPr>
        <w:t>The exchange offer is not conditioned on any minimum aggregate principal amount of original notes being tendered. Please read “The Exchange Offer – Conditions to the Exchange Offer” for more information about the conditions to the exchange offer.</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your original notes are held through DTC and you wish to participate in the exchange offer, you may do so through DTC’s automated tender offer program. If you tender under this program, you will agree to be bound by the letter of transmittal that we are providing with this prospectus as though you had signed the letter of transmittal. By signing or agreeing to be bound by the letter of transmittal, you will represent to us that, among other things:</w:t>
      </w:r>
    </w:p>
    <w:p>
      <w:pPr>
        <w:spacing w:after="0" w:line="3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any exchange notes that you receive will be acquired in the ordinary course of your business;</w:t>
      </w:r>
    </w:p>
    <w:p>
      <w:pPr>
        <w:spacing w:after="0" w:line="37"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700"/>
        <w:spacing w:after="0" w:line="325" w:lineRule="auto"/>
        <w:rPr>
          <w:sz w:val="20"/>
          <w:szCs w:val="20"/>
          <w:color w:val="auto"/>
        </w:rPr>
      </w:pPr>
      <w:r>
        <w:rPr>
          <w:rFonts w:ascii="Arial" w:cs="Arial" w:eastAsia="Arial" w:hAnsi="Arial"/>
          <w:sz w:val="16"/>
          <w:szCs w:val="16"/>
          <w:color w:val="auto"/>
        </w:rPr>
        <w:t>you have no arrangement or understanding with any person to participate in the distribution of the original notes or the exchange notes;</w:t>
      </w:r>
    </w:p>
    <w:p>
      <w:pPr>
        <w:spacing w:after="0" w:line="1"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you are not our “affiliate,” as defined in Rule 405 under the Securities Act, or, if you are our affiliate, you will comply with any applicable registration and prospectus delivery requirement of the Securities Act;</w:t>
      </w:r>
    </w:p>
    <w:p>
      <w:pPr>
        <w:spacing w:after="0" w:line="46"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if you are not a broker-dealer, you are not engaged in and do not intend to engage in the distribution of the exchange notes; and</w:t>
      </w:r>
    </w:p>
    <w:p>
      <w:pPr>
        <w:spacing w:after="0" w:line="37"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Arial" w:cs="Arial" w:eastAsia="Arial" w:hAnsi="Arial"/>
          <w:sz w:val="18"/>
          <w:szCs w:val="18"/>
          <w:color w:val="auto"/>
        </w:rPr>
        <w:t>if you are a broker-dealer that will receive exchange notes for your own account in exchange for original notes that you acquired as a result of market-making activities or other trading activities, you will deliver a prospectus in connection with any resale of such exchange notes.</w:t>
      </w:r>
    </w:p>
    <w:p>
      <w:pPr>
        <w:spacing w:after="0" w:line="130" w:lineRule="exact"/>
        <w:rPr>
          <w:sz w:val="20"/>
          <w:szCs w:val="20"/>
          <w:color w:val="auto"/>
        </w:rPr>
      </w:pPr>
    </w:p>
    <w:p>
      <w:pPr>
        <w:sectPr>
          <w:pgSz w:w="11900" w:h="16838" w:orient="portrait"/>
          <w:cols w:equalWidth="0" w:num="2">
            <w:col w:w="4740" w:space="380"/>
            <w:col w:w="6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Special Procedures for Beneficial Owner</w:t>
      </w:r>
    </w:p>
    <w:p>
      <w:pPr>
        <w:spacing w:after="0" w:line="20" w:lineRule="exact"/>
        <w:rPr>
          <w:sz w:val="20"/>
          <w:szCs w:val="20"/>
          <w:color w:val="auto"/>
        </w:rPr>
      </w:pPr>
      <w:r>
        <w:rPr>
          <w:sz w:val="20"/>
          <w:szCs w:val="20"/>
          <w:color w:val="auto"/>
        </w:rPr>
        <w:br w:type="column"/>
      </w:r>
    </w:p>
    <w:p>
      <w:pPr>
        <w:jc w:val="both"/>
        <w:ind w:right="400"/>
        <w:spacing w:after="0" w:line="305" w:lineRule="auto"/>
        <w:rPr>
          <w:sz w:val="20"/>
          <w:szCs w:val="20"/>
          <w:color w:val="auto"/>
        </w:rPr>
      </w:pPr>
      <w:r>
        <w:rPr>
          <w:rFonts w:ascii="Arial" w:cs="Arial" w:eastAsia="Arial" w:hAnsi="Arial"/>
          <w:sz w:val="15"/>
          <w:szCs w:val="15"/>
          <w:color w:val="auto"/>
        </w:rPr>
        <w:t>If you own a beneficial interest in original notes that are registered in the name of a broker, dealer, commercial bank, trust company or other nominee and you wish to tender the original notes in the</w:t>
      </w:r>
    </w:p>
    <w:p>
      <w:pPr>
        <w:spacing w:after="0" w:line="1"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440"/>
        <w:spacing w:after="0" w:line="361" w:lineRule="auto"/>
        <w:rPr>
          <w:sz w:val="20"/>
          <w:szCs w:val="20"/>
          <w:color w:val="auto"/>
        </w:rPr>
      </w:pPr>
      <w:r>
        <w:rPr>
          <w:rFonts w:ascii="Arial" w:cs="Arial" w:eastAsia="Arial" w:hAnsi="Arial"/>
          <w:sz w:val="15"/>
          <w:szCs w:val="15"/>
          <w:color w:val="auto"/>
        </w:rPr>
        <w:t>exchange offer, please contact the registered holder as soon as possible and instruct the registered holder to tender on your behalf and to comply with our instructions described in this prospectus.</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You must tender your original notes according to the guaranteed delivery procedures described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Exchange Offer – Guaranteed Delivery Procedures” if any of the following apply:</w:t>
      </w:r>
    </w:p>
    <w:p>
      <w:pPr>
        <w:spacing w:after="0" w:line="84"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wish to tender your original notes but they are not immediately available;</w:t>
      </w:r>
    </w:p>
    <w:p>
      <w:pPr>
        <w:spacing w:after="0" w:line="127" w:lineRule="exact"/>
        <w:rPr>
          <w:sz w:val="20"/>
          <w:szCs w:val="20"/>
          <w:color w:val="auto"/>
        </w:rPr>
      </w:pPr>
    </w:p>
    <w:p>
      <w:pPr>
        <w:sectPr>
          <w:pgSz w:w="11900" w:h="16838" w:orient="portrait"/>
          <w:cols w:equalWidth="0" w:num="2">
            <w:col w:w="4740" w:space="380"/>
            <w:col w:w="6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you cannot deliver your original notes, the letter of transmittal or any other required documents to the exchange agent prior to the expiration date; or</w:t>
      </w:r>
    </w:p>
    <w:p>
      <w:pPr>
        <w:spacing w:after="0" w:line="37" w:lineRule="exact"/>
        <w:rPr>
          <w:sz w:val="20"/>
          <w:szCs w:val="20"/>
          <w:color w:val="auto"/>
        </w:rPr>
      </w:pPr>
    </w:p>
    <w:p>
      <w:pPr>
        <w:sectPr>
          <w:pgSz w:w="11900" w:h="16838" w:orient="portrait"/>
          <w:cols w:equalWidth="0" w:num="2">
            <w:col w:w="4740" w:space="380"/>
            <w:col w:w="6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you cannot comply with the applicable procedures under DTC’s automated tender offer program prior to the expiration date.</w:t>
      </w:r>
    </w:p>
    <w:p>
      <w:pPr>
        <w:spacing w:after="0" w:line="118" w:lineRule="exact"/>
        <w:rPr>
          <w:sz w:val="20"/>
          <w:szCs w:val="20"/>
          <w:color w:val="auto"/>
        </w:rPr>
      </w:pPr>
    </w:p>
    <w:p>
      <w:pPr>
        <w:sectPr>
          <w:pgSz w:w="11900" w:h="16838" w:orient="portrait"/>
          <w:cols w:equalWidth="0" w:num="2">
            <w:col w:w="4740" w:space="380"/>
            <w:col w:w="6240"/>
          </w:cols>
          <w:pgMar w:left="240" w:top="459" w:right="299" w:bottom="1440" w:gutter="0" w:footer="0" w:header="0"/>
          <w:type w:val="continuous"/>
        </w:sect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Except as indicated in this prospectus, we believe that the exchange notes may be offered for resale, resold and otherwise transferred without compliance with the registration and prospectus delivery requirements of the Securities Act provided that:</w:t>
      </w:r>
    </w:p>
    <w:p>
      <w:pPr>
        <w:spacing w:after="0" w:line="59"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are acquiring the exchange notes in the ordinary course of your business;</w:t>
      </w:r>
    </w:p>
    <w:p>
      <w:pPr>
        <w:spacing w:after="0" w:line="138" w:lineRule="exact"/>
        <w:rPr>
          <w:sz w:val="20"/>
          <w:szCs w:val="20"/>
          <w:color w:val="auto"/>
        </w:rPr>
      </w:pPr>
    </w:p>
    <w:p>
      <w:pPr>
        <w:sectPr>
          <w:pgSz w:w="11900" w:h="16838" w:orient="portrait"/>
          <w:cols w:equalWidth="0" w:num="2">
            <w:col w:w="4740" w:space="380"/>
            <w:col w:w="6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you are not participating, do not intend to participate and have no arrangement or understanding with any person to participate in the distribution of the exchange notes; and</w:t>
      </w:r>
    </w:p>
    <w:p>
      <w:pPr>
        <w:spacing w:after="0" w:line="46" w:lineRule="exact"/>
        <w:rPr>
          <w:sz w:val="20"/>
          <w:szCs w:val="20"/>
          <w:color w:val="auto"/>
        </w:rPr>
      </w:pPr>
    </w:p>
    <w:p>
      <w:pPr>
        <w:sectPr>
          <w:pgSz w:w="11900" w:h="16838" w:orient="portrait"/>
          <w:cols w:equalWidth="0" w:num="2">
            <w:col w:w="4740" w:space="380"/>
            <w:col w:w="6240"/>
          </w:cols>
          <w:pgMar w:left="240" w:top="459" w:right="29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our affiliate.</w:t>
      </w:r>
    </w:p>
    <w:p>
      <w:pPr>
        <w:spacing w:after="0" w:line="200" w:lineRule="exact"/>
        <w:rPr>
          <w:sz w:val="20"/>
          <w:szCs w:val="20"/>
          <w:color w:val="auto"/>
        </w:rPr>
      </w:pPr>
    </w:p>
    <w:p>
      <w:pPr>
        <w:sectPr>
          <w:pgSz w:w="11900" w:h="16838" w:orient="portrait"/>
          <w:cols w:equalWidth="0" w:num="2">
            <w:col w:w="4740" w:space="380"/>
            <w:col w:w="6240"/>
          </w:cols>
          <w:pgMar w:left="240" w:top="459" w:right="299" w:bottom="1440" w:gutter="0" w:footer="0" w:header="0"/>
          <w:type w:val="continuous"/>
        </w:sectPr>
      </w:pPr>
    </w:p>
    <w:p>
      <w:pPr>
        <w:spacing w:after="0" w:line="8" w:lineRule="exact"/>
        <w:rPr>
          <w:sz w:val="20"/>
          <w:szCs w:val="20"/>
          <w:color w:val="auto"/>
        </w:rPr>
      </w:pPr>
    </w:p>
    <w:p>
      <w:pPr>
        <w:ind w:left="4120" w:right="20"/>
        <w:spacing w:after="0" w:line="291" w:lineRule="auto"/>
        <w:rPr>
          <w:sz w:val="20"/>
          <w:szCs w:val="20"/>
          <w:color w:val="auto"/>
        </w:rPr>
      </w:pPr>
      <w:r>
        <w:rPr>
          <w:rFonts w:ascii="Arial" w:cs="Arial" w:eastAsia="Arial" w:hAnsi="Arial"/>
          <w:sz w:val="16"/>
          <w:szCs w:val="16"/>
          <w:color w:val="auto"/>
        </w:rPr>
        <w:t>Our belief is based on existing interpretations of the Securities Act by the SEC staff set forth in several no-action letters to third parties. We do not intend to seek our own no-action letter, and there is no assurance that the SEC staff would make a similar determination with respect to the exchange notes. If this interpretation is inapplicable, and you transfer any exchange notes without delivering a prospectus meeting the requirements, you may incur liability under the Securities Act. We do not assume, or indemnify holders against such liability.</w:t>
      </w:r>
    </w:p>
    <w:p>
      <w:pPr>
        <w:spacing w:after="0" w:line="120" w:lineRule="exact"/>
        <w:rPr>
          <w:sz w:val="20"/>
          <w:szCs w:val="20"/>
          <w:color w:val="auto"/>
        </w:rPr>
      </w:pPr>
    </w:p>
    <w:p>
      <w:pPr>
        <w:ind w:left="4120"/>
        <w:spacing w:after="0" w:line="254" w:lineRule="auto"/>
        <w:rPr>
          <w:sz w:val="20"/>
          <w:szCs w:val="20"/>
          <w:color w:val="auto"/>
        </w:rPr>
      </w:pPr>
      <w:r>
        <w:rPr>
          <w:rFonts w:ascii="Arial" w:cs="Arial" w:eastAsia="Arial" w:hAnsi="Arial"/>
          <w:sz w:val="18"/>
          <w:szCs w:val="18"/>
          <w:color w:val="auto"/>
        </w:rPr>
        <w:t>Each broker-dealer that is issued exchange notes for its own account in exchange for original notes that were acquired by the broker-dealer as a result of market-making activities or other trading activities must acknowledge that it will deliver a prospectus meeting the requirements of the Securities Act in connection with any resale of the exchange notes. To the extent described in “Plan of Distribution,” a broker-dealer may use this prospectus for any offer to resell, resale or other retransfer of the exchange notes.</w:t>
      </w:r>
    </w:p>
    <w:p>
      <w:pPr>
        <w:sectPr>
          <w:pgSz w:w="11900" w:h="16838" w:orient="portrait"/>
          <w:cols w:equalWidth="0" w:num="1">
            <w:col w:w="11360"/>
          </w:cols>
          <w:pgMar w:left="240" w:top="459" w:right="29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Federal Income Tax Considerations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exchange of original notes for exchange notes will not be a taxable event for United States federal income tax purposes. Please see “United States Federal Income Tax Considerations.”</w:t>
      </w:r>
    </w:p>
    <w:p>
      <w:pPr>
        <w:spacing w:after="0" w:line="200" w:lineRule="exact"/>
        <w:rPr>
          <w:sz w:val="20"/>
          <w:szCs w:val="20"/>
          <w:color w:val="auto"/>
        </w:rPr>
      </w:pPr>
    </w:p>
    <w:p>
      <w:pPr>
        <w:sectPr>
          <w:pgSz w:w="11900" w:h="16838" w:orient="portrait"/>
          <w:cols w:equalWidth="0" w:num="2">
            <w:col w:w="3500" w:space="620"/>
            <w:col w:w="7240"/>
          </w:cols>
          <w:pgMar w:left="240" w:top="459" w:right="299" w:bottom="1440" w:gutter="0" w:footer="0" w:header="0"/>
          <w:type w:val="continuous"/>
        </w:sectPr>
      </w:pP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6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Registration Rights</w:t>
      </w:r>
      <w:r>
        <w:rPr>
          <w:sz w:val="20"/>
          <w:szCs w:val="20"/>
          <w:color w:val="auto"/>
        </w:rPr>
        <w:tab/>
      </w:r>
      <w:r>
        <w:rPr>
          <w:rFonts w:ascii="Arial" w:cs="Arial" w:eastAsia="Arial" w:hAnsi="Arial"/>
          <w:sz w:val="15"/>
          <w:szCs w:val="15"/>
          <w:color w:val="auto"/>
        </w:rPr>
        <w:t>If we fail to complete the exchange offer as required by the registration rights agreement, we may be</w:t>
      </w:r>
    </w:p>
    <w:p>
      <w:pPr>
        <w:spacing w:after="0" w:line="15" w:lineRule="exact"/>
        <w:rPr>
          <w:sz w:val="20"/>
          <w:szCs w:val="20"/>
          <w:color w:val="auto"/>
        </w:rPr>
      </w:pPr>
    </w:p>
    <w:p>
      <w:pPr>
        <w:ind w:left="4120" w:right="20"/>
        <w:spacing w:after="0" w:line="255" w:lineRule="auto"/>
        <w:rPr>
          <w:sz w:val="20"/>
          <w:szCs w:val="20"/>
          <w:color w:val="auto"/>
        </w:rPr>
      </w:pPr>
      <w:r>
        <w:rPr>
          <w:rFonts w:ascii="Arial" w:cs="Arial" w:eastAsia="Arial" w:hAnsi="Arial"/>
          <w:sz w:val="18"/>
          <w:szCs w:val="18"/>
          <w:color w:val="auto"/>
        </w:rPr>
        <w:t>obligated to pay additional interest to holders of the original notes. Please see “Description of Notes – Registration Rights; Liquidated Damages” for more information regarding your rights as a holder of the original notes.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AGENT</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appointed Deutsche Bank Trust Company Americas as exchange agent for the exchange offer. Please direct questions and requests for assistance, requests for additional copies of this prospectus or of the letter of transmittal and requests for the notice of guaranteed delivery to the exchange agent. As described in more detail under the caption “The Exchange Offer – Procedures for Tendering, “ if you are not tendering under DTC’s automated tender offer program, you should send the letter of transmittal and any other required documents to the exchange agent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Deliver to</w:t>
      </w:r>
      <w:r>
        <w:rPr>
          <w:rFonts w:ascii="Arial" w:cs="Arial" w:eastAsia="Arial" w:hAnsi="Arial"/>
          <w:sz w:val="18"/>
          <w:szCs w:val="18"/>
          <w:b w:val="1"/>
          <w:bCs w:val="1"/>
          <w:color w:val="auto"/>
        </w:rPr>
        <w:t>: Deutsche Bank Trust Company Americas</w:t>
      </w:r>
    </w:p>
    <w:p>
      <w:pPr>
        <w:sectPr>
          <w:pgSz w:w="11900" w:h="16838" w:orient="portrait"/>
          <w:cols w:equalWidth="0" w:num="1">
            <w:col w:w="11420"/>
          </w:cols>
          <w:pgMar w:left="240" w:top="459" w:right="239" w:bottom="1440" w:gutter="0" w:footer="0" w:header="0"/>
        </w:sectPr>
      </w:pPr>
    </w:p>
    <w:p>
      <w:pPr>
        <w:spacing w:after="0" w:line="164"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i w:val="1"/>
          <w:iCs w:val="1"/>
          <w:color w:val="auto"/>
        </w:rPr>
        <w:t>By Hand:</w:t>
      </w:r>
      <w:r>
        <w:rPr>
          <w:sz w:val="20"/>
          <w:szCs w:val="20"/>
          <w:color w:val="auto"/>
        </w:rPr>
        <w:tab/>
      </w:r>
      <w:r>
        <w:rPr>
          <w:rFonts w:ascii="Arial" w:cs="Arial" w:eastAsia="Arial" w:hAnsi="Arial"/>
          <w:sz w:val="16"/>
          <w:szCs w:val="16"/>
          <w:i w:val="1"/>
          <w:iCs w:val="1"/>
          <w:color w:val="auto"/>
        </w:rPr>
        <w:t>By Registered or Certified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By Overnight Mail or Courier between 8 a.m. and 4:30 p.m.:</w:t>
      </w:r>
    </w:p>
    <w:p>
      <w:pPr>
        <w:spacing w:after="0" w:line="78" w:lineRule="exact"/>
        <w:rPr>
          <w:sz w:val="20"/>
          <w:szCs w:val="20"/>
          <w:color w:val="auto"/>
        </w:rPr>
      </w:pPr>
    </w:p>
    <w:p>
      <w:pPr>
        <w:sectPr>
          <w:pgSz w:w="11900" w:h="16838" w:orient="portrait"/>
          <w:cols w:equalWidth="0" w:num="2">
            <w:col w:w="7180" w:space="720"/>
            <w:col w:w="35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Deutsche Bank Trust Co. Americas</w:t>
            </w:r>
          </w:p>
        </w:tc>
        <w:tc>
          <w:tcPr>
            <w:tcW w:w="3460" w:type="dxa"/>
            <w:vAlign w:val="bottom"/>
          </w:tcPr>
          <w:p>
            <w:pPr>
              <w:ind w:left="720"/>
              <w:spacing w:after="0"/>
              <w:rPr>
                <w:sz w:val="20"/>
                <w:szCs w:val="20"/>
                <w:color w:val="auto"/>
              </w:rPr>
            </w:pPr>
            <w:r>
              <w:rPr>
                <w:rFonts w:ascii="Arial" w:cs="Arial" w:eastAsia="Arial" w:hAnsi="Arial"/>
                <w:sz w:val="18"/>
                <w:szCs w:val="18"/>
                <w:color w:val="auto"/>
              </w:rPr>
              <w:t>DB Services Tennessee, Inc</w:t>
            </w:r>
          </w:p>
        </w:tc>
        <w:tc>
          <w:tcPr>
            <w:tcW w:w="3980" w:type="dxa"/>
            <w:vAlign w:val="bottom"/>
          </w:tcPr>
          <w:p>
            <w:pPr>
              <w:ind w:left="800"/>
              <w:spacing w:after="0"/>
              <w:rPr>
                <w:sz w:val="20"/>
                <w:szCs w:val="20"/>
                <w:color w:val="auto"/>
              </w:rPr>
            </w:pPr>
            <w:r>
              <w:rPr>
                <w:rFonts w:ascii="Arial" w:cs="Arial" w:eastAsia="Arial" w:hAnsi="Arial"/>
                <w:sz w:val="18"/>
                <w:szCs w:val="18"/>
                <w:color w:val="auto"/>
              </w:rPr>
              <w:t>DB Services Tennessee, Inc.</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 The Depository Trust Clearing Corp.</w:t>
            </w:r>
          </w:p>
        </w:tc>
        <w:tc>
          <w:tcPr>
            <w:tcW w:w="3460" w:type="dxa"/>
            <w:vAlign w:val="bottom"/>
          </w:tcPr>
          <w:p>
            <w:pPr>
              <w:ind w:left="720"/>
              <w:spacing w:after="0"/>
              <w:rPr>
                <w:sz w:val="20"/>
                <w:szCs w:val="20"/>
                <w:color w:val="auto"/>
              </w:rPr>
            </w:pPr>
            <w:r>
              <w:rPr>
                <w:rFonts w:ascii="Arial" w:cs="Arial" w:eastAsia="Arial" w:hAnsi="Arial"/>
                <w:sz w:val="18"/>
                <w:szCs w:val="18"/>
                <w:color w:val="auto"/>
              </w:rPr>
              <w:t>Reorganization Unit</w:t>
            </w:r>
          </w:p>
        </w:tc>
        <w:tc>
          <w:tcPr>
            <w:tcW w:w="3980" w:type="dxa"/>
            <w:vAlign w:val="bottom"/>
          </w:tcPr>
          <w:p>
            <w:pPr>
              <w:ind w:left="800"/>
              <w:spacing w:after="0"/>
              <w:rPr>
                <w:sz w:val="20"/>
                <w:szCs w:val="20"/>
                <w:color w:val="auto"/>
              </w:rPr>
            </w:pPr>
            <w:r>
              <w:rPr>
                <w:rFonts w:ascii="Arial" w:cs="Arial" w:eastAsia="Arial" w:hAnsi="Arial"/>
                <w:sz w:val="18"/>
                <w:szCs w:val="18"/>
                <w:color w:val="auto"/>
              </w:rPr>
              <w:t>Corporate Trust &amp; Agency Services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55 Water Street, 1st Floor</w:t>
            </w:r>
          </w:p>
        </w:tc>
        <w:tc>
          <w:tcPr>
            <w:tcW w:w="3460" w:type="dxa"/>
            <w:vAlign w:val="bottom"/>
          </w:tcPr>
          <w:p>
            <w:pPr>
              <w:ind w:left="720"/>
              <w:spacing w:after="0"/>
              <w:rPr>
                <w:sz w:val="20"/>
                <w:szCs w:val="20"/>
                <w:color w:val="auto"/>
              </w:rPr>
            </w:pPr>
            <w:r>
              <w:rPr>
                <w:rFonts w:ascii="Arial" w:cs="Arial" w:eastAsia="Arial" w:hAnsi="Arial"/>
                <w:sz w:val="18"/>
                <w:szCs w:val="18"/>
                <w:color w:val="auto"/>
              </w:rPr>
              <w:t>P.O. Box 292737</w:t>
            </w:r>
          </w:p>
        </w:tc>
        <w:tc>
          <w:tcPr>
            <w:tcW w:w="3980" w:type="dxa"/>
            <w:vAlign w:val="bottom"/>
          </w:tcPr>
          <w:p>
            <w:pPr>
              <w:ind w:left="800"/>
              <w:spacing w:after="0"/>
              <w:rPr>
                <w:sz w:val="20"/>
                <w:szCs w:val="20"/>
                <w:color w:val="auto"/>
              </w:rPr>
            </w:pPr>
            <w:r>
              <w:rPr>
                <w:rFonts w:ascii="Arial" w:cs="Arial" w:eastAsia="Arial" w:hAnsi="Arial"/>
                <w:sz w:val="18"/>
                <w:szCs w:val="18"/>
                <w:color w:val="auto"/>
              </w:rPr>
              <w:t>Reorganization Unit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Jeanette Park Entrance</w:t>
            </w:r>
          </w:p>
        </w:tc>
        <w:tc>
          <w:tcPr>
            <w:tcW w:w="3460" w:type="dxa"/>
            <w:vAlign w:val="bottom"/>
          </w:tcPr>
          <w:p>
            <w:pPr>
              <w:ind w:left="720"/>
              <w:spacing w:after="0"/>
              <w:rPr>
                <w:sz w:val="20"/>
                <w:szCs w:val="20"/>
                <w:color w:val="auto"/>
              </w:rPr>
            </w:pPr>
            <w:r>
              <w:rPr>
                <w:rFonts w:ascii="Arial" w:cs="Arial" w:eastAsia="Arial" w:hAnsi="Arial"/>
                <w:sz w:val="18"/>
                <w:szCs w:val="18"/>
                <w:color w:val="auto"/>
              </w:rPr>
              <w:t>Nashville, TN 37229-2737</w:t>
            </w:r>
          </w:p>
        </w:tc>
        <w:tc>
          <w:tcPr>
            <w:tcW w:w="3980" w:type="dxa"/>
            <w:vAlign w:val="bottom"/>
          </w:tcPr>
          <w:p>
            <w:pPr>
              <w:ind w:left="800"/>
              <w:spacing w:after="0"/>
              <w:rPr>
                <w:sz w:val="20"/>
                <w:szCs w:val="20"/>
                <w:color w:val="auto"/>
              </w:rPr>
            </w:pPr>
            <w:r>
              <w:rPr>
                <w:rFonts w:ascii="Arial" w:cs="Arial" w:eastAsia="Arial" w:hAnsi="Arial"/>
                <w:sz w:val="18"/>
                <w:szCs w:val="18"/>
                <w:color w:val="auto"/>
              </w:rPr>
              <w:t>648 Grassmere Park Road</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New York, New York 10041</w:t>
            </w:r>
          </w:p>
        </w:tc>
        <w:tc>
          <w:tcPr>
            <w:tcW w:w="3460" w:type="dxa"/>
            <w:vAlign w:val="bottom"/>
            <w:vMerge w:val="restart"/>
          </w:tcPr>
          <w:p>
            <w:pPr>
              <w:ind w:left="720"/>
              <w:spacing w:after="0"/>
              <w:rPr>
                <w:sz w:val="20"/>
                <w:szCs w:val="20"/>
                <w:color w:val="auto"/>
              </w:rPr>
            </w:pPr>
            <w:r>
              <w:rPr>
                <w:rFonts w:ascii="Arial" w:cs="Arial" w:eastAsia="Arial" w:hAnsi="Arial"/>
                <w:sz w:val="18"/>
                <w:szCs w:val="18"/>
                <w:color w:val="auto"/>
              </w:rPr>
              <w:t>Facsimile Transmissions:</w:t>
            </w:r>
          </w:p>
        </w:tc>
        <w:tc>
          <w:tcPr>
            <w:tcW w:w="3980" w:type="dxa"/>
            <w:vAlign w:val="bottom"/>
          </w:tcPr>
          <w:p>
            <w:pPr>
              <w:ind w:left="800"/>
              <w:spacing w:after="0"/>
              <w:rPr>
                <w:sz w:val="20"/>
                <w:szCs w:val="20"/>
                <w:color w:val="auto"/>
              </w:rPr>
            </w:pPr>
            <w:r>
              <w:rPr>
                <w:rFonts w:ascii="Arial" w:cs="Arial" w:eastAsia="Arial" w:hAnsi="Arial"/>
                <w:sz w:val="18"/>
                <w:szCs w:val="18"/>
                <w:color w:val="auto"/>
              </w:rPr>
              <w:t>Nashville, TN 37211</w:t>
            </w: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Arial" w:cs="Arial" w:eastAsia="Arial" w:hAnsi="Arial"/>
                <w:sz w:val="18"/>
                <w:szCs w:val="18"/>
                <w:color w:val="auto"/>
              </w:rPr>
              <w:t>Information: (800) 735-7777</w:t>
            </w:r>
          </w:p>
        </w:tc>
        <w:tc>
          <w:tcPr>
            <w:tcW w:w="3460" w:type="dxa"/>
            <w:vAlign w:val="bottom"/>
            <w:vMerge w:val="continue"/>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640" w:type="dxa"/>
            <w:vAlign w:val="bottom"/>
            <w:vMerge w:val="continue"/>
          </w:tcPr>
          <w:p>
            <w:pPr>
              <w:spacing w:after="0"/>
              <w:rPr>
                <w:sz w:val="6"/>
                <w:szCs w:val="6"/>
                <w:color w:val="auto"/>
              </w:rPr>
            </w:pPr>
          </w:p>
        </w:tc>
        <w:tc>
          <w:tcPr>
            <w:tcW w:w="3460" w:type="dxa"/>
            <w:vAlign w:val="bottom"/>
            <w:vMerge w:val="restart"/>
          </w:tcPr>
          <w:p>
            <w:pPr>
              <w:ind w:left="720"/>
              <w:spacing w:after="0"/>
              <w:rPr>
                <w:sz w:val="20"/>
                <w:szCs w:val="20"/>
                <w:color w:val="auto"/>
              </w:rPr>
            </w:pPr>
            <w:r>
              <w:rPr>
                <w:rFonts w:ascii="Arial" w:cs="Arial" w:eastAsia="Arial" w:hAnsi="Arial"/>
                <w:sz w:val="18"/>
                <w:szCs w:val="18"/>
                <w:color w:val="auto"/>
              </w:rPr>
              <w:t>(615) 835-3701.</w:t>
            </w:r>
          </w:p>
        </w:tc>
        <w:tc>
          <w:tcPr>
            <w:tcW w:w="3980" w:type="dxa"/>
            <w:vAlign w:val="bottom"/>
            <w:vMerge w:val="restart"/>
          </w:tcPr>
          <w:p>
            <w:pPr>
              <w:ind w:left="800"/>
              <w:spacing w:after="0"/>
              <w:rPr>
                <w:sz w:val="20"/>
                <w:szCs w:val="20"/>
                <w:color w:val="auto"/>
              </w:rPr>
            </w:pPr>
            <w:r>
              <w:rPr>
                <w:rFonts w:ascii="Arial" w:cs="Arial" w:eastAsia="Arial" w:hAnsi="Arial"/>
                <w:sz w:val="18"/>
                <w:szCs w:val="18"/>
                <w:color w:val="auto"/>
                <w:w w:val="90"/>
              </w:rPr>
              <w:t>To Confirm by Telephone or for Information:</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980" w:type="dxa"/>
            <w:vAlign w:val="bottom"/>
          </w:tcPr>
          <w:p>
            <w:pPr>
              <w:ind w:left="800"/>
              <w:spacing w:after="0"/>
              <w:rPr>
                <w:sz w:val="20"/>
                <w:szCs w:val="20"/>
                <w:color w:val="auto"/>
              </w:rPr>
            </w:pPr>
            <w:r>
              <w:rPr>
                <w:rFonts w:ascii="Arial" w:cs="Arial" w:eastAsia="Arial" w:hAnsi="Arial"/>
                <w:sz w:val="18"/>
                <w:szCs w:val="18"/>
                <w:color w:val="auto"/>
              </w:rPr>
              <w:t>(615) 835-3572</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980" w:type="dxa"/>
            <w:vAlign w:val="bottom"/>
          </w:tcPr>
          <w:p>
            <w:pPr>
              <w:ind w:left="800"/>
              <w:spacing w:after="0"/>
              <w:rPr>
                <w:sz w:val="20"/>
                <w:szCs w:val="20"/>
                <w:color w:val="auto"/>
              </w:rPr>
            </w:pPr>
            <w:r>
              <w:rPr>
                <w:rFonts w:ascii="Arial" w:cs="Arial" w:eastAsia="Arial" w:hAnsi="Arial"/>
                <w:sz w:val="18"/>
                <w:szCs w:val="18"/>
                <w:color w:val="auto"/>
              </w:rPr>
              <w:t>Attn: Shalini Kumar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DELIVERY TO AN ADDRESS OTHER THAN AS LISTED ABOVE OR TRANSMISSION OF THE LETTER OF TRANSMITTAL VIA FACSIMILE OTHER THAN AS LISTED ABOVE DOES NOT CONSTITUTE A VALID DELIVERY.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NOTES</w:t>
      </w:r>
    </w:p>
    <w:p>
      <w:pPr>
        <w:spacing w:after="0" w:line="1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form and terms of the exchange notes to be issued in the exchange offer are substantially identical to the form and terms of the original notes, except that the exchange notes will be registered under the Securities Act and, therefore, will not bear legends restricting their transfer, will not contain terms providing for liquidated damages if we fail to perform our registration obligations with respect to the original notes and, with limited exceptions, will not be entitled to registration rights under the Securities Act. The exchange notes will evidence the same debt as the original notes, and both the original notes and the exchange notes are governed by the same indenture.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1780" w:type="dxa"/>
            <w:vAlign w:val="bottom"/>
          </w:tcPr>
          <w:p>
            <w:pPr>
              <w:ind w:left="940"/>
              <w:spacing w:after="0"/>
              <w:rPr>
                <w:sz w:val="20"/>
                <w:szCs w:val="20"/>
                <w:color w:val="auto"/>
              </w:rPr>
            </w:pPr>
            <w:r>
              <w:rPr>
                <w:rFonts w:ascii="Arial" w:cs="Arial" w:eastAsia="Arial" w:hAnsi="Arial"/>
                <w:sz w:val="18"/>
                <w:szCs w:val="18"/>
                <w:color w:val="auto"/>
              </w:rPr>
              <w:t>Itron, Inc.</w:t>
            </w:r>
          </w:p>
        </w:tc>
        <w:tc>
          <w:tcPr>
            <w:tcW w:w="6440" w:type="dxa"/>
            <w:vAlign w:val="bottom"/>
          </w:tcPr>
          <w:p>
            <w:pPr>
              <w:spacing w:after="0"/>
              <w:rPr>
                <w:sz w:val="19"/>
                <w:szCs w:val="19"/>
                <w:color w:val="auto"/>
              </w:rPr>
            </w:pPr>
          </w:p>
        </w:tc>
      </w:tr>
      <w:tr>
        <w:trPr>
          <w:trHeight w:val="454"/>
        </w:trPr>
        <w:tc>
          <w:tcPr>
            <w:tcW w:w="318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8"/>
              </w:rPr>
              <w:t xml:space="preserve">$125,000,000 in aggregate principal amount of 7 </w:t>
            </w:r>
            <w:r>
              <w:rPr>
                <w:rFonts w:ascii="Arial" w:cs="Arial" w:eastAsia="Arial" w:hAnsi="Arial"/>
                <w:sz w:val="22"/>
                <w:szCs w:val="22"/>
                <w:color w:val="auto"/>
                <w:w w:val="98"/>
                <w:vertAlign w:val="superscript"/>
              </w:rPr>
              <w:t>3</w:t>
            </w:r>
            <w:r>
              <w:rPr>
                <w:rFonts w:ascii="Arial" w:cs="Arial" w:eastAsia="Arial" w:hAnsi="Arial"/>
                <w:sz w:val="18"/>
                <w:szCs w:val="18"/>
                <w:color w:val="auto"/>
                <w:w w:val="98"/>
              </w:rPr>
              <w:t>/</w:t>
            </w:r>
            <w:r>
              <w:rPr>
                <w:rFonts w:ascii="Arial" w:cs="Arial" w:eastAsia="Arial" w:hAnsi="Arial"/>
                <w:sz w:val="13"/>
                <w:szCs w:val="13"/>
                <w:color w:val="auto"/>
                <w:w w:val="98"/>
              </w:rPr>
              <w:t>4</w:t>
            </w:r>
            <w:r>
              <w:rPr>
                <w:rFonts w:ascii="Arial" w:cs="Arial" w:eastAsia="Arial" w:hAnsi="Arial"/>
                <w:sz w:val="18"/>
                <w:szCs w:val="18"/>
                <w:color w:val="auto"/>
                <w:w w:val="98"/>
              </w:rPr>
              <w:t xml:space="preserve"> % Senior Subordinated Notes due 2012.</w:t>
            </w:r>
          </w:p>
        </w:tc>
      </w:tr>
      <w:tr>
        <w:trPr>
          <w:trHeight w:val="302"/>
        </w:trPr>
        <w:tc>
          <w:tcPr>
            <w:tcW w:w="31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May 15, 2012.</w:t>
            </w:r>
          </w:p>
        </w:tc>
      </w:tr>
      <w:tr>
        <w:trPr>
          <w:trHeight w:val="378"/>
        </w:trPr>
        <w:tc>
          <w:tcPr>
            <w:tcW w:w="31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May 15 and November 15 of each year, commencing November 15, 2004.</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Guarantees</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9"/>
              </w:rPr>
              <w:t>Our obligations under the notes are unconditionally guaranteed, jointly and severally, by certain of our</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existing and future domestic subsidiaries.</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0"/>
              </w:rPr>
              <w:t>The notes and the guarantees are unsecured senior subordinated obligations. They rank behind all of</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7"/>
              </w:rPr>
              <w:t>our and the guarantors’ current and future indebtedness other than trade payables, except indebtedness</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8"/>
              </w:rPr>
              <w:t>that expressly provides that it is not senior to the notes and the guarantees. As of September 30, 2004,</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9"/>
              </w:rPr>
              <w:t>the notes and the guarantees were subordinated to $178.7 million of senior debt and $31.7 million was</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available for borrowing as additional senior debt under our senior credit facility.</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2"/>
              </w:rPr>
              <w:t>We may, at our option, redeem some or all of the notes at any time on or after May 15, 2008, at the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redemption prices listed under “Description of Notes—Optional Redemption.”</w:t>
            </w:r>
          </w:p>
        </w:tc>
      </w:tr>
      <w:tr>
        <w:trPr>
          <w:trHeight w:val="372"/>
        </w:trPr>
        <w:tc>
          <w:tcPr>
            <w:tcW w:w="3180" w:type="dxa"/>
            <w:vAlign w:val="bottom"/>
          </w:tcPr>
          <w:p>
            <w:pPr>
              <w:spacing w:after="0"/>
              <w:rPr>
                <w:sz w:val="24"/>
                <w:szCs w:val="24"/>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89"/>
              </w:rPr>
              <w:t>In addition, at any time prior to May 15, 2007, we may on any one or more occasions redeem up to</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88"/>
              </w:rPr>
              <w:t>35% of the notes with the proceeds of certain sales of our equity at the redemption price listed under</w:t>
            </w:r>
          </w:p>
        </w:tc>
      </w:tr>
      <w:tr>
        <w:trPr>
          <w:trHeight w:val="216"/>
        </w:trPr>
        <w:tc>
          <w:tcPr>
            <w:tcW w:w="3180" w:type="dxa"/>
            <w:vAlign w:val="bottom"/>
          </w:tcPr>
          <w:p>
            <w:pPr>
              <w:spacing w:after="0"/>
              <w:rPr>
                <w:sz w:val="18"/>
                <w:szCs w:val="18"/>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95"/>
              </w:rPr>
              <w:t>“Description of Notes—Optional Redemption.” We may make the redemption only if, after the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1160"/>
              <w:spacing w:after="0"/>
              <w:rPr>
                <w:sz w:val="20"/>
                <w:szCs w:val="20"/>
                <w:color w:val="auto"/>
              </w:rPr>
            </w:pPr>
            <w:r>
              <w:rPr>
                <w:rFonts w:ascii="Arial" w:cs="Arial" w:eastAsia="Arial" w:hAnsi="Arial"/>
                <w:sz w:val="18"/>
                <w:szCs w:val="18"/>
                <w:color w:val="auto"/>
                <w:w w:val="87"/>
              </w:rPr>
              <w:t>redemption, at least 65% of the aggregate principal amount of the notes issued remains outstanding.</w:t>
            </w:r>
          </w:p>
        </w:tc>
      </w:tr>
      <w:tr>
        <w:trPr>
          <w:trHeight w:val="358"/>
        </w:trPr>
        <w:tc>
          <w:tcPr>
            <w:tcW w:w="3180" w:type="dxa"/>
            <w:vAlign w:val="bottom"/>
          </w:tcPr>
          <w:p>
            <w:pPr>
              <w:spacing w:after="0"/>
              <w:rPr>
                <w:sz w:val="20"/>
                <w:szCs w:val="20"/>
                <w:color w:val="auto"/>
              </w:rPr>
            </w:pPr>
            <w:r>
              <w:rPr>
                <w:rFonts w:ascii="Arial" w:cs="Arial" w:eastAsia="Arial" w:hAnsi="Arial"/>
                <w:sz w:val="18"/>
                <w:szCs w:val="18"/>
                <w:b w:val="1"/>
                <w:bCs w:val="1"/>
                <w:color w:val="auto"/>
              </w:rPr>
              <w:t>Mandatory Repurchase Offer</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88"/>
              </w:rPr>
              <w:t>If we sell certain assets or experience specific kinds of changes of control, we must offer to repurchase</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4"/>
              </w:rPr>
              <w:t>the notes at the prices listed under “Description of Notes—Repurchase at the Option of Holders.”</w:t>
            </w:r>
          </w:p>
        </w:tc>
      </w:tr>
      <w:tr>
        <w:trPr>
          <w:trHeight w:val="372"/>
        </w:trPr>
        <w:tc>
          <w:tcPr>
            <w:tcW w:w="3180" w:type="dxa"/>
            <w:vAlign w:val="bottom"/>
          </w:tcPr>
          <w:p>
            <w:pPr>
              <w:spacing w:after="0"/>
              <w:rPr>
                <w:sz w:val="20"/>
                <w:szCs w:val="20"/>
                <w:color w:val="auto"/>
              </w:rPr>
            </w:pPr>
            <w:r>
              <w:rPr>
                <w:rFonts w:ascii="Arial" w:cs="Arial" w:eastAsia="Arial" w:hAnsi="Arial"/>
                <w:sz w:val="18"/>
                <w:szCs w:val="18"/>
                <w:b w:val="1"/>
                <w:bCs w:val="1"/>
                <w:color w:val="auto"/>
              </w:rPr>
              <w:t>Certain Covenants</w:t>
            </w: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w w:val="91"/>
              </w:rPr>
              <w:t>The indenture governing the exchange notes contains covenants limiting our ability and the ability of</w:t>
            </w:r>
          </w:p>
        </w:tc>
      </w:tr>
      <w:tr>
        <w:trPr>
          <w:trHeight w:val="222"/>
        </w:trPr>
        <w:tc>
          <w:tcPr>
            <w:tcW w:w="3180" w:type="dxa"/>
            <w:vAlign w:val="bottom"/>
          </w:tcPr>
          <w:p>
            <w:pPr>
              <w:spacing w:after="0"/>
              <w:rPr>
                <w:sz w:val="19"/>
                <w:szCs w:val="19"/>
                <w:color w:val="auto"/>
              </w:rPr>
            </w:pPr>
          </w:p>
        </w:tc>
        <w:tc>
          <w:tcPr>
            <w:tcW w:w="8220" w:type="dxa"/>
            <w:vAlign w:val="bottom"/>
            <w:gridSpan w:val="2"/>
          </w:tcPr>
          <w:p>
            <w:pPr>
              <w:ind w:left="940"/>
              <w:spacing w:after="0"/>
              <w:rPr>
                <w:sz w:val="20"/>
                <w:szCs w:val="20"/>
                <w:color w:val="auto"/>
              </w:rPr>
            </w:pPr>
            <w:r>
              <w:rPr>
                <w:rFonts w:ascii="Arial" w:cs="Arial" w:eastAsia="Arial" w:hAnsi="Arial"/>
                <w:sz w:val="18"/>
                <w:szCs w:val="18"/>
                <w:color w:val="auto"/>
              </w:rPr>
              <w:t>our restricted subsidiaries to:</w:t>
            </w:r>
          </w:p>
        </w:tc>
      </w:tr>
      <w:tr>
        <w:trPr>
          <w:trHeight w:val="297"/>
        </w:trPr>
        <w:tc>
          <w:tcPr>
            <w:tcW w:w="3180" w:type="dxa"/>
            <w:vAlign w:val="bottom"/>
          </w:tcPr>
          <w:p>
            <w:pPr>
              <w:spacing w:after="0"/>
              <w:rPr>
                <w:sz w:val="24"/>
                <w:szCs w:val="24"/>
                <w:color w:val="auto"/>
              </w:rPr>
            </w:pPr>
          </w:p>
        </w:tc>
        <w:tc>
          <w:tcPr>
            <w:tcW w:w="1780" w:type="dxa"/>
            <w:vAlign w:val="bottom"/>
          </w:tcPr>
          <w:p>
            <w:pPr>
              <w:ind w:left="1500"/>
              <w:spacing w:after="0"/>
              <w:rPr>
                <w:sz w:val="20"/>
                <w:szCs w:val="20"/>
                <w:color w:val="auto"/>
              </w:rPr>
            </w:pPr>
            <w:r>
              <w:rPr>
                <w:rFonts w:ascii="Arial" w:cs="Arial" w:eastAsia="Arial" w:hAnsi="Arial"/>
                <w:sz w:val="18"/>
                <w:szCs w:val="18"/>
                <w:color w:val="auto"/>
              </w:rPr>
              <w:t>•</w:t>
            </w:r>
          </w:p>
        </w:tc>
        <w:tc>
          <w:tcPr>
            <w:tcW w:w="6440" w:type="dxa"/>
            <w:vAlign w:val="bottom"/>
          </w:tcPr>
          <w:p>
            <w:pPr>
              <w:ind w:left="160"/>
              <w:spacing w:after="0"/>
              <w:rPr>
                <w:sz w:val="20"/>
                <w:szCs w:val="20"/>
                <w:color w:val="auto"/>
              </w:rPr>
            </w:pPr>
            <w:r>
              <w:rPr>
                <w:rFonts w:ascii="Arial" w:cs="Arial" w:eastAsia="Arial" w:hAnsi="Arial"/>
                <w:sz w:val="18"/>
                <w:szCs w:val="18"/>
                <w:color w:val="auto"/>
              </w:rPr>
              <w:t>incur more debt;</w:t>
            </w:r>
          </w:p>
        </w:tc>
      </w:tr>
      <w:tr>
        <w:trPr>
          <w:trHeight w:val="311"/>
        </w:trPr>
        <w:tc>
          <w:tcPr>
            <w:tcW w:w="3180" w:type="dxa"/>
            <w:vAlign w:val="bottom"/>
          </w:tcPr>
          <w:p>
            <w:pPr>
              <w:spacing w:after="0"/>
              <w:rPr>
                <w:sz w:val="24"/>
                <w:szCs w:val="24"/>
                <w:color w:val="auto"/>
              </w:rPr>
            </w:pPr>
          </w:p>
        </w:tc>
        <w:tc>
          <w:tcPr>
            <w:tcW w:w="1780" w:type="dxa"/>
            <w:vAlign w:val="bottom"/>
          </w:tcPr>
          <w:p>
            <w:pPr>
              <w:ind w:left="1500"/>
              <w:spacing w:after="0"/>
              <w:rPr>
                <w:sz w:val="20"/>
                <w:szCs w:val="20"/>
                <w:color w:val="auto"/>
              </w:rPr>
            </w:pPr>
            <w:r>
              <w:rPr>
                <w:rFonts w:ascii="Arial" w:cs="Arial" w:eastAsia="Arial" w:hAnsi="Arial"/>
                <w:sz w:val="18"/>
                <w:szCs w:val="18"/>
                <w:color w:val="auto"/>
              </w:rPr>
              <w:t>•</w:t>
            </w:r>
          </w:p>
        </w:tc>
        <w:tc>
          <w:tcPr>
            <w:tcW w:w="6440" w:type="dxa"/>
            <w:vAlign w:val="bottom"/>
          </w:tcPr>
          <w:p>
            <w:pPr>
              <w:ind w:left="160"/>
              <w:spacing w:after="0"/>
              <w:rPr>
                <w:sz w:val="20"/>
                <w:szCs w:val="20"/>
                <w:color w:val="auto"/>
              </w:rPr>
            </w:pPr>
            <w:r>
              <w:rPr>
                <w:rFonts w:ascii="Arial" w:cs="Arial" w:eastAsia="Arial" w:hAnsi="Arial"/>
                <w:sz w:val="18"/>
                <w:szCs w:val="18"/>
                <w:color w:val="auto"/>
              </w:rPr>
              <w:t>pay dividends and make distributions;</w:t>
            </w:r>
          </w:p>
        </w:tc>
      </w:tr>
      <w:tr>
        <w:trPr>
          <w:trHeight w:val="311"/>
        </w:trPr>
        <w:tc>
          <w:tcPr>
            <w:tcW w:w="3180" w:type="dxa"/>
            <w:vAlign w:val="bottom"/>
          </w:tcPr>
          <w:p>
            <w:pPr>
              <w:spacing w:after="0"/>
              <w:rPr>
                <w:sz w:val="24"/>
                <w:szCs w:val="24"/>
                <w:color w:val="auto"/>
              </w:rPr>
            </w:pPr>
          </w:p>
        </w:tc>
        <w:tc>
          <w:tcPr>
            <w:tcW w:w="1780" w:type="dxa"/>
            <w:vAlign w:val="bottom"/>
          </w:tcPr>
          <w:p>
            <w:pPr>
              <w:ind w:left="1500"/>
              <w:spacing w:after="0"/>
              <w:rPr>
                <w:sz w:val="20"/>
                <w:szCs w:val="20"/>
                <w:color w:val="auto"/>
              </w:rPr>
            </w:pPr>
            <w:r>
              <w:rPr>
                <w:rFonts w:ascii="Arial" w:cs="Arial" w:eastAsia="Arial" w:hAnsi="Arial"/>
                <w:sz w:val="18"/>
                <w:szCs w:val="18"/>
                <w:color w:val="auto"/>
              </w:rPr>
              <w:t>•</w:t>
            </w:r>
          </w:p>
        </w:tc>
        <w:tc>
          <w:tcPr>
            <w:tcW w:w="6440" w:type="dxa"/>
            <w:vAlign w:val="bottom"/>
          </w:tcPr>
          <w:p>
            <w:pPr>
              <w:ind w:left="160"/>
              <w:spacing w:after="0"/>
              <w:rPr>
                <w:sz w:val="20"/>
                <w:szCs w:val="20"/>
                <w:color w:val="auto"/>
              </w:rPr>
            </w:pPr>
            <w:r>
              <w:rPr>
                <w:rFonts w:ascii="Arial" w:cs="Arial" w:eastAsia="Arial" w:hAnsi="Arial"/>
                <w:sz w:val="18"/>
                <w:szCs w:val="18"/>
                <w:color w:val="auto"/>
              </w:rPr>
              <w:t>make certain investments;</w:t>
            </w:r>
          </w:p>
        </w:tc>
      </w:tr>
      <w:tr>
        <w:trPr>
          <w:trHeight w:val="392"/>
        </w:trPr>
        <w:tc>
          <w:tcPr>
            <w:tcW w:w="3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40" w:type="dxa"/>
            <w:vAlign w:val="bottom"/>
          </w:tcPr>
          <w:p>
            <w:pPr>
              <w:jc w:val="right"/>
              <w:ind w:right="555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repurchase stock;</w:t>
      </w:r>
    </w:p>
    <w:p>
      <w:pPr>
        <w:spacing w:after="0" w:line="104"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liens;</w:t>
      </w:r>
    </w:p>
    <w:p>
      <w:pPr>
        <w:spacing w:after="0" w:line="104"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transactions with affiliates;</w:t>
      </w:r>
    </w:p>
    <w:p>
      <w:pPr>
        <w:spacing w:after="0" w:line="104"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sale lease-back transactions;</w:t>
      </w:r>
    </w:p>
    <w:p>
      <w:pPr>
        <w:spacing w:after="0" w:line="104"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merge or consolidate; and</w:t>
      </w:r>
    </w:p>
    <w:p>
      <w:pPr>
        <w:spacing w:after="0" w:line="104"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transfer or sell assets.</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For more details, see “Description of Notes—Certain Covenants.”</w:t>
      </w:r>
    </w:p>
    <w:p>
      <w:pPr>
        <w:sectPr>
          <w:pgSz w:w="11900" w:h="16838" w:orient="portrait"/>
          <w:cols w:equalWidth="0" w:num="1">
            <w:col w:w="11180"/>
          </w:cols>
          <w:pgMar w:left="240" w:top="459" w:right="47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We will not receive any of the proceeds from the sale by any selling securityholder of the notes.</w:t>
      </w:r>
    </w:p>
    <w:p>
      <w:pPr>
        <w:spacing w:after="0" w:line="200" w:lineRule="exact"/>
        <w:rPr>
          <w:sz w:val="20"/>
          <w:szCs w:val="20"/>
          <w:color w:val="auto"/>
        </w:rPr>
      </w:pPr>
    </w:p>
    <w:p>
      <w:pPr>
        <w:sectPr>
          <w:pgSz w:w="11900" w:h="16838" w:orient="portrait"/>
          <w:cols w:equalWidth="0" w:num="2">
            <w:col w:w="3400" w:space="720"/>
            <w:col w:w="7060"/>
          </w:cols>
          <w:pgMar w:left="240" w:top="459"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You should consider carefully all of the information set forth in this prospectus and in particular, you should evaluate the specific factors under “Risk Factors.”</w:t>
      </w:r>
    </w:p>
    <w:p>
      <w:pPr>
        <w:spacing w:after="0" w:line="132" w:lineRule="exact"/>
        <w:rPr>
          <w:sz w:val="20"/>
          <w:szCs w:val="20"/>
          <w:color w:val="auto"/>
        </w:rPr>
      </w:pPr>
    </w:p>
    <w:p>
      <w:pPr>
        <w:sectPr>
          <w:pgSz w:w="11900" w:h="16838" w:orient="portrait"/>
          <w:cols w:equalWidth="0" w:num="2">
            <w:col w:w="3400" w:space="720"/>
            <w:col w:w="7060"/>
          </w:cols>
          <w:pgMar w:left="240" w:top="459" w:right="479" w:bottom="1440" w:gutter="0" w:footer="0" w:header="0"/>
          <w:type w:val="continuous"/>
        </w:sectPr>
      </w:pPr>
    </w:p>
    <w:p>
      <w:pPr>
        <w:jc w:val="center"/>
        <w:ind w:right="-2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prospectus before purchasing the notes offered pursuant to this prospectus. The risks described below are not the only risks facing us. Any of the following risks could have a material adverse effect on our business, financial condition and results of operations. Additional risks and uncertainties not currently known to us or that we currently deem to be immaterial may also have a material adverse effect on our business operations. In such case, you may lose all or part of your original investment.</w:t>
      </w:r>
    </w:p>
    <w:p>
      <w:pPr>
        <w:spacing w:after="0" w:line="9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Relating to this Exchange Offer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there is no public market for the exchange notes, you may not be able to sell your exchange notes.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exchange notes will be registered under the Securities Act, but will constitute a new issue of securities with no established trading market. There can be no assurance as to:</w:t>
      </w:r>
    </w:p>
    <w:p>
      <w:pPr>
        <w:spacing w:after="0" w:line="3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liquidity of any trading market that may develop;</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holders to sell their exchange notes;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the holders would be able to sell their exchange notes.</w:t>
      </w:r>
    </w:p>
    <w:p>
      <w:pPr>
        <w:spacing w:after="0" w:line="1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exchange notes will not be listed on any exchange or market. If a trading market were to develop, the exchange notes might trade at higher or lower prices than their principal amount or purchase price, depending on many factors, including prevailing interest rates, the market for similar securities and our financial performance.</w:t>
      </w:r>
    </w:p>
    <w:p>
      <w:pPr>
        <w:spacing w:after="0" w:line="12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Any market-making activity in the exchange notes will be subject to the limits imposed by the Securities Act and the Exchange Act. There can be no assurance that an active trading market will exist for the exchange notes or that any trading market that does develop will be liquid.</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any original note holder who tenders in the exchange offer for the purpose of participating in a distribution of the exchange notes may be deemed to have received restricted securities and, if so, will be required to comply with the registration and prospectus delivery requirements of the Securities Act in connection with any resale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original notes will not be accepted for exchange if you fail to follow the exchange offer procedures.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issue exchange notes pursuant to the exchange offer only after a timely receipt of your original notes, a properly completed and duly executed letter of transmittal and all other required documents. Therefore, if you want to tender your original notes, please allow sufficient time to ensure timely delivery. If we do not receive your original notes, letter of transmittal and other required documents by the expiration date of the exchange offer, we will not accept your original notes for exchange. We are under no duty to give notification of defects or irregularities with respect to the tenders of original notes for exchange. If there are defects or irregularities with respect to your tender of original notes, we may not accept your original notes for exchange.</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you do not exchange your original notes, your original notes will continue to be subject to the existing transfer restrictions and you may be unable to sell your outstanding original notes.</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did not register the original notes and do not intend to do so following the exchange offer. Original notes that are not tendered will therefore continue to be subject to the existing transfer restrictions and may be transferred only in limited circumstances under applicable securities laws. If you do not exchange your original notes, you will lose your right, except in limited circumstances, to have your original notes registered under the federal securities laws. As a result, if you hold original notes after the exchange offer, you may be unable to sell your original notes and the value of the original notes may decline. We have no obligation, except in limited circumstances, and do not currently intend, to file an additional registration statement to cover the resale of original notes that did not tender in the exchange offer or to re-offer to exchange the exchange notes for original notes following the expiration of the exchange offer.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Risks relating to the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and prevent us from fulfilling our obligations under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 substantial amount of indebtedness.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to you. For example, it could:</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purposes;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that have less debt;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the indenture and our senior credit facility contain financial and other restrictive covenants that limit our ability to engage in activities that may be in our long-term best interests. Our failure to comply with those covenants could result in an event of default which, if not cured or waived, could result in the acceleration of all of our debts.</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be able to incur substantially more debt. This could further exacerbate the risks associated with our substantial leverage.</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and our subsidiaries may be able to incur substantial additional indebtedness in the future. The terms of the indenture will not fully prohibit us or our subsidiaries from doing so. As of September 30, 2004, our senior credit facility permitted additional borrowings of up to $31.7 million under that facility, and all of those borrowings would rank senior to the notes and the guarantees. If new debt is added to our subsidiaries’ current debt levels, the related risks that we and they now face could intensify.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indenture for the notes and our senior credit facility restrict our ability and the ability of most of our subsidiaries to take certain actions.</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senior credit facility and the indenture for the notes, among other things, limit our ability and the ability of our Restricted Subsidiaries, as defined in “Description of Notes” to, among other things:</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redeem or repurchase capital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sale 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senior credit facility also contains other customary covenants, including requiring us to meet specified financial ratios and financial tests. Our ability to borrow under our senior credit facility depends on satisfaction of these covenants. Events beyond our control can affect our ability to meet those covenants.</w:t>
      </w:r>
    </w:p>
    <w:p>
      <w:pPr>
        <w:spacing w:after="0" w:line="7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Our failure to comply with obligations under the indenture for the notes or the senior credit facility may result in an event of default under the indenture or the senior credit facility. A default, if not cured or waived, may permit acceleration of our indebtedness. We cannot be certain that we will have funds available to remedy any such defaults. If our indebtedness is accelerated, we cannot be certain that we will have sufficient funds available to pay the accelerated indebtedness or that we will have the ability to refinance the accelerated indebtedness on terms favorable to us or at all.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require a significant amount of cash. Our ability to generate cash depends on many factors beyond our control.</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ability to make payments on and to refinance our indebtedness, including the notes, and to fund planned capital expenditures and research and development will depend on our ability to generate cash in the future. This is subject to general economic, financial, competitive, legislative, regulatory and other factors that are beyond our control. We may need to refinance all or a portion of our indebtedness, including the notes, on or before maturity. We cannot assure you that we will be able to refinance any of our indebtedness, including our senior credit facility and the notes, on commercially reasonable terms or at all.</w:t>
      </w:r>
    </w:p>
    <w:p>
      <w:pPr>
        <w:spacing w:after="0" w:line="99" w:lineRule="exact"/>
        <w:rPr>
          <w:sz w:val="20"/>
          <w:szCs w:val="20"/>
          <w:color w:val="auto"/>
        </w:rPr>
      </w:pPr>
    </w:p>
    <w:p>
      <w:pPr>
        <w:ind w:right="280"/>
        <w:spacing w:after="0" w:line="325" w:lineRule="auto"/>
        <w:rPr>
          <w:sz w:val="20"/>
          <w:szCs w:val="20"/>
          <w:color w:val="auto"/>
        </w:rPr>
      </w:pPr>
      <w:r>
        <w:rPr>
          <w:rFonts w:ascii="Arial" w:cs="Arial" w:eastAsia="Arial" w:hAnsi="Arial"/>
          <w:sz w:val="16"/>
          <w:szCs w:val="16"/>
          <w:b w:val="1"/>
          <w:bCs w:val="1"/>
          <w:i w:val="1"/>
          <w:iCs w:val="1"/>
          <w:color w:val="auto"/>
        </w:rPr>
        <w:t>Your right to receive payments on the notes is junior to our existing indebtedness and possibly all of our future borrowings. Further, the guarantees of the notes are junior to all of our guarantors’ existing indebtedness and possibly to all their future borrowings.</w:t>
      </w:r>
    </w:p>
    <w:p>
      <w:pPr>
        <w:spacing w:after="0" w:line="1"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The notes and the guarantees of the notes rank behind all of our and the subsidiary guarantors’ existing indebtedness (other than trade payables) and all of our and their future borrowings (other than trade payables), except any future indebtedness that expressly provides that it ranks equal with, or is subordinated in right of payment to, the notes and the guarantees. As a result, upon any distribution to our creditors or the creditors of the guarantors in a bankruptcy, liquidation or reorganization or similar proceeding relating to us or the guarantors or our or their property, the holders of our senior debt and the guarantors will be entitled to be paid in full and in cash before any payment may be made with respect to the notes or the subsidiary guarantees.</w:t>
      </w:r>
    </w:p>
    <w:p>
      <w:pPr>
        <w:spacing w:after="0" w:line="10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addition, all payments on the notes and the guarantees will be blocked in the event of a payment default on senior debt and may be blocked for up to 179 of 360 consecutive days in the event of certain nonpayment defaults on senior debt.</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event of a bankruptcy, liquidation or reorganization or similar proceeding relating to us or the guarantors, holders of the notes will participate with trade creditors and all other holders of our and the guarantor subordinated indebtedness in the assets remaining after we and the subsidiary guarantors have paid all of our senior debt. However, because the indenture requires that amounts otherwise payable to holders of the notes in a bankruptcy or similar proceeding be paid to holders of senior debt instead, holders of the notes may receive less, ratably, than holders of trade payables in any such proceeding. In any of these cases, we and the subsidiary guarantors may not have sufficient funds to pay all of our creditors and holders of notes may receive less, ratably, than the holders of our senior debt.</w:t>
      </w:r>
    </w:p>
    <w:p>
      <w:pPr>
        <w:spacing w:after="0" w:line="13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of September 30, 2004, the notes and the subsidiary guarantees were subordinated to $178.7 million of senior debt and $31.7 million was available for borrowing as additional senior debt under our senior credit facility. We will be permitted to incur substantial additional indebtedness, including senior debt, in the future under the terms of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Your right to receive payments on the notes could be adversely affected if one or more of our non-guarantor subsidiaries declare bankruptcy, liquidate or reorganize.</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but not all of our subsidiaries guarantee the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w:t>
      </w:r>
    </w:p>
    <w:p>
      <w:pPr>
        <w:spacing w:after="0" w:line="12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of September 30, 2004, the notes were junior to $15.5 million of indebtedness and other liabilities (including trade payables) of our non-guarantor subsidiaries. There are no direct borrowings available to those subsidiaries under our senior credit facility. Our non-guarantor subsidiaries generated 5% of our consolidated revenues in the nine months ended September 30, 2004 and held 10% of our consolidated assets as of September 30,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raise the funds necessary to finance the change of control offer that may be required by the indenture.</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Upon the occurrence of certain specific kinds of change of control events, we will be required to offer to repurchase all outstanding notes at 101% of the principal amount thereof plus accrued and unpaid interest and liquidated damages, if any, to the date of repurchase. However, it is possible that we will not have sufficient funds at the time of the change of control to make the required repurchase of notes or that restrictions in our senior credit facility will not allow such repurchases. In addition, certain important corporate events, such as leveraged recapitalizations that would increase the level of our indebtedness, would not constitute a change of control under the indenture. See “Description of Notes—Repurchase at the Option of Holders.”</w:t>
      </w:r>
    </w:p>
    <w:p>
      <w:pPr>
        <w:spacing w:after="0" w:line="10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guarantees and require note holders to return payments received from guarantors.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federal bankruptcy law and comparable provisions of state fraudulent transfer laws, a guarantee could be voided, or claims in respect of a guarantee could be subordinated to all other debts of that guarantor if, among other things, the guarantor, at the time it incurred the indebtedness evidenced by its guarantee:</w:t>
      </w:r>
    </w:p>
    <w:p>
      <w:pPr>
        <w:spacing w:after="0" w:line="4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guarantee;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any payment by that guarantor pursuant to its guarantee could be voided and required to be returned to the guarantor, or to a fund for the benefit of the creditors of the guarantor.</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on the law applied in any proceeding to determine whether a fraudulent transfer has occurred. Generally, however, a guarantor would be considered insolvent if:</w:t>
      </w:r>
    </w:p>
    <w:p>
      <w:pPr>
        <w:spacing w:after="0" w:line="3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all of its assets; or</w:t>
      </w:r>
    </w:p>
    <w:p>
      <w:pPr>
        <w:spacing w:after="0" w:line="103"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Relating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utility industry, which has experienced volatility.</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derive substantially all of our revenues from sales of products and services to the utility industry. Purchases of our products may be deferred as a result of many factors including mergers and acquisitions, regulatory decisions, weather conditions, rising interest rates and general economic downturns. We have experienced and may in the future experience variability in operating results, on both an annual and a quarterly basis as a result of these factors.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cycles with customers in the utility industry, both domestic and foreign, are generally long and unpredictable due to customers’ budgeting, purchasing and regulatory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substantially.</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Itron was profitable in fiscal years 2001, 2002 and 2003, we have experienced operating losses in some quarters during those periods and in prior periods. We may be unable to maintain consistent profitability on a quarterly or annual basis. We have experienced variability of quarterly results and believe our quarterly results will continue to fluctuate as a result of size and timing of significant customer orders, acquisitions, including IPR&amp;D and intangible amortization expenses, legal activity, estimates for warranty, restructuring charges, Federal Communications Commission, or FCC, or other governmental actions, the gain or loss of significant customers, timing and levels of new product developments, shifts in product or sales channel mix, increased competition and pricing pressure, and general economic conditions affecting enterprise spending for the energy industry.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are generated from a limited number of customers.</w:t>
      </w:r>
    </w:p>
    <w:p>
      <w:pPr>
        <w:spacing w:after="0" w:line="77"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Historically, our revenues have been concentrated with a limited number of customers which change over time. From time to time, we are dependent on large, multi-year contracts that are subject to cancellation or rescheduling by our customers. Cancellation or postponement of one or more of these significant contracts could have a material adverse effect on us. For example, in 2003, we had a large electric utility reschedule approximately $8 million of shipments booked for 2003 to 2004 due to the utility’s need to divert capital spending in order to rebuild critical infrastructure as a result of damage caused by extreme, unplanned weather conditions. In addition, if a large customer contract is not replaced upon its expiration with a new large contract, our business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and investments in third parties carry risks.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Acquisitions and investments, including our acquisition of IEM, involve numerous risks such as the diversion of senior management’s attention, unsuccessful integration of the acquired entity’s personnel, operations, technologies and products, lack of market acceptance of new services and technologies, or a shift in industry dynamics that negatively impacts the forecasted demand for the new products. Impairment of an investment or goodwill and intangible assets may result if these risks materialize. These risks are inherent in our acquisition of IEM, which is our largest acquisition to date. There can be no assurances that an acquired business, including IEM, will perform as expected or generate significant revenues or profits. In addition, acquisitions may involve the assumption of obligations or significant one-time write-offs. For example, in the fourth quarter of 2003, we incurred pre-tax charges totaling $2.4 million for the write-off of a minority investment in one company and the impairment of our minority investment in another company due to changes in the business conditions of those companies. In order to finance any future acquisitions, we may need to raise additional funds through public or private financings.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Itron and IEM have no combined operating history, and there can be no assurance that we will be able to successfully integrate IEM’s operations with those of Itron.</w:t>
      </w:r>
    </w:p>
    <w:p>
      <w:pPr>
        <w:spacing w:after="0" w:line="3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Prior to our acquisition of IEM, IEM has been operated independently of Itron, and there can be no assurance that we will be able to integrate the operations of IEM successfully or to institute the necessary systems and procedures, including accounting and financial reporting systems, to manage the combined enterprise on a profitable basis. There can be no assurance that our management group will be able to manage the combined entity effectively or to implement successfully our acquisition and internal growth operating strategies. Our inability to integrate IEM successfully could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develop new products.</w:t>
      </w:r>
    </w:p>
    <w:p>
      <w:pPr>
        <w:spacing w:after="0" w:line="7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have made, and expect to continue to make, substantial investments in technology development. Our future success will depend, in part, on our ability to continue to design and manufacture new competitive products and to enhance and sustain our existing products. This product development will require continued investment in order to maintain our market position. We may experience unforeseen problems in the development or performance of our technologies or products. In addition, we may not meet our product development schedules. Finally, we may not achieve market acceptance of our new products and solutions.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facing increasing competition.</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greater name recognition and experience than we have. Some competitors may enter markets we serve and sell products at low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Current and potential competitors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In connection with this Acquisition, in order to obtain Federal Trade Commission (FTC) clearance,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IEM acquisition. The license agreement includes some of our electric meter module and certain other technology. We cannot be certain that this agreement will not materially impact our future sales growth at some point. Other companies may also produce products that are equal or superior to our products, which could reduce our market share, reduce our overall sales, and require us to invest additional funds in new technology development. If we cannot compete successfully against current or future competitors, this will have a material adverse effect on our business, financial condition, results of operations and cash flow.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availability and regulation of radio spectrum.</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significant number of our products use radio spectrum and in the United States are subject to regulation by the FCC. Licenses for radio frequencies must be obtained and periodically renewed. Licenses granted to us or our customers may not be renewed on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Congress will adopt additional changes.</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committed, and will continue to commit, significant resources to the development of products that use particular radio frequencies. Action by the FCC could require modifications to our products. If we are unable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modify our products to meet such requirements, we could experience delays in completing such modifications, or the cost of such modifications could have a material adverse effect on our future financial condition and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The unlicensed frequencies are also frequently the subject of proposals to the FCC requesting a change in the rules under which such frequencies may be used. If the unlicensed frequencies become unacceptably crowded or restrictive or subject to changed rules governing their use, and no additional frequencies are allocated, our business could be materially adversely affected.</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also subject to regulatory requirements in international markets that vary by country. To the extent we wish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 in those countries.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associated with the use of products for which patent ownership or other intellectual property rights are claimed.</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financial condition and results of operations.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stop the other party from using the technology or other intellectual property right at issue on the ground that it is non-infringing. Policing unauthorized use of our intellectual property is difficult and expensive, and we cannot assure you that we will be able to, or have the resources to, prevent misappropriation of our proprietary rights, particularly in countries where the laws may not protect such rights as fully as do the laws of the United States.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warranty exposure that exceeds our reserves.</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We provide product warranties for varying lengths of time. In anticipation of such expenses, we establish allowances for the estimated liability associated with product warranties and product-failure related costs. However, these warranty and related product-failure costs allowances may be inadequate, and we may incur additional warranty and related expenses in the future with respect to new or established products. For example, in the fourth quarter of 2003, we made an $8.6 million adjustment to a previous warranty estimate for a specific product that resulted from a defective component provided by a supplier.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key manufacturing facilities are concentrated.</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substantial portion of our revenues are derived from the sale of electricity meters, which we manufacture in our facility in Oconee, South Carolina, and from the sale of AMR meter modules, which we manufacture in our facility in Waseca, Minnesota. In the event of a significant interruption in production at either of our manufacturing facilities, considerable time and effort could be required to establish alternative production lines, which would have a material adverse effect on our business, financial condition and results of operation.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number of key personnel are critical to the success of our business.</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success depends in large part on the efforts of our highly qualified technical and management personnel in all disciplines. The loss of one or more of these personnel and the inability to attract and retain qualified replacements could have a material adverse effect on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certain key vendors.</w:t>
      </w:r>
    </w:p>
    <w:p>
      <w:pPr>
        <w:spacing w:after="0" w:line="7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and costs. In addition, we depend on one contract manufacturing vendor for a large portion of our low-volume manufacturing business and all of our repair services for our domestic handheld meter reading units. If that vendor should become unable to perform its responsibilities, our operations could be materially disrupted.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international business uncertainties.</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conduct operations outside the United States. We will face increased exposure to risks related to international business operations with the Acquisition as we expand our international business operations to include operations in Taiwan, Mexico and France. International sales and operations may be subject to risks such as the imposition of government controls, political instability, restrictions on the import or export of critical technology, currency exchange rate fluctuations, adverse tax burdens, availability of qualified third-party financing, generally longer collection periods, trade restrictions, changes in tariffs, difficulties in staffing and managing international operations, potential insolvency of international dealers, burdens of complying with different permitting standards and a wide variety of foreign laws, and obstacles to the repatriation of earnings and cash. Fluctuations in the value of the U.S. dollar impact our ability to compete with international competitors.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technology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regulatory compliance.</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subject to various governmental regulations related to occupational safety and health, labor, and wage practices as well as regulations regarding the performance of certain engineering services.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arising from the use of hazardous materials.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and our facilities are subject to a number of federal, state and local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taken in compliance with the law. In the ordinary course of our business, like that of other companies engaged in similar businesses, we use metals, solvents and similar materials, which are stored on site. The waste created by use of these materials is transported off-site on a regular basis by unaffiliated waste haulers. Many environmental laws and regulations require generators of waste to take remedial actions at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with respect to our Oconee, South Carolina facility, certain environmental remedial activities are required pursuant to a consent agreement between SchlumbergerSema, Inc and the South Carolina Department of Health and Environmental Control. The consent agreement requires SchlumbergerSema to investigate and remediate groundwater contamination and all releases of any hazardous waste or hazardous constituents that present an actual or potential threat to human health and the environment. Under the terms of the Acquisition, Schlumberger Technology Corporation (STC), a wholly owned subsidiary of Schlumberger, agreed to complete all remedial obligations associated with the consent agreement. Further, STC agreed to indemnify us for all costs incurred as a result of any releases and generation or transportation of hazardous materials prior to the Acquisition. Although we expect STC to comply with the terms of the consent agreement and the Acquisition, there is a risk that such remediation will interfere with our future use of the Oconee property or that, if STC did not comply, the remediation responsibility would transfer to us. For further discussion of the Acquisition and the related environmental indemnities, see “The Acquisition.”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prospectus contains forward-looking statements concerning our operations, economic performance, revenues, earnings, cost reductions programs and other items. These statements are subject to a number of risks and uncertainties, many of which are beyond our control. All statements other than statements of historical facts included in this prospectus, including the statements under “Prospectus Summary,” “Business” and elsewhere regarding our strategy, future operations, financial position, estimated revenues, projected costs, projections, prospects, plans and objectives of management, are forward-looking statements. When used in this prospectus, the words “will,” “believe,” “anticipate,” “intend,” “estimate,” “expect,” “project” and similar expressions are intended to identify forward-looking statements, although not all forward-looking statements contain such identifying words. All forward-looking statements speak only as of the date of this prospectus. Neither we nor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guarantors of the notes nor the initial purchaser undertakes any obligation to update or revise publicly any forward-looking statements, whether as a result of new information, future events or otherwise. Although we believe that our plans, intentions and expectations reflected in or suggested by the forward-looking statements we make in this prospectus are reasonable, we can give no assurance that such plans, intentions or expectations will be achieved.</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read carefully the factors described in the section entitled “Risk Factors” of this prospectus for a description of certain risks that could, among other things, cause actual results to differ from these forward-looking statements.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PRIVATE PLACEMENT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issued $125 million in principal amount of the original notes dated as of May 10, 2004 to the initial purchaser of those notes and received proceeds that after deducting the discount, expenses and commissions represented an aggregate of $124.1 million in net proceeds. We issued the original notes to the initial purchaser in a transaction exempt from or not subject to registration under the Securities Act. The initial purchaser then offered and resold the original notes to qualified institutional buyers in compliance with Rule 144A or non-U.S. persons in compliance with Regulation S under the Securities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We are making the exchange offer to satisfy our obligations under the original notes, the indenture and the registration rights agreement. We will not receive any cash proceeds from the exchange offer. In consideration of issuing the exchange notes in the exchange offer, we will receive an equal principal amount of original notes. Any original notes that are properly tendered and accepted in the exchange offer will be canceled.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40" w:firstLine="3392"/>
        <w:spacing w:after="0" w:line="476"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The following table presents our ratio of earnings to fixed charges for years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2001</w:t>
            </w: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2000</w:t>
            </w:r>
          </w:p>
        </w:tc>
        <w:tc>
          <w:tcPr>
            <w:tcW w:w="22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Ratios: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Earnings to fixed charges</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4.6</w:t>
            </w:r>
          </w:p>
        </w:tc>
        <w:tc>
          <w:tcPr>
            <w:tcW w:w="2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Deficit of earnings to fixed charges (in thousands)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(94,036)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purposes of computing the ratio of earnings to fixed charges, earnings consist of earnings from continuing operations before income taxes plus fixed charges. Fixed charges consist of interest expense, amortization of debt issuance cost and the portion of rental expense that management believes is representative of the interest component of rental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our consolidated cash and cash equivalents, and capitalization at September 30, 2004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New senior credit facility</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Revolving credit facility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Term loan</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senior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Senior subordinated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debt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Total shareholders’ equity</w:t>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September 30,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37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88" w:lineRule="exact"/>
        <w:rPr>
          <w:sz w:val="20"/>
          <w:szCs w:val="20"/>
          <w:color w:val="auto"/>
        </w:rPr>
      </w:pPr>
    </w:p>
    <w:p>
      <w:pPr>
        <w:ind w:left="681" w:hanging="681"/>
        <w:spacing w:after="0"/>
        <w:tabs>
          <w:tab w:leader="none" w:pos="681" w:val="left"/>
        </w:tabs>
        <w:numPr>
          <w:ilvl w:val="0"/>
          <w:numId w:val="8"/>
        </w:numPr>
        <w:rPr>
          <w:rFonts w:ascii="Arial" w:cs="Arial" w:eastAsia="Arial" w:hAnsi="Arial"/>
          <w:sz w:val="15"/>
          <w:szCs w:val="15"/>
          <w:color w:val="auto"/>
        </w:rPr>
      </w:pPr>
      <w:r>
        <w:rPr>
          <w:rFonts w:ascii="Arial" w:cs="Arial" w:eastAsia="Arial" w:hAnsi="Arial"/>
          <w:sz w:val="15"/>
          <w:szCs w:val="15"/>
          <w:color w:val="auto"/>
        </w:rPr>
        <w:t>11,324</w:t>
      </w:r>
    </w:p>
    <w:p>
      <w:pPr>
        <w:spacing w:after="0" w:line="273" w:lineRule="exact"/>
        <w:rPr>
          <w:rFonts w:ascii="Arial" w:cs="Arial" w:eastAsia="Arial" w:hAnsi="Arial"/>
          <w:sz w:val="15"/>
          <w:szCs w:val="15"/>
          <w:color w:val="auto"/>
        </w:rPr>
      </w:pPr>
    </w:p>
    <w:p>
      <w:pPr>
        <w:ind w:left="681"/>
        <w:spacing w:after="0"/>
        <w:rPr>
          <w:rFonts w:ascii="Arial" w:cs="Arial" w:eastAsia="Arial" w:hAnsi="Arial"/>
          <w:sz w:val="15"/>
          <w:szCs w:val="15"/>
          <w:color w:val="auto"/>
        </w:rPr>
      </w:pPr>
      <w:r>
        <w:rPr>
          <w:rFonts w:ascii="Arial" w:cs="Arial" w:eastAsia="Arial" w:hAnsi="Arial"/>
          <w:sz w:val="15"/>
          <w:szCs w:val="15"/>
          <w:color w:val="auto"/>
        </w:rPr>
        <w:t>11,324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372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0" w:lineRule="exact"/>
        <w:rPr>
          <w:sz w:val="20"/>
          <w:szCs w:val="20"/>
          <w:color w:val="auto"/>
        </w:rPr>
      </w:pPr>
    </w:p>
    <w:p>
      <w:pPr>
        <w:ind w:left="901"/>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37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174,538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124,114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372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302,866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372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12" w:lineRule="exact"/>
        <w:rPr>
          <w:sz w:val="20"/>
          <w:szCs w:val="20"/>
          <w:color w:val="auto"/>
        </w:rPr>
      </w:pPr>
    </w:p>
    <w:p>
      <w:pPr>
        <w:ind w:left="581" w:hanging="581"/>
        <w:spacing w:after="0"/>
        <w:tabs>
          <w:tab w:leader="none" w:pos="581" w:val="left"/>
        </w:tabs>
        <w:numPr>
          <w:ilvl w:val="0"/>
          <w:numId w:val="9"/>
        </w:numPr>
        <w:rPr>
          <w:rFonts w:ascii="Arial" w:cs="Arial" w:eastAsia="Arial" w:hAnsi="Arial"/>
          <w:sz w:val="16"/>
          <w:szCs w:val="16"/>
          <w:color w:val="auto"/>
        </w:rPr>
      </w:pPr>
      <w:r>
        <w:rPr>
          <w:rFonts w:ascii="Arial" w:cs="Arial" w:eastAsia="Arial" w:hAnsi="Arial"/>
          <w:sz w:val="16"/>
          <w:szCs w:val="16"/>
          <w:color w:val="auto"/>
        </w:rPr>
        <w:t>488,425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4168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1680"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39" w:space="720"/>
            <w:col w:w="1161"/>
          </w:cols>
          <w:pgMar w:left="240" w:top="459" w:right="239" w:bottom="1440" w:gutter="0" w:footer="0" w:header="0"/>
        </w:sectPr>
      </w:pPr>
    </w:p>
    <w:p>
      <w:pPr>
        <w:spacing w:after="0" w:line="295" w:lineRule="exact"/>
        <w:rPr>
          <w:sz w:val="20"/>
          <w:szCs w:val="20"/>
          <w:color w:val="auto"/>
        </w:rPr>
      </w:pPr>
    </w:p>
    <w:p>
      <w:pPr>
        <w:ind w:left="460" w:right="4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revolving credit facility provides for borrowings of up to $55.0 million. At September 30, 2004 there were no amounts outstanding under the revolving credit facility, and there were outstanding letters of credit of approximately $23.3 million, leaving $31.7 million available for additional borrowings thereunder.</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outsourcing project financing debt and capital leases.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INFORMATION</w:t>
      </w:r>
    </w:p>
    <w:p>
      <w:pPr>
        <w:spacing w:after="0" w:line="16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selected historical consolidated financial information as of and for each of the five years in the period ended December 31, 2003 are derived from our audited consolidated financial statements. The selected historical consolidated financial information as of and for each of the nine month periods ended September 30, 2004 and 2003 are derived from our unaudited consolidated financial statements. The unaudited consolidated financial statements include all adjustments, consisting of normal recurring accruals, which we consider necessary for a fair presentation of our financial position and the results of operations for these periods. Operating results for the nine month period ended September 30, 2004 are not necessarily indicative of the results that may be expected for the entire year ending December 31, 2004 or for any other future period. This financial information should be read in conjunction with the financial information included in the documents incorporated by reference into this prospectus, including the financial statements and the related notes included in our Annual Report on Form 10-K/A for the year ended December 31, 2003 filed February 7, 2005 and our Quarterly Reports on Form 10-Q/A for the nine month periods ended September 30, 2004 and 2003, respectively, filed February 7, 2005.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10"/>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2001</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12"/>
          </w:tcPr>
          <w:p>
            <w:pPr>
              <w:ind w:left="120"/>
              <w:spacing w:after="0"/>
              <w:rPr>
                <w:sz w:val="20"/>
                <w:szCs w:val="20"/>
                <w:color w:val="auto"/>
              </w:rPr>
            </w:pPr>
            <w:r>
              <w:rPr>
                <w:rFonts w:ascii="Arial" w:cs="Arial" w:eastAsia="Arial" w:hAnsi="Arial"/>
                <w:sz w:val="14"/>
                <w:szCs w:val="14"/>
                <w:b w:val="1"/>
                <w:bCs w:val="1"/>
                <w:color w:val="auto"/>
                <w:w w:val="95"/>
              </w:rPr>
              <w:t>(in thousands, except per share data)</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Statements of Operations Data</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230,358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204,530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273,783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241,158</w:t>
            </w:r>
          </w:p>
        </w:tc>
        <w:tc>
          <w:tcPr>
            <w:tcW w:w="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183,425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141,899</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147,128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ind w:left="420"/>
              <w:spacing w:after="0"/>
              <w:rPr>
                <w:sz w:val="20"/>
                <w:szCs w:val="20"/>
                <w:color w:val="auto"/>
              </w:rPr>
            </w:pPr>
            <w:r>
              <w:rPr>
                <w:rFonts w:ascii="Arial" w:cs="Arial" w:eastAsia="Arial" w:hAnsi="Arial"/>
                <w:sz w:val="14"/>
                <w:szCs w:val="14"/>
                <w:color w:val="auto"/>
              </w:rPr>
              <w:t>Service</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37,390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32,458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43,182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43,684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42,130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38,042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46,284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267,748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236,988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316,965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284,842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225,555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179,941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193,412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4"/>
                <w:szCs w:val="14"/>
                <w:color w:val="auto"/>
              </w:rPr>
              <w:t>Cost of revenues</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152,133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82"/>
              </w:rPr>
              <w:t>121,244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173,411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82"/>
              </w:rPr>
              <w:t>152,573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127,696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109,092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202,640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 (loss)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115,615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115,744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143,554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132,269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97,859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70,849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and marketing</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30,961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30,603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24,952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19,902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Product development</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32,669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31,774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43,017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36,780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21,331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26,764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General and administrative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24,479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20,743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28,944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26,653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16,780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18,389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Amortization of intangibles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11,271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7,044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Restructurings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In-process research and development</w:t>
            </w:r>
          </w:p>
        </w:tc>
        <w:tc>
          <w:tcPr>
            <w:tcW w:w="6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 accrual</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7,400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104,395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94,130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121,860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114,127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71,999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61,199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21,614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18,142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25,860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(93,405)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affiliates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1,410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1,110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(8,162)</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(2,638)</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(2,061)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(5,112)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ind w:left="420"/>
              <w:spacing w:after="0"/>
              <w:rPr>
                <w:sz w:val="20"/>
                <w:szCs w:val="20"/>
                <w:color w:val="auto"/>
              </w:rPr>
            </w:pPr>
            <w:r>
              <w:rPr>
                <w:rFonts w:ascii="Arial" w:cs="Arial" w:eastAsia="Arial" w:hAnsi="Arial"/>
                <w:sz w:val="14"/>
                <w:szCs w:val="14"/>
                <w:color w:val="auto"/>
              </w:rPr>
              <w:t>Other income (expense), net</w:t>
            </w: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422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(1,395)</w:t>
            </w: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1,465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income (expense)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(8,484)</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(1,368)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(3,795)</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(4,494)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 and cumulative effect of change in accounting principle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20,246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18,859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21,366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(94,636)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color w:val="auto"/>
              </w:rPr>
              <w:t>(8,129)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(7,421)</w:t>
            </w:r>
          </w:p>
        </w:tc>
        <w:tc>
          <w:tcPr>
            <w:tcW w:w="8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(10,176)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(7,916)</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(3,270)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26,040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 before cumulative effect of change in accounting principle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12,117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8,683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13,450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(68,596)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4"/>
                <w:szCs w:val="14"/>
                <w:color w:val="auto"/>
              </w:rPr>
              <w:t>Cumulative effect of change in accounting principle, net of income taxes of $1,581</w:t>
            </w:r>
          </w:p>
        </w:tc>
        <w:tc>
          <w:tcPr>
            <w:tcW w:w="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(2,562)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12,117</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8,683</w:t>
            </w:r>
          </w:p>
        </w:tc>
        <w:tc>
          <w:tcPr>
            <w:tcW w:w="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13,450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(68,596)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Per Share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Basic</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before cumulative effect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0.45</w:t>
            </w:r>
          </w:p>
        </w:tc>
        <w:tc>
          <w:tcPr>
            <w:tcW w:w="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ind w:left="420"/>
              <w:spacing w:after="0"/>
              <w:rPr>
                <w:sz w:val="20"/>
                <w:szCs w:val="20"/>
                <w:color w:val="auto"/>
              </w:rPr>
            </w:pPr>
            <w:r>
              <w:rPr>
                <w:rFonts w:ascii="Arial" w:cs="Arial" w:eastAsia="Arial" w:hAnsi="Arial"/>
                <w:sz w:val="14"/>
                <w:szCs w:val="14"/>
                <w:color w:val="auto"/>
              </w:rPr>
              <w:t>Cumulative effect</w:t>
            </w:r>
          </w:p>
        </w:tc>
        <w:tc>
          <w:tcPr>
            <w:tcW w:w="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net income (loss)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0.45</w:t>
            </w:r>
          </w:p>
        </w:tc>
        <w:tc>
          <w:tcPr>
            <w:tcW w:w="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Income (loss) before cumulative effect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0.08</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0.56</w:t>
            </w:r>
          </w:p>
        </w:tc>
        <w:tc>
          <w:tcPr>
            <w:tcW w:w="140" w:type="dxa"/>
            <w:vAlign w:val="bottom"/>
          </w:tcPr>
          <w:p>
            <w:pPr>
              <w:spacing w:after="0"/>
              <w:rPr>
                <w:sz w:val="12"/>
                <w:szCs w:val="12"/>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0.41</w:t>
            </w:r>
          </w:p>
        </w:tc>
        <w:tc>
          <w:tcPr>
            <w:tcW w:w="26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0.75</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26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effect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 net income (loss)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0.56</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0.41</w:t>
            </w:r>
          </w:p>
        </w:tc>
        <w:tc>
          <w:tcPr>
            <w:tcW w:w="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20,827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20,364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20,413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19,262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15,639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15,180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21,699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21,380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18,834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15,385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Data</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Working capital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92,532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23,710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51,036</w:t>
            </w:r>
          </w:p>
        </w:tc>
        <w:tc>
          <w:tcPr>
            <w:tcW w:w="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66,646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45,340</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569,295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2"/>
              </w:rPr>
              <w:t>298,760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303,489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2"/>
              </w:rPr>
              <w:t>247,246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202,691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177,231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192,079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debt</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302,866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46,614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5,453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64,484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65,446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ind w:left="420"/>
              <w:spacing w:after="0"/>
              <w:rPr>
                <w:sz w:val="20"/>
                <w:szCs w:val="20"/>
                <w:color w:val="auto"/>
              </w:rPr>
            </w:pPr>
            <w:r>
              <w:rPr>
                <w:rFonts w:ascii="Arial" w:cs="Arial" w:eastAsia="Arial" w:hAnsi="Arial"/>
                <w:sz w:val="14"/>
                <w:szCs w:val="14"/>
                <w:color w:val="auto"/>
              </w:rPr>
              <w:t>Shareholders’ equity</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185,559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82"/>
              </w:rPr>
              <w:t>178,837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177,244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82"/>
              </w:rPr>
              <w:t>161,601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76,052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52,092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47,526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-2469515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-2469515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-2469515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-2469515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-2469515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-2469515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-2469515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-2469515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-2469515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-2469515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-2469515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-2469515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-2469515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-2469515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-2469515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-2469515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-2469515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-2469515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-2469515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-2469515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-2469515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-1689100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-1689100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-1689100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-1689100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-1689100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-1689100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-1689100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-1689100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-1689100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-1689100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-1689100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-1689100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-1689100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-1689100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-1689100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-1689100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-1689100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-1689100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-1689100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-1689100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-1689100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-1002665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-1002665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-1002665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-1002665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-1002665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-1002665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-1002665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-1002665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-1002665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-1002665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-1002665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-1002665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-1002665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-1002665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-1002665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-1002665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-1002665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-1002665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-1002665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-1002665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-1002665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sale of the original notes, we entered into a registration rights agreement with the initial purchaser of the original notes. In that agreement, we agreed to file a registration statement relating to an offer to exchange the original notes for the exchange notes. We also agreed to use our best efforts to have the SEC declare that registration statement effective by November 6, 2004. We are offering the exchange notes under this prospectus in an exchange offer for the original notes to satisfy our obligations under the registration rights agreement. We refer to our offer to exchange the exchange notes for the original notes as the “exchange offer.”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83" w:lineRule="exact"/>
        <w:rPr>
          <w:sz w:val="20"/>
          <w:szCs w:val="20"/>
          <w:color w:val="auto"/>
        </w:rPr>
      </w:pPr>
    </w:p>
    <w:p>
      <w:pPr>
        <w:jc w:val="both"/>
        <w:ind w:right="40" w:firstLine="456"/>
        <w:spacing w:after="0" w:line="347" w:lineRule="auto"/>
        <w:rPr>
          <w:sz w:val="20"/>
          <w:szCs w:val="20"/>
          <w:color w:val="auto"/>
        </w:rPr>
      </w:pPr>
      <w:r>
        <w:rPr>
          <w:rFonts w:ascii="Arial" w:cs="Arial" w:eastAsia="Arial" w:hAnsi="Arial"/>
          <w:sz w:val="15"/>
          <w:szCs w:val="15"/>
          <w:color w:val="auto"/>
        </w:rPr>
        <w:t>Based on interpretations of the SEC staff in no-action letters issued to third parties, we believe that each exchange note issued in the exchange offer may be offered for resale, resold and otherwise transferred by you without compliance with the registration and prospectus delivery requirements of the Securities Act if:</w:t>
      </w:r>
    </w:p>
    <w:p>
      <w:pPr>
        <w:spacing w:after="0" w:line="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not our affiliate within the meaning of Rule 405 under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acquire such exchange notes in the ordinary course of your business;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do not intend to participate in the distribution of exchange notes; and</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not a broker-dealer that will receive exchange notes for your own account in exchange for original notes that you acquired as a result of market-making activities or other trading activities.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tender your original notes in the exchange offer with the intention of participating in any manner in a distribution of the exchange notes, you:</w:t>
      </w:r>
    </w:p>
    <w:p>
      <w:pPr>
        <w:spacing w:after="0" w:line="10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cannot rely on such interpretations of the SEC staff; and</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 secondary resale transaction of the exchange notes.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an exemption from registration is otherwise available, the resale by any security holder intending to distribute exchange notes should be covered by an effective registration statement under the Securities Act containing the selling security holder’s information required by Item 507 or Item 508, as applicable, of Regulation S-K under the Securities Act. This prospectus may be used for an offer to resell, a resale or other retransfer of exchange notes only as specifically described in this prospectus. Each broker-dealer that receives exchange notes for its own account in exchange for original notes, where that broker-dealer acquired such original notes as a result of market-making activities or other trading activities, must acknowledge that it will deliver a prospectus in connection with any resale of such exchange notes. Please read “Plan of Distribution” for more details regarding the transfer of exchange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Upon the terms and subject to the conditions described in this prospectus and in the letter of transmittal, we will accept for exchange any original notes properly tendered and not withdrawn prior to the expiration date of the exchange offer. We will issue $1,000 principal amount of exchange notes in exchange for each $1,000 principal amount of original notes surrendered under the exchange offer and accepted by us. Original notes may be tendered only in integral multiples of $1,000.</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terms of the exchange notes are identical in all material respects to those of the original notes, except the exchange notes will not be subject to transfer restrictions and holders of the exchange notes and with limited exceptions, will have no registration rights. Also, the exchange notes will not include provisions contained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original notes that required payment of liquidated damages in the event we failed to satisfy our registration obligations with respect to the original notes. The exchange notes will be issued under and entitled to the benefits of the same indenture that authorized the issuance of the outstanding notes.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offer is not conditioned on any minimum aggregate principal amount of original notes being tendered for exchange.</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the date of this prospectus, $125 million principal amount of original notes are outstanding. This prospectus and the letter of transmittal are being sent to all registered holders of the original notes. There will be no fixed record date for determining registered holders of the original notes entitled to participate in the exchange offer. We intend to conduct the exchange offer in accordance with the provisions of the registration rights agreement, the applicable requirements of the Securities Act and the Securities Exchange Act of 1934, as amended, or the Exchange Act, and the SEC rules and regulations. Original notes that are not tendered for exchange in the exchange offer:</w:t>
      </w:r>
    </w:p>
    <w:p>
      <w:pPr>
        <w:spacing w:after="0" w:line="48"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remain outstanding,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continue to accrue interest, and</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entitled to the rights and benefits that holders have under the indenture relating to the notes and, under limited circumstances, the registration rights agreement.</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will be deemed to have accepted for exchange properly tendered original notes when we have given oral or written notice of the acceptance to the exchange agent and complied with the applicable provisions of the registration rights agreement. The exchange agent will act as agent for the tendering holders for the purposes of receiving the exchange notes from us. We will issue the exchange notes promptly after the expiration of the exchange offer.</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you tender original notes in the exchange offer, you will not be required to pay brokerage commissions or fees or, subject to the instructions in the letter of transmittal, transfer taxes with respect to the exchange of original notes. We will pay all charges and expenses, other than certain applicable taxes described below, in connection with the exchange offer. It is important that you read “The Exchange Offer—Fees and Expenses” for more details about fees and expenses incurred in the exchange offer.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return any original notes that we do not accept for exchange for any reason without expense to the tendering holder as promptly as practicable after the expiration or termination of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83" w:lineRule="exact"/>
        <w:rPr>
          <w:sz w:val="20"/>
          <w:szCs w:val="20"/>
          <w:color w:val="auto"/>
        </w:rPr>
      </w:pPr>
    </w:p>
    <w:p>
      <w:pPr>
        <w:ind w:left="460"/>
        <w:spacing w:after="0"/>
        <w:tabs>
          <w:tab w:leader="none" w:pos="6180" w:val="left"/>
        </w:tabs>
        <w:rPr>
          <w:sz w:val="20"/>
          <w:szCs w:val="20"/>
          <w:color w:val="auto"/>
        </w:rPr>
      </w:pPr>
      <w:r>
        <w:rPr>
          <w:rFonts w:ascii="Arial" w:cs="Arial" w:eastAsia="Arial" w:hAnsi="Arial"/>
          <w:sz w:val="18"/>
          <w:szCs w:val="18"/>
          <w:color w:val="auto"/>
        </w:rPr>
        <w:t>The exchange offer will expire at 5:00 p.m., New York City time, on</w:t>
      </w:r>
      <w:r>
        <w:rPr>
          <w:sz w:val="20"/>
          <w:szCs w:val="20"/>
          <w:color w:val="auto"/>
        </w:rPr>
        <w:tab/>
      </w:r>
      <w:r>
        <w:rPr>
          <w:rFonts w:ascii="Arial" w:cs="Arial" w:eastAsia="Arial" w:hAnsi="Arial"/>
          <w:sz w:val="15"/>
          <w:szCs w:val="15"/>
          <w:color w:val="auto"/>
        </w:rPr>
        <w:t>, 2005, unless at our sole discretion we extend the offer.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Delay in Acceptance, Termination or Amendment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expressly reserve the right, at any time or at various times, to extend the period of time during which the exchange offer is open. We may delay acceptance for exchange of any original notes by giving oral or written notice of the extension to their holders. During any such extensions, all original notes you have previously tendered will remain subject to the exchange offer for that series, and we may accept them for exchange.</w:t>
      </w:r>
    </w:p>
    <w:p>
      <w:pPr>
        <w:spacing w:after="0" w:line="9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To extend the exchange offer, we will notify the exchange agent orally or in writing of any extension. We also will make a public announcement of the extension no later than 9:00 a.m., New York City time, on the next business day after the previously scheduled expiration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any of the conditions described below under “The Exchange Offer — Conditions to the Exchange Offer” have not been satisfied with respect to the exchange offer, we reserve the right, at our sole discretion:</w:t>
      </w:r>
    </w:p>
    <w:p>
      <w:pPr>
        <w:spacing w:after="0" w:line="3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delay accepting for exchange any original notes,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give oral or written notice of such extension, delay or termination to the exchange agent. Subject to the terms of the registration rights agreement, we also reserve the right to amend the terms of the exchange offer in any manner.</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such extension, delay in acceptance, termination or amendment will be followed as promptly as practicable by oral or written notice thereof to the registered holders of the original notes. If we amend the exchange offer in a manner that we determine to constitute a material change, we will promptly disclose that amendment by means of a prospectus supplement. We will distribute the supplement to the registered holders of the original notes. Depending on the significance of the amendment and the manner of disclosure to the registered holders, we may extend, pursuant to the terms of the registration rights agreement and the requirements of federal securities law, the exchange offer if the exchange offer would otherwise expire during such period.</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Without limiting the manner in which we may choose to make public announcements of any extension, delay in acceptance, termination or amendment of the exchange offer, we have no obligation to publish, advertise or otherwise communicate any such public announcement, other than by making a timely release to an appropriate news agency.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Notwithstanding any other provision of the exchange offer and subject to the terms of the registration rights agreement, we will not be required to accept for exchange, or to issue exchange notes in exchange for, any original notes and may terminate or amend the exchange offer, if at any time before the expiration date of the exchange offer any of the following events occur:</w:t>
      </w:r>
    </w:p>
    <w:p>
      <w:pPr>
        <w:spacing w:after="0" w:line="46" w:lineRule="exact"/>
        <w:rPr>
          <w:sz w:val="20"/>
          <w:szCs w:val="20"/>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injunction, order or decree has been issued by any court or any governmental agency that would prohibit, prevent or otherwise materially impair our ability to proceed with the exchange offer;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any applicable interpretation of the staff of the SEC.</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not be obligated to accept for exchange the original notes of any holder that has not made to us:</w:t>
      </w:r>
    </w:p>
    <w:p>
      <w:pPr>
        <w:spacing w:after="0" w:line="7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representations described under “The Exchange Offer — Procedures for Tendering” and “Plan of Distribution,” and</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representations as may be reasonably necessary under applicable SEC rules, regulations or interpretations to make available to us an appropriate form for registering the exchange notes under the Securities Act.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expressly reserve the right to amend or terminate the exchange offer, and to reject for exchange any original notes not previously accepted for exchange in the exchange offer, upon the occurrence of any of the conditions to the exchange offer specified above. We will give oral or written notice of any extension, non-acceptance, termination or amendment to the holders of the original notes as promptly as practicable.</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These conditions are for our sole benefit, and we may assert them or waive them in whole or in part at any time or at various times at our sole discretion. Our failure at any time to exercise any of these rights will not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mean that we have waived our rights. Each right will be deemed an ongoing right that we may assert at any time or at various times. If we waive a condition, we may be required in order to comply with applicable securities laws, to extend the expiration date of the exchange offer.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original notes tendered, and will not issue exchange notes in exchange for any such original notes, if at such time any stop order has been threatened or is in effect with respect to the registration statement of which this prospectus constitutes a part or the qualification of the indenture relating to the notes under the Trust Indenture Act of 1939.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Tender Generally</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Only a holder of the original notes may tender original notes in the exchange offer. To tender in the exchange offer, a holder must either (1) comply with the procedures for physical tender or (2) comply with the automated tender offer program procedures of DTC, described below.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complete a physical tender, a holder must:</w:t>
      </w:r>
    </w:p>
    <w:p>
      <w:pPr>
        <w:spacing w:after="0" w:line="7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signature on the letter of transmittal guaranteed if the letter of transmittal so requires,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mail or deliver the letter of transmittal or facsimile to the exchange agent prior to the expiration date,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deliver the original notes to the exchange agent prior to the expiration date or comply with the guaranteed delivery procedures described below.</w:t>
      </w:r>
    </w:p>
    <w:p>
      <w:pPr>
        <w:spacing w:after="0" w:line="20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its address provided above under “The Exchange Agent” prior to the expiration date.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complete a tender through DTC’s automated tender offer program, the exchange agent must receive, prior to the expiration date, a timely confirmation of book-entry transfer of such original notes into the exchange agent’s account at DTC according to the procedure for book-entry transfer described below or a properly transmitted agent’s message.</w:t>
      </w:r>
    </w:p>
    <w:p>
      <w:pPr>
        <w:spacing w:after="0" w:line="12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tender by a holder that is not withdrawn prior to the expiration date and our acceptance of that tender will constitute an agreement between the holder and us in accordance with the terms and subject to the conditions described in this prospectus and in the letter of transmittal.</w:t>
      </w:r>
    </w:p>
    <w:p>
      <w:pPr>
        <w:spacing w:after="0" w:line="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THE METHOD OF DELIVERY OF ORIGINAL NOTES, THE LETTER OF TRANSMITTAL AND ALL OTHER REQUIRED DOCUMENTS TO THE EXCHANGE AGENT IS AT YOUR ELECTION AND RISK. RATHER THAN MAIL THESE ITEMS, WE RECOMMEND THAT YOU USE AN OVERNIGHT OR HAND DELIVERY SERVICE. IN ALL CASES, YOU SHOULD ALLOW SUFFICIENT TIME TO ENSURE DELIVERY TO THE EXCHANGE AGENT BEFORE THE EXPIRATION DATE. YOU SHOULD NOT SEND THE LETTER OF TRANSMITTAL OR ORIGINAL NOTES TO US. YOU MAY REQUEST YOUR BROKER, DEALER, COMMERCIAL BANK, TRUST COMPANY OR OTHER NOMINEE TO EFFECT THE ABOVE TRANSACTIONS FOR YOU.</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Tender if You Are a Beneficial Owner</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those notes, you should contact the registered holder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soon as possible and instruct the registered holder to tender on your behalf. If you are a beneficial owner and wish to tender on your own behalf, you must, prior to completing and executing the letter of transmittal and delivering your original notes, either:</w:t>
      </w:r>
    </w:p>
    <w:p>
      <w:pPr>
        <w:spacing w:after="0" w:line="3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your original notes.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and Signature Guarantees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You must have signatures on a letter of transmittal or a notice of withdrawal described below under “The Exchange Offer — Withdrawal of Tenders” guaranteed by an eligible institution unless the original notes are tendered:</w:t>
      </w:r>
    </w:p>
    <w:p>
      <w:pPr>
        <w:spacing w:after="0" w:line="37" w:lineRule="exact"/>
        <w:rPr>
          <w:sz w:val="20"/>
          <w:szCs w:val="20"/>
          <w:color w:val="auto"/>
        </w:rPr>
      </w:pPr>
    </w:p>
    <w:p>
      <w:pPr>
        <w:ind w:left="900" w:right="4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Issuance Instructions” or “Special Delivery Instructions” on the letter of transmittal,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“eligible institution” is a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that is a member of one of the recognized signature guarantee programs identified in the letter of transmittal.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Endorsements or Bond Powers Are Needed</w:t>
      </w:r>
    </w:p>
    <w:p>
      <w:pPr>
        <w:spacing w:after="0" w:line="8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a person other than the registered holder of any original notes signs the letter of transmittal, the original notes must be endorsed or accompanied by a properly completed bond power. The registered holder must sign the bond power as the registered holder’s name appears on the original notes. An eligible institution must guarantee that signature.</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the letter of transmittal or any original notes or bond powers are signed by trustees, executors, administrators, guardians, attorneys-in-fact, or officers of corporations or others acting in a fiduciary or representative capacity, those persons should so indicate when signing. Unless we waive this requirement, they also must submit evidence satisfactory to us of their authority to deliver the letter of transmittal.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Through DTC’s Automated Tender Offer Program</w:t>
      </w:r>
    </w:p>
    <w:p>
      <w:pPr>
        <w:spacing w:after="0" w:line="83"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The exchange agent and DTC have confirmed that any financial institution that is a participant in DTC’s system may use DTC’s automated tender offer program to tender. Accordingly, participants in the program may, instead of physically completing and signing the letter of transmittal and delivering it to the exchange agent, transmit their acceptance of the exchange offer electronically. They may do so by causing DTC to transfer the original notes to the exchange agent in accordance with its procedures for transfer. DTC will then send an agent’s message to the exchange agent.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agent’s message is a message transmitted by DTC to and received by the exchange agent and forming part of the book-entry confirmation, stating that:</w:t>
      </w:r>
    </w:p>
    <w:p>
      <w:pPr>
        <w:spacing w:after="0" w:line="100" w:lineRule="exact"/>
        <w:rPr>
          <w:sz w:val="20"/>
          <w:szCs w:val="20"/>
          <w:color w:val="auto"/>
        </w:rPr>
      </w:pPr>
    </w:p>
    <w:p>
      <w:pPr>
        <w:ind w:left="900" w:right="2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has received an express acknowledgment from a participant in DTC’s automated tender offer program that is tendering original notes that are the subject of such book-entry confirmation;</w:t>
      </w:r>
    </w:p>
    <w:p>
      <w:pPr>
        <w:spacing w:after="0" w:line="37" w:lineRule="exact"/>
        <w:rPr>
          <w:rFonts w:ascii="Arial" w:cs="Arial" w:eastAsia="Arial" w:hAnsi="Arial"/>
          <w:sz w:val="18"/>
          <w:szCs w:val="18"/>
          <w:color w:val="auto"/>
        </w:rPr>
      </w:pPr>
    </w:p>
    <w:p>
      <w:pPr>
        <w:ind w:left="900" w:right="780" w:hanging="446"/>
        <w:spacing w:after="0" w:line="32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participant has received and agrees to be bound by the terms of the letter of transmittal, or, in the case of an agent’s message relating to guaranteed delivery, the participant has received and agrees to be bound by the applicable notice of guaranteed delivery;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enforce the agreement against such participant.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Under the Exchange Offer</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determine at our sole discretion all questions as to the validity, form, eligibility, time of receipt, acceptance of tendered original notes and withdrawal of tendered original notes. Our determination will be final and binding. We reserve the absolute right to reject any original notes not properly tendered or any original notes our acceptance of which, in the opinion of our counsel, might be unlawful. Our interpretation of the terms and conditions of the exchange offer, including the instructions in the letter of transmittal, will be final and binding on all parties.</w:t>
      </w:r>
    </w:p>
    <w:p>
      <w:pPr>
        <w:spacing w:after="0" w:line="13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Unless waived, any defects or irregularities in connection with tenders of original notes must be cured within such time as we determine. Neither we, the exchange agent nor any other person will be under any duty to give notification of defects or irregularities with respect to tenders of original notes, nor will we or those persons incur any liability for failure to give such notification. Tenders of original notes will not be deemed made until such defects or irregularities have been cured or waived. Any original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We Will Issue Exchange Notes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all cases, we will issue exchange notes for original notes that we have accepted for exchange in the exchange offer only after the exchange agent timely receives:</w:t>
      </w:r>
    </w:p>
    <w:p>
      <w:pPr>
        <w:spacing w:after="0" w:line="3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original notes or a timely book-entry confirmation of transfer of such original notes into the exchange agent’s account at DTC,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of Original Notes Not Accepted or Exchanged</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do not accept any tendered original notes for exchange for any reason described in the terms and conditions of the exchange offer or if original notes are submitted for a greater principal amount than the holder desires to exchange, we will return the unaccepted or non-exchanged original notes without expense to their tendering holder. In the case of original notes tendered by book-entry transfer into the exchange agent’s account at DTC according to the procedures described below, such non-exchanged original notes will be credited to an account maintained with DTC. These actions will occur as promptly as practicable after the expiration or termination of the exchange offer.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Representations to Us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signing or agreeing to be bound by the letter of transmittal, you will represent to us that, among other things:</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exchange notes you receive will be acquired in the ordinary course of your business;</w:t>
      </w:r>
    </w:p>
    <w:p>
      <w:pPr>
        <w:spacing w:after="0" w:line="103"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in the distribution of the original notes or the exchange notes within the meaning of the Securities Act;</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 or, if you are our affiliate, you will comply with the applicable registration and prospectus delivery requirements of the Securities Act;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exchange notes; and</w:t>
      </w:r>
    </w:p>
    <w:p>
      <w:pPr>
        <w:spacing w:after="0" w:line="103"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you are a broker-dealer that will receive exchange notes for your own account in exchange for original notes that you acquired as a result of market-making activities or other trading activities, you will deliver a prospectus in connection with any resale of such exchange notes.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exchange agent will make a request to establish an account with respect to the original notes at DTC for purposes of the exchange offer promptly after the date of this prospectus. Any financial institution participating in DTC’s system may make book-entry delivery of original notes by causing DTC to transfer such original notes into the exchange agent’s account at DTC in accordance with DTC’s procedures for transfer. If you are unable to deliver confirmation of the book-entry tender of your original notes into the exchange agent’s account at DTC or all other documents required by the letter of transmittal to the exchange agent on or prior to the expiration date, you must tender your original notes according to the guaranteed delivery procedures described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wish to tender your original notes but they are not immediately available or if you cannot deliver your original notes, the letter of transmittal or any other required documents to the exchange agent, or comply with the applicable procedures under DTC’s automated tender offer program prior to the expiration date, you may tender if:</w:t>
      </w:r>
    </w:p>
    <w:p>
      <w:pPr>
        <w:spacing w:after="0" w:line="46" w:lineRule="exact"/>
        <w:rPr>
          <w:sz w:val="20"/>
          <w:szCs w:val="20"/>
          <w:color w:val="auto"/>
        </w:rPr>
      </w:pPr>
    </w:p>
    <w:p>
      <w:pPr>
        <w:ind w:left="900" w:right="280" w:hanging="446"/>
        <w:spacing w:after="0" w:line="32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tender is made through a member firm of a registered national securities exchange or of the National Association of Securities Dealers, Inc., a commercial bank or trust company having an office or correspondent in the United States, or an eligible guarantor institution;</w:t>
      </w:r>
    </w:p>
    <w:p>
      <w:pPr>
        <w:spacing w:after="0" w:line="1"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expiration date, the exchange agent receives from such member firm of a registered national securities exchange or of the National Association of Securities Dealers, Inc., commercial bank or trust company having an office or correspondent in the United States, or eligible guarantor institution either a properly completed and duly executed notice of guaranteed delivery by facsimile transmission, mail or hand delivery or a properly transmitted agent’s message and notice of guaranteed delivery:</w:t>
      </w:r>
    </w:p>
    <w:p>
      <w:pPr>
        <w:spacing w:after="0" w:line="48" w:lineRule="exact"/>
        <w:rPr>
          <w:rFonts w:ascii="Arial" w:cs="Arial" w:eastAsia="Arial" w:hAnsi="Arial"/>
          <w:sz w:val="18"/>
          <w:szCs w:val="18"/>
          <w:color w:val="auto"/>
        </w:rPr>
      </w:pPr>
    </w:p>
    <w:p>
      <w:pPr>
        <w:ind w:left="1360" w:hanging="555"/>
        <w:spacing w:after="0"/>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stating your name and address, the registered number(s) of your original notes and the principal amount of original notes tendered,</w:t>
      </w:r>
    </w:p>
    <w:p>
      <w:pPr>
        <w:spacing w:after="0" w:line="126" w:lineRule="exact"/>
        <w:rPr>
          <w:rFonts w:ascii="Arial" w:cs="Arial" w:eastAsia="Arial" w:hAnsi="Arial"/>
          <w:sz w:val="16"/>
          <w:szCs w:val="16"/>
          <w:color w:val="auto"/>
        </w:rPr>
      </w:pPr>
    </w:p>
    <w:p>
      <w:pPr>
        <w:ind w:left="1360" w:hanging="555"/>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stating that the tender is being made thereby, and</w:t>
      </w:r>
    </w:p>
    <w:p>
      <w:pPr>
        <w:spacing w:after="0" w:line="103" w:lineRule="exact"/>
        <w:rPr>
          <w:rFonts w:ascii="Arial" w:cs="Arial" w:eastAsia="Arial" w:hAnsi="Arial"/>
          <w:sz w:val="18"/>
          <w:szCs w:val="18"/>
          <w:color w:val="auto"/>
        </w:rPr>
      </w:pPr>
    </w:p>
    <w:p>
      <w:pPr>
        <w:ind w:left="1360" w:right="20" w:hanging="555"/>
        <w:spacing w:after="0" w:line="306" w:lineRule="auto"/>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guaranteeing that, within three New York Stock Exchange trading days after the expiration date, the letter of transmittal or facsimile thereof or agent’s message in lieu thereof, together with the original notes or a book-entry confirmation, and any other documents required by the letter of transmittal will be deposited by the eligible guarantor institution with the exchange agent; and</w:t>
      </w:r>
    </w:p>
    <w:p>
      <w:pPr>
        <w:spacing w:after="0" w:line="12" w:lineRule="exact"/>
        <w:rPr>
          <w:rFonts w:ascii="Arial" w:cs="Arial" w:eastAsia="Arial" w:hAnsi="Arial"/>
          <w:sz w:val="16"/>
          <w:szCs w:val="16"/>
          <w:color w:val="auto"/>
        </w:rPr>
      </w:pPr>
    </w:p>
    <w:p>
      <w:pPr>
        <w:ind w:left="1360" w:right="60" w:hanging="555"/>
        <w:spacing w:after="0" w:line="259"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exchange agent receives such properly completed and executed letter of transmittal or facsimile or agent’s message, as well as all tendered original notes in proper form for transfer or a book-entry confirmation, and all other documents required by the letter of transmittal, within three New York Stock Exchange trading days after the expiration date.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request to the exchange agent, the exchange agent will send a notice of guaranteed delivery to you if you wish to tender your original notes according to the guaranteed delivery procedures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in this prospectus, you may withdraw your tender at any time prior to 5:00 p.m., New York City time, on the expiration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withdrawal to be effective:</w:t>
      </w:r>
    </w:p>
    <w:p>
      <w:pPr>
        <w:spacing w:after="0" w:line="7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exchange agent must receive a written notice of withdrawal at one of the addresses listed above under “The Exchange Agent,” or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withdrawing holder must comply with the appropriate procedures of DTC’s automated tender offer program.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of withdrawal must:</w:t>
      </w:r>
    </w:p>
    <w:p>
      <w:pPr>
        <w:spacing w:after="0" w:line="7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the name of the person who tendered the original notes to be withdrawn,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identify the original notes to be withdrawn, including the registration number or numbers and the principal amount of such original notes,</w:t>
      </w:r>
    </w:p>
    <w:p>
      <w:pPr>
        <w:spacing w:after="0" w:line="126"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signed by the person who tendered the original notes in the same manner as the original signature on the letter of transmittal used to deposit those original notes or be accompanied by documents of transfer sufficient to permit the trustee to register the transfer in the name of the person withdrawing the tender,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specify the name in which such original notes are to be registered, if different from that of the person who tendered the original notes.</w:t>
      </w:r>
    </w:p>
    <w:p>
      <w:pPr>
        <w:spacing w:after="0" w:line="20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original notes have been tendered under the procedure for book-entry transfer described above, any notice of withdrawal must specify the name and number of the account at DTC to be credited with the withdrawn original notes and otherwise comply with the procedures of DTC.</w:t>
      </w:r>
    </w:p>
    <w:p>
      <w:pPr>
        <w:spacing w:after="0" w:line="7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will determine all questions as to the validity, form, eligibility and time of receipt of notice of withdrawal, and our determination shall be final and binding on all parties. We will deem any original notes so withdrawn not to have been validly tendered for exchange for purposes of the exchange offer.</w:t>
      </w:r>
    </w:p>
    <w:p>
      <w:pPr>
        <w:spacing w:after="0" w:line="7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Any original notes that have been tendered for exchange but that are not exchanged for any reason will be returned to their holder without cost to the holder, or, in the case of original notes tendered by book-entry transfer into the exchange agent’s account at DTC according to the procedures described above, such original notes will be credited to an account maintained with DTC for the original notes. This return or crediting will take place as soon as practicable after withdrawal, rejection of tender or termination of the exchange offer. You may retender properly withdrawn original notes by following one of the procedures described under “The Exchange Offer — Procedures for Tendering” at any time on or prior to 5:00 p.m., New York City time, on the expiration date.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b w:val="1"/>
          <w:bCs w:val="1"/>
          <w:i w:val="1"/>
          <w:iCs w:val="1"/>
          <w:color w:val="auto"/>
        </w:rPr>
        <w:t>We will bear the expenses of soliciting tenders. The principal solicitation is being made by mail; however, we may make additional solicitation by facsimile, email, telephone or in person by our officers and regular employees and those of our affiliates.</w:t>
      </w:r>
    </w:p>
    <w:p>
      <w:pPr>
        <w:spacing w:after="0" w:line="72"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 We may also pay brokerage houses and other custodians, nominees and fiduciaries the reasonable out-of-pocket expenses incurred by them in forwarding copies of this prospectus, letters of transmittal and related documents to the beneficial owners of the original notes and in handling or forwarding tenders for exchange.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pay the cash expenses to be incurred in connection with the exchange offer. They include:</w:t>
      </w:r>
    </w:p>
    <w:p>
      <w:pPr>
        <w:spacing w:after="0" w:line="7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registration fees for the exchange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fees and expenses of the exchange agent and the trustee,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accounting and legal fees,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printing costs,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related fees and expenses.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If you tender your original notes for exchange, you will not be required to pay any transfer taxes. We will pay all transfer taxes, if any, applicable to the exchange of original notes in the exchange offer. The tendering holder will, however, be required to pay any transfer taxes, whether imposed on the registered holder or any other person, if:</w:t>
      </w:r>
    </w:p>
    <w:p>
      <w:pPr>
        <w:spacing w:after="0" w:line="46" w:lineRule="exact"/>
        <w:rPr>
          <w:sz w:val="20"/>
          <w:szCs w:val="20"/>
          <w:color w:val="auto"/>
        </w:rPr>
      </w:pPr>
    </w:p>
    <w:p>
      <w:pPr>
        <w:ind w:left="900" w:right="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certificates representing exchange notes or original notes for principal amounts not tendered or accepted for exchange are to be delivered to, or are to be issued in the name of, any person other than the registered holder of the original notes tendered,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tendered original notes are registered in the name of any person other than the person signing the letter of transmittal,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original notes for exchange notes in the exchange offer.</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satisfactory evidence of payment of any transfer taxes payable by a tendering holder is not submitted with the letter of transmittal, the amount of the transfer taxes will be billed directly to that tendering holder. The exchange agent will retain possession of exchange notes with a face amount equal to the amount of the transfer taxes due until it receives payment of the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original notes for exchange notes in the exchange offer, you will remain subject to the existing restrictions on transfer of the original notes. In general, you may not offer or sell the original notes unless either they are registered under the Securities Act or the offer or sale is exempt from or not subject to registration under the Securities Act and applicable state securities laws. Except as required by the registration rights agreement, we do not intend to register resales of the original notes under the Securities Act. We have no obligation to re-offer to exchange the exchange notes for original notes following the expiration of the exchange offer.</w:t>
      </w:r>
    </w:p>
    <w:p>
      <w:pPr>
        <w:spacing w:after="0" w:line="12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tender of original notes in the exchange offer will reduce the outstanding principal amount of the original notes. Due to the corresponding reduction in liquidity, this may have an adverse effect on, and increase the volatility of, the market price of any original notes that you continue to hold.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will record the exchange notes in our accounting records at the same carrying value as the outstanding notes, which is the discounted principal amount, as reflected in our accounting records on the date of exchange. Accordingly, we will not recognize any gain or loss for accounting purposes in connection with the exchange offer. We will record the cost associated with the exchange offer as debt issuance cost to be amortized over the term of the exchange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Participation in the exchange offer is voluntary, and you should carefully consider whether to accept. You are urged to consult your financial and tax advisors in making your decision on what action to take. In the future, we may at our discretion seek to acquire untendered original notes in open market or privately negotiated transactions, through subsequent exchange offers or otherwise. We have no present plan to acquire any original notes that are not tendered in the exchange offer or to file a registration statement to permit resales of any untendered original notes, except as required by the registration rights agreement.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“Itron” refers only to Itron, Inc. and not to any of its subsidiaries.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notes were issued under indenture between the Guarantors and Deutsche Bank Trust Company Americas, as trustee, in a private transaction that was not subject to the registration requirements of the Securities Act.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description is a summary of the material provisions of the indenture and registration rights agreement under which the notes were issued. Because this is only a summary, it is not complete and does not restate those agreements in their entirety. We urge you to read the indenture and the registration rights agreement because they, and not this description, define your rights as holders of the notes. Copies of the indenture and the registration rights agreement are available as set forth below under “—Additional Information.” Certain defined terms used in this description but not defined below under “—Certain Definitions” have the meanings assigned to them in the indenture.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Subsidiary Guarantees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7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be general unsecured obligations of Itron;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be subordinated in right of payment to all existing and future Senior Debt of Itron;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be pari passu in right of payment with any future senior subordinated Indebtedness of Itron;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be unconditionally guaranteed by the Guarantors.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guaranteed by all of Itron’s Domestic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guarantee of the notes:</w:t>
      </w:r>
    </w:p>
    <w:p>
      <w:pPr>
        <w:spacing w:after="0" w:line="7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be a general unsecured obligation of the Guarantor;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be subordinated in right of payment to all existing and future Senior Debt of that Guarantor;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be pari passu in right of payment with any future senior subordinated Indebtedness of that Guarantor.</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September 30, 2004, Itron and the Guarantors had total Senior Debt of approximately $178.7 million. As indicated above and as discussed in detail below under the caption “—Subordination,” payments on the notes and under these guarantees will be subordinated to the payment of Senior Debt. The indenture will permit us and the Guarantors to incur additional Senior Debt.</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Not all of our subsidiaries will guarantee the notes. In the event of a bankruptcy, liquidation or reorganization of any of these non-guarantor subsidiaries, the non-guarantor subsidiaries will pay the holders of their debt and their trade creditors before they will be able to distribute any of their assets to us. The guarantor subsidiaries generated 95% of our consolidated revenues in the nine months ended September 30, 2004 and held 90% of our consolidated assets as of September 30, 2004.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the date of the indenture, all of our subsidiaries will be “Restricted Subsidiaries.” However, under the circumstances described below under the caption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Itron issued $125.0 million in aggregate principal amount of notes on May 10, 2004. Itron may issue additional notes from time to time in the future. Any issuance of additional notes is subject to all of the covenants in the indenture, including the covenant described below under the caption “—Certain Covenants— Incurrence of Indebtedness and Issuance of Preferred Stock.” The notes and any additional notes subsequently issued under the indenture will be treated as a single class for all purposes under the indenture, including, without limitation, waivers, amendments, redemptions and offers to purchase. The notes are in denominations of $1,000 and integral multiples of $1,000. The notes will mature on May 15, 2012.</w:t>
      </w:r>
    </w:p>
    <w:p>
      <w:pPr>
        <w:spacing w:after="0" w:line="102" w:lineRule="exact"/>
        <w:rPr>
          <w:sz w:val="20"/>
          <w:szCs w:val="20"/>
          <w:color w:val="auto"/>
        </w:rPr>
      </w:pPr>
    </w:p>
    <w:p>
      <w:pPr>
        <w:ind w:firstLine="456"/>
        <w:spacing w:after="0" w:line="272" w:lineRule="auto"/>
        <w:rPr>
          <w:sz w:val="20"/>
          <w:szCs w:val="20"/>
          <w:color w:val="auto"/>
        </w:rPr>
      </w:pPr>
      <w:r>
        <w:rPr>
          <w:rFonts w:ascii="Arial" w:cs="Arial" w:eastAsia="Arial" w:hAnsi="Arial"/>
          <w:sz w:val="16"/>
          <w:szCs w:val="16"/>
          <w:color w:val="auto"/>
        </w:rPr>
        <w:t xml:space="preserve">Interest on the notes will accrue at the rate of 7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per annum and will be payable semi-annually in arrears on May 15 and November 15, commencing on November 15, 2004. Interest on overdue principal and interest and Liquidated Damages, if any, will accrue at a rate that is 1% higher than the then applicable interest rate on the notes. Itron will make each interest payment to the holders of record on the immediately preceding May 1 and November 1.</w:t>
      </w:r>
    </w:p>
    <w:p>
      <w:pPr>
        <w:spacing w:after="0" w:line="11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If a holder of notes has given wire transfer instructions to Itron, Itron will pay all principal, interest and premium and Liquidated Damages, if any, on that holder’s notes in accordance with those instructions. All other payments on notes will be made at the office or agency of the paying agent and registrar within the City and State of New York unless Itron elects to make interest payments by check mailed to the noteholders at their address set forth in the register of 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Itron may change the paying agent or registrar without prior notice to the holders of the notes, and Itron or any of its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among other things, to furnish appropriate endorsements and transfer documents and Itron may require a Holder to pay any taxes and fees required by law or permitted by the indenture. Itron is not required to transfer or exchange any Note selected for redemption. Also, Itron is not required to transfer or exchange any Note for a period of 15 days before a selection of Notes to be redeemed.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Washington.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notes will be guaranteed by each of Itron’s current and future Domestic Subsidiaries. These Subsidiary Guarantees will be joint and several obligations of the Guarantors. Each Subsidiary Guarantee will be subordinated to the prior payment in full in cash of all Senior Debt of that Guarantor. The obligations of each Guarantor under its Subsidiary Guarantee will be limited as necessary to prevent that Subsidiary Guarantee from constituting a fraudulent conveyance under applicable law. See “Risk Factors—Federal and State statutes allow courts, under specific circumstances, to void guarantees and require note holders to return payments received from guarantors.”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Itron or another Guarantor, unless:</w:t>
      </w:r>
    </w:p>
    <w:p>
      <w:pPr>
        <w:spacing w:after="0" w:line="70" w:lineRule="exact"/>
        <w:rPr>
          <w:sz w:val="20"/>
          <w:szCs w:val="20"/>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259" w:lineRule="auto"/>
        <w:tabs>
          <w:tab w:leader="none" w:pos="15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Subsidiary Guarantee and the registration rights agreement pursuant to a supplemental indenture satisfactory to the trustee; or</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77" w:lineRule="exact"/>
        <w:rPr>
          <w:sz w:val="20"/>
          <w:szCs w:val="20"/>
          <w:color w:val="auto"/>
        </w:rPr>
      </w:pPr>
    </w:p>
    <w:p>
      <w:pPr>
        <w:ind w:left="460" w:right="280" w:firstLine="443"/>
        <w:spacing w:after="0" w:line="259"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Itron or a Restricted Subsidiary of Itron,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Itron or a Restricted Subsidiary of Itron,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Itron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notes as provided below under the captions “—Legal Defeasance and Covenant Defeasance” and “—Satisfaction and Discharge.”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“—Repurchase at the Option of Holders—Asset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payment of principal, interest and premium and Liquidated Damages and other amounts, if any, on or in respect of the notes will be subordinated to the prior payment in full in cash of all Senior Debt of Itron, including Senior Debt incurred after the date of the indenture.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holders of Senior Debt will be entitled to receive payment in full in cash of all Obligations due in respect of Senior Debt (including interest, fees, expense reimbursements, indemnities and other Obligations in respect of Senior Debt accruing or incurred after the commencement of any Bankruptcy or Insolvency Proceeding (as defined below) at the rate or on the amount specified in the applicable Senior Debt, in each case whether or not a claim therefore is allowed, allowable or enforceable in such Bankruptcy or Insolvency Proceeding) before the holders of notes will be entitled to receive any payment with respect to the notes (except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that holders of notes may receive and retain Permitted Junior Securities and payments made from either of the trusts described under “—Legal Defeasance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Covenant Defeasance” and “—Satisfaction and Discharge”), in the event of any distribution to creditors of Itron:</w:t>
      </w:r>
    </w:p>
    <w:p>
      <w:pPr>
        <w:spacing w:after="0" w:line="70" w:lineRule="exact"/>
        <w:rPr>
          <w:sz w:val="20"/>
          <w:szCs w:val="20"/>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liquidation or dissolution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bankruptcy, reorganization, insolvency, receivership or similar proceeding relating to Itron or its property;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 assignment for the benefit of creditors; or</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marshaling of Itron’s assets and liabilities (each such event referred to in clauses (1) through (4) above, a “Bankruptcy or Insolvency Proceeding”).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Itron also may not make any payment in respect of the notes (except in Permitted Junior Securities or from the trusts described under “—Legal Defeasance and Covenant Defeasance” and “—Satisfaction and Discharge”) if:</w:t>
      </w:r>
    </w:p>
    <w:p>
      <w:pPr>
        <w:spacing w:after="0" w:line="37" w:lineRule="exact"/>
        <w:rPr>
          <w:sz w:val="20"/>
          <w:szCs w:val="20"/>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payment default on Designated Senior Debt occurs and is continuing; or</w:t>
      </w:r>
    </w:p>
    <w:p>
      <w:pPr>
        <w:spacing w:after="0" w:line="76" w:lineRule="exact"/>
        <w:rPr>
          <w:rFonts w:ascii="Arial" w:cs="Arial" w:eastAsia="Arial" w:hAnsi="Arial"/>
          <w:sz w:val="18"/>
          <w:szCs w:val="18"/>
          <w:color w:val="auto"/>
        </w:rPr>
      </w:pPr>
    </w:p>
    <w:p>
      <w:pPr>
        <w:ind w:left="460" w:right="240" w:firstLine="443"/>
        <w:spacing w:after="0" w:line="332"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other default occurs and is continuing on any Designated Senior Debt that permits holders of that Designated Senior Debt to accelerate its maturity and the trustee receives a notice of such default (a “Payment Blockage Notice”) from Itron or the holders of any Designated Senior Debt.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on the notes may and will be resumed:</w:t>
      </w:r>
    </w:p>
    <w:p>
      <w:pPr>
        <w:spacing w:after="0" w:line="77"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 payment default, upon the date on which such default is cured or waived; and</w:t>
      </w:r>
    </w:p>
    <w:p>
      <w:pPr>
        <w:spacing w:after="0" w:line="76" w:lineRule="exact"/>
        <w:rPr>
          <w:rFonts w:ascii="Arial" w:cs="Arial" w:eastAsia="Arial" w:hAnsi="Arial"/>
          <w:sz w:val="18"/>
          <w:szCs w:val="18"/>
          <w:color w:val="auto"/>
        </w:rPr>
      </w:pPr>
    </w:p>
    <w:p>
      <w:pPr>
        <w:ind w:left="460" w:right="80" w:firstLine="443"/>
        <w:spacing w:after="0" w:line="332" w:lineRule="auto"/>
        <w:tabs>
          <w:tab w:leader="none" w:pos="11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case of a nonpayment default, upon the earlier of the date on which such nonpayment default is cured or waived or 179 days after the date on which the applicable Payment Blockage Notice is received, unless the maturity of any Designated Senior Debt has been accelerated.</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new Payment Blockage Notice may be delivered unless and until 360 days have elapsed since the delivery of the immediately prior Payment Blockage Notice.</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 days.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trustee or any holder of the notes receives a payment in respect of the notes (except in Permitted Junior Securities or from the trusts described under “—Legal Defeasance and Covenant Defeasance” and “—Satisfaction and Discharge”) when the payment is prohibited by these subordination provisions, the trustee or the holder, as the case may be, will hold the payment in trust for the benefit of the holders of Senior Debt. Upon the written request of the holders of Senior Debt or their representative, the trustee or the holder, as the case may be, will deliver the amounts in trust to the holders of Senior Debt or their representative.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must promptly notify holders of Senior Debt if payment of the notes is accelerated because of an Event of Default.</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result of the subordination provisions described above, in the event of a bankruptcy, liquidation or reorganization of Itron, holders of notes may recover less ratably than creditors of Itron who are holders of Senior Debt. As a result of the obligation to deliver amounts received in trust to holders of Senior Debt, holders of notes may recover less ratably than trade creditors of Itron. See “Risk Factors—Your right to receive payments on these notes is junior to our existing indebtedness and possibly all of our future borrowings.”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any time prior to May 15, 2007, Itron may on any one or more occasions redeem up to 35% of the aggregate principal amount of notes issued under the indenture at a redemption price of 107.750% of the principal amount, plus accrued and unpaid interest and Liquidated Damages, if any, to the redemption date, with the net cash proceeds of one or more Equity Offerings; provided that:</w:t>
      </w:r>
    </w:p>
    <w:p>
      <w:pPr>
        <w:spacing w:after="0" w:line="46" w:lineRule="exact"/>
        <w:rPr>
          <w:sz w:val="20"/>
          <w:szCs w:val="20"/>
          <w:color w:val="auto"/>
        </w:rPr>
      </w:pPr>
    </w:p>
    <w:p>
      <w:pPr>
        <w:ind w:left="460" w:right="14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the indenture (excluding notes held by Itron and its Subsidiaries) remains outstanding immediately after the occurrence of such redemption;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Equity Offering.</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or after May 15, 2008 Itron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any of the years indicated below, subject to the rights of noteholders on the relevant record date to receive interest on the relevant interest payment date:</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Except pursuant to the preceding paragraph, the notes will not be redeemable at Itron’s option prior to May 15, 2008. Unless Itron defaults in the payment of the redemption price, interest will cease to accrue on the notes or portions thereof called for redemption on the applicable redemption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is not required to make mandatory redemption or sinking fund payments with respect to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Change of Control occurs, each holder of notes will have the right to require Itron to repurchase all or any part (equal to $1,000 or an integral multiple of $1,000) of that holder’s notes pursuant to a Change of Control Offer on the terms set forth in the indenture. In the Change of Control Offer, Itron will offer a Change of Control Payment in cash equal to 101% of the aggregate principal amount of notes repurchased plus accrued and unpaid interest and Liquidated Damages, if any, on the notes repurchased, to the date of purchase, subject to the rights of noteholders on the relevant record date to receive interest due on the relevant interest payment date. Within 30 days following any Change of Control, Itron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Itron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Itron will comply with the applicable securities laws and regulations and will not be deemed to have breached its obligations under the Change of Control provisions of the indenture by virtue of such compliance.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Itron will, to the extent lawful:</w:t>
      </w:r>
    </w:p>
    <w:p>
      <w:pPr>
        <w:spacing w:after="0" w:line="77" w:lineRule="exact"/>
        <w:rPr>
          <w:sz w:val="20"/>
          <w:szCs w:val="20"/>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deposit with the paying agent an amount in cash equal to the Change of Control Payment in respect of all notes or portions of notes properly tendered; and</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Itron.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provided that each new note will be in a principal amount of $1,000 or an integral multiple of $1,000.</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complying with any of the provisions of this “Change of Control” covenant, but in any event within 90 days following a Change of Control, Itron will either repay all outstanding Senior Debt or obtain the requisite consents, if any, under all agreements governing outstanding Senior Debt to permit the repurchase of notes required by this covenant. Itron will publicly announce the results of the Change of Control Offer on or as soon as practicable after the Change of Control Payment Date.</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provisions described above that require Itron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notes to require that Itron repurchase or redeem the notes in the event of a takeover, recapitalization or similar transaction.</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Itron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Itron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the properties or assets of Itron and its Subsidiaries taken as a whole. Although there is a limited body of case law interpreting the phrase “substantially all,” there is no precise established definition of the phrase under applicable law. Accordingly, the ability of a holder of notes to require Itron to repurchase its notes as a result of a sale, lease, transfer, conveyance or other disposition of less than all of the assets of Itron and its Subsidiaries taken as a whole to another Person or group may be uncertain.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will not, and will not permit any of its Restricted Subsidiaries to, consummate an Asset Sale unless:</w:t>
      </w:r>
    </w:p>
    <w:p>
      <w:pPr>
        <w:spacing w:after="0" w:line="77" w:lineRule="exact"/>
        <w:rPr>
          <w:sz w:val="20"/>
          <w:szCs w:val="20"/>
          <w:color w:val="auto"/>
        </w:rPr>
      </w:pPr>
    </w:p>
    <w:p>
      <w:pPr>
        <w:ind w:left="460" w:right="4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Itron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Itron or such Restricted Subsidiary is in the form of cash. For purposes of this provision, each of the following will be deemed to be cash:</w:t>
      </w:r>
    </w:p>
    <w:p>
      <w:pPr>
        <w:spacing w:after="0" w:line="37"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liabilities, as shown on Itron’s most recent consolidated balance sheet, of Itron or any Restricted Subsidiary (other than contingent liabilities and liabilities that are by their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subordinated to the notes or any Subsidiary Guarantee) that are assumed by the transferee of any such assets pursuant to a customary negotiation agreement that releases Itron or such Restricted Subsidiary from further liability;</w:t>
      </w:r>
    </w:p>
    <w:p>
      <w:pPr>
        <w:spacing w:after="0" w:line="37" w:lineRule="exact"/>
        <w:rPr>
          <w:sz w:val="20"/>
          <w:szCs w:val="20"/>
          <w:color w:val="auto"/>
        </w:rPr>
      </w:pPr>
    </w:p>
    <w:p>
      <w:pPr>
        <w:ind w:left="920" w:right="480" w:firstLine="421"/>
        <w:spacing w:after="0" w:line="259" w:lineRule="auto"/>
        <w:tabs>
          <w:tab w:leader="none" w:pos="15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Itron or any such Restricted Subsidiary from such transferee that are contemporaneously, subject to ordinary settlement periods, converted by Itron or such Restricted Subsidiary into cash, to the extent of the cash received in that conversion; and</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the next paragraph of this covenant.</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Itron (or the applicable Restricted Subsidiary, as the case may be) may apply those Net Proceeds at its option:</w:t>
      </w:r>
    </w:p>
    <w:p>
      <w:pPr>
        <w:spacing w:after="0" w:line="37" w:lineRule="exact"/>
        <w:rPr>
          <w:sz w:val="20"/>
          <w:szCs w:val="20"/>
          <w:color w:val="auto"/>
        </w:rPr>
      </w:pPr>
    </w:p>
    <w:p>
      <w:pPr>
        <w:ind w:left="1160" w:hanging="257"/>
        <w:spacing w:after="0"/>
        <w:tabs>
          <w:tab w:leader="none" w:pos="11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repay Senior Debt and, if the Senior Debt repaid is revolving credit Indebtedness, to correspondingly reduce commitments with respect thereto;</w:t>
      </w:r>
    </w:p>
    <w:p>
      <w:pPr>
        <w:spacing w:after="0" w:line="111" w:lineRule="exact"/>
        <w:rPr>
          <w:rFonts w:ascii="Arial" w:cs="Arial" w:eastAsia="Arial" w:hAnsi="Arial"/>
          <w:sz w:val="15"/>
          <w:szCs w:val="15"/>
          <w:color w:val="auto"/>
        </w:rPr>
      </w:pPr>
    </w:p>
    <w:p>
      <w:pPr>
        <w:ind w:left="460" w:right="82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another Permitted Business, if, after giving effect to any such acquisition of Capital Stock, the Permitted Business is or becomes a Restricted Subsidiary of Itron;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 capital expenditure;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acquire other assets that are not classified as current assets under GAAP and that are used or useful in a Permitted Business.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Pending the final application of any Net Proceeds, Itron may temporarily reduce revolving credit borrowings or otherwise invest the Net Proceeds in any manner that is not prohibited by the indenture.</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Proceeds.” When the aggregate amount of Excess Proceeds exceeds $10.0 million, Itron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Itron may use those Excess Proceeds for any purpose not otherwise prohibited by the indenture. If the aggregate principal amount of notes and other pari passu Indebtedness tendered into such Asset Sale Offer exceeds the amount of Excess Proceeds, the trustee will select the notes and such other pari passu Indebtedness to be purchased on a pro rata basis. Upon completion of each Asset Sale Offer, the amount of Excess Proceeds will be reset at zero.</w:t>
      </w:r>
    </w:p>
    <w:p>
      <w:pPr>
        <w:spacing w:after="0" w:line="10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Itron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the indenture, Itron will comply with the applicable securities laws and regulations and will not be deemed to have breached its obligations under the Asset Sale provisions of the indenture by virtue of such compliance.</w:t>
      </w:r>
    </w:p>
    <w:p>
      <w:pPr>
        <w:spacing w:after="0" w:line="9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agreements governing Itron’s outstanding Senior Debt, including the Credit Agreement, currently prohibit Itron from purchasing any notes, and also provides that certain change of control or asset sale events with respect to Itron would constitute a default under these agreements. Any future credit agreements or other agreements relating to Senior Debt to which Itron becomes a party may contain similar restrictions and provisions. In the event a Change of Control or Asset Sale occurs at a time when Itron is prohibited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purchasing notes, Itron could seek the consent of its senior lenders to the purchase of notes or could attempt to refinance the borrowings that contain such prohibition. If Itron does not obtain such a consent or repay such borrowings, Itron will remain prohibited from purchasing notes. In such case, Itron’s resulting failure to purchase tendered notes would constitute an Event of Default under the indenture which would, in turn, constitute a default under such Senior Debt. In such circumstances, the subordination provisions in the indenture would likely restrict payments to the holders of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77" w:lineRule="exact"/>
        <w:rPr>
          <w:sz w:val="20"/>
          <w:szCs w:val="20"/>
          <w:color w:val="auto"/>
        </w:rPr>
      </w:pPr>
    </w:p>
    <w:p>
      <w:pPr>
        <w:ind w:left="460" w:right="26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37"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notes are not listed on any national securities exchange, on a pro rata basis, by lot or by such method as the trustee deems fair and appropriate.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notes of $1,000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Itron will not, and will not permit any of its Restricted Subsidiaries to, directly or indirectly:</w:t>
      </w:r>
    </w:p>
    <w:p>
      <w:pPr>
        <w:spacing w:after="0" w:line="77" w:lineRule="exact"/>
        <w:rPr>
          <w:sz w:val="20"/>
          <w:szCs w:val="20"/>
          <w:color w:val="auto"/>
        </w:rPr>
      </w:pPr>
    </w:p>
    <w:p>
      <w:pPr>
        <w:ind w:left="460" w:right="60" w:firstLine="443"/>
        <w:spacing w:after="0" w:line="298"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Itron’s or any of its Restricted Subsidiaries’ Equity Interests (including, without limitation, any payment in connection with any merger or consolidation involving Itron or any of its Restricted Subsidiaries) or to the direct or indirect holders of Itron’s or any of its Restricted Subsidiaries’ Equity Interests in their capacity as such (other than dividends or distributions payable in Equity Interests (other than Disqualified Stock) of Itron or to Itron or a Restricted Subsidiary of Itron);</w:t>
      </w:r>
    </w:p>
    <w:p>
      <w:pPr>
        <w:spacing w:after="0" w:line="18"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Itron) any Equity Interests of Itron or any direct or indirect parent of Itron;</w:t>
      </w:r>
    </w:p>
    <w:p>
      <w:pPr>
        <w:spacing w:after="0" w:line="37"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Itron or any Guarantor that is contractually subordinated to the notes or any Subsidiary Guarantee (excluding any intercompany Indebtedness between or among Itron and any of its Restricted Subsidiaries), except a payment of interest or principal at the Stated Maturity thereof; or</w:t>
      </w:r>
    </w:p>
    <w:p>
      <w:pPr>
        <w:spacing w:after="0" w:line="12"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77"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76"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Itron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Itron and its Restricted Subsidiaries since the date of the indenture (excluding Restricted Payments permitted by clauses (2), (3), (4), (6) and (8) of the next succeeding paragraph), is less than the sum, without duplication, of:</w:t>
      </w:r>
    </w:p>
    <w:p>
      <w:pPr>
        <w:spacing w:after="0" w:line="45" w:lineRule="exact"/>
        <w:rPr>
          <w:rFonts w:ascii="Arial" w:cs="Arial" w:eastAsia="Arial" w:hAnsi="Arial"/>
          <w:sz w:val="18"/>
          <w:szCs w:val="18"/>
          <w:color w:val="auto"/>
        </w:rPr>
      </w:pPr>
    </w:p>
    <w:p>
      <w:pPr>
        <w:ind w:left="920" w:right="200" w:firstLine="421"/>
        <w:spacing w:after="0" w:line="306" w:lineRule="auto"/>
        <w:tabs>
          <w:tab w:leader="none" w:pos="1579" w:val="left"/>
        </w:tabs>
        <w:numPr>
          <w:ilvl w:val="1"/>
          <w:numId w:val="42"/>
        </w:numPr>
        <w:rPr>
          <w:rFonts w:ascii="Arial" w:cs="Arial" w:eastAsia="Arial" w:hAnsi="Arial"/>
          <w:sz w:val="16"/>
          <w:szCs w:val="16"/>
          <w:color w:val="auto"/>
        </w:rPr>
      </w:pPr>
      <w:r>
        <w:rPr>
          <w:rFonts w:ascii="Arial" w:cs="Arial" w:eastAsia="Arial" w:hAnsi="Arial"/>
          <w:sz w:val="16"/>
          <w:szCs w:val="16"/>
          <w:color w:val="auto"/>
        </w:rPr>
        <w:t>50% of the Consolidated Net Income of Itron for the period (taken as one accounting period) from the beginning of the first fiscal quarter commencing after the date of the indenture to the end of Itron’s most recently ended fiscal quarter for which internal financial statements are available at the time of such Restricted Payment (or, if such Consolidated Net Income for such period is a deficit, less 100% of such deficit); plus</w:t>
      </w:r>
    </w:p>
    <w:p>
      <w:pPr>
        <w:spacing w:after="0" w:line="12" w:lineRule="exact"/>
        <w:rPr>
          <w:rFonts w:ascii="Arial" w:cs="Arial" w:eastAsia="Arial" w:hAnsi="Arial"/>
          <w:sz w:val="16"/>
          <w:szCs w:val="16"/>
          <w:color w:val="auto"/>
        </w:rPr>
      </w:pPr>
    </w:p>
    <w:p>
      <w:pPr>
        <w:ind w:left="920" w:right="20" w:firstLine="421"/>
        <w:spacing w:after="0" w:line="298" w:lineRule="auto"/>
        <w:tabs>
          <w:tab w:leader="none" w:pos="1588" w:val="left"/>
        </w:tabs>
        <w:numPr>
          <w:ilvl w:val="1"/>
          <w:numId w:val="42"/>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Itron since the date of the indenture as a contribution to its common equity capital or from the issue or sale of Equity Interests of Itron (other than Disqualified Stock) or from the issue or sale of convertible or exchangeable Disqualified Stock or convertible or exchangeable debt securities of Itron that have been converted into or exchanged for such Equity Interests (other than Equity Interests (or Disqualified Stock or debt securities) sold to a Subsidiary of Itron); plus</w:t>
      </w:r>
    </w:p>
    <w:p>
      <w:pPr>
        <w:spacing w:after="0" w:line="18" w:lineRule="exact"/>
        <w:rPr>
          <w:rFonts w:ascii="Arial" w:cs="Arial" w:eastAsia="Arial" w:hAnsi="Arial"/>
          <w:sz w:val="16"/>
          <w:szCs w:val="16"/>
          <w:color w:val="auto"/>
        </w:rPr>
      </w:pPr>
    </w:p>
    <w:p>
      <w:pPr>
        <w:jc w:val="both"/>
        <w:ind w:left="920" w:right="180" w:firstLine="421"/>
        <w:spacing w:after="0" w:line="259" w:lineRule="auto"/>
        <w:tabs>
          <w:tab w:leader="none" w:pos="15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plus</w:t>
      </w:r>
    </w:p>
    <w:p>
      <w:pPr>
        <w:spacing w:after="0" w:line="45" w:lineRule="exact"/>
        <w:rPr>
          <w:rFonts w:ascii="Arial" w:cs="Arial" w:eastAsia="Arial" w:hAnsi="Arial"/>
          <w:sz w:val="18"/>
          <w:szCs w:val="18"/>
          <w:color w:val="auto"/>
        </w:rPr>
      </w:pPr>
    </w:p>
    <w:p>
      <w:pPr>
        <w:ind w:left="920" w:right="20" w:firstLine="421"/>
        <w:spacing w:after="0" w:line="256" w:lineRule="auto"/>
        <w:tabs>
          <w:tab w:leader="none" w:pos="15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Itron designated as such after the date of the indenture is redesignated as a Restricted Subsidiary after the date of the indenture, the lesser of (i) the Fair Market Value of Itron’s Investment in such Subsidiary as of the date of such redesignation or (ii) such Fair Market Value as of the date on which such Subsidiary was originally designated as an Unrestricted Subsidiary after the date of the indenture; plus</w:t>
      </w:r>
    </w:p>
    <w:p>
      <w:pPr>
        <w:spacing w:after="0" w:line="48" w:lineRule="exact"/>
        <w:rPr>
          <w:rFonts w:ascii="Arial" w:cs="Arial" w:eastAsia="Arial" w:hAnsi="Arial"/>
          <w:sz w:val="18"/>
          <w:szCs w:val="18"/>
          <w:color w:val="auto"/>
        </w:rPr>
      </w:pPr>
    </w:p>
    <w:p>
      <w:pPr>
        <w:ind w:left="920" w:right="420" w:firstLine="421"/>
        <w:spacing w:after="0" w:line="259" w:lineRule="auto"/>
        <w:tabs>
          <w:tab w:leader="none" w:pos="15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50% of any dividends received by Itron or a Restricted Subsidiary of Itron that is a Guarantor after the date of the indenture from an Unrestricted Subsidiary of Itron, to the extent that such dividends were not otherwise included in the Consolidated Net Income of Itron for such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 long as no Default has occurred and is continuing or would be caused thereby, the preceding provisions will not prohibit:</w:t>
      </w:r>
    </w:p>
    <w:p>
      <w:pPr>
        <w:spacing w:after="0" w:line="77" w:lineRule="exact"/>
        <w:rPr>
          <w:sz w:val="20"/>
          <w:szCs w:val="20"/>
          <w:color w:val="auto"/>
        </w:rPr>
      </w:pPr>
    </w:p>
    <w:p>
      <w:pPr>
        <w:ind w:left="460" w:right="8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of the dividend, if at the date of declaration the dividend payment would have complied with the provisions of the indenture;</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of the substantially concurrent sale (other than to a Subsidiary of Itron) of, Equity Interests of Itron (other than Disqualified Stock) or from the substantially concurrent contribution of common equity capital to Itron; provided that the amount of any such net cash proceeds that are utilized for any such Restricted Payment will be excluded from clause (3)(b) of the preceding paragraph;</w:t>
      </w:r>
    </w:p>
    <w:p>
      <w:pPr>
        <w:spacing w:after="0" w:line="48" w:lineRule="exact"/>
        <w:rPr>
          <w:rFonts w:ascii="Arial" w:cs="Arial" w:eastAsia="Arial" w:hAnsi="Arial"/>
          <w:sz w:val="18"/>
          <w:szCs w:val="18"/>
          <w:color w:val="auto"/>
        </w:rPr>
      </w:pPr>
    </w:p>
    <w:p>
      <w:pPr>
        <w:ind w:left="460" w:right="300" w:firstLine="443"/>
        <w:spacing w:after="0" w:line="370" w:lineRule="auto"/>
        <w:tabs>
          <w:tab w:leader="none" w:pos="114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defeasance, redemption, repurchase or other acquisition of Indebtedness of Itron or any Guarantor that is contractually subordinated to the notes or to any Subsidiary Guarantee with the net cash proceeds from a substantially concurrent incurrence of Permitted Refinancing Indebtedness;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payment of any dividend (or, in the case of any partnership or limited liability company, any similar distribution) by a Restricted Subsidiary of Itron to the holders of its Equity Interests on a pro rata basis;</w:t>
      </w:r>
    </w:p>
    <w:p>
      <w:pPr>
        <w:spacing w:after="0" w:line="37" w:lineRule="exact"/>
        <w:rPr>
          <w:rFonts w:ascii="Arial" w:cs="Arial" w:eastAsia="Arial" w:hAnsi="Arial"/>
          <w:sz w:val="18"/>
          <w:szCs w:val="18"/>
          <w:color w:val="auto"/>
        </w:rPr>
      </w:pPr>
    </w:p>
    <w:p>
      <w:pPr>
        <w:ind w:left="460" w:right="80" w:firstLine="443"/>
        <w:spacing w:after="0" w:line="291" w:lineRule="auto"/>
        <w:tabs>
          <w:tab w:leader="none" w:pos="11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repurchase, redemption or other acquisition or retirement for value of any Equity Interests of Itron or any Restricted Subsidiary of Itron held by any current or former officer, director or employee of Itron or any of its Restricted Subsidiaries (a) pursuant to any equity subscription agreement, stock option agreement, shareholders’ agreement or similar agreement or (b) upon the death, disability or termination of employment of such officer, director or employee; provided that the aggregate price paid for all such repurchased, redeemed, acquired or retired Equity Interests may not exceed $1.0 million in any twelve-month period, with any unused amounts in any twelve-month period being available to be utilized in subsequent twelve-month periods only to the extent the aggregate price paid for all such Equity Interests does not exceed $3.0 million in any such subsequent twelve-month period;</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Itron or any Restricted Subsidiary of Itron issued on or after the date of the indenture in accordance with the Fixed Charge Coverage Ratio test described below under the caption “—Incurrence of Indebtedness and Issuance of Preferred Stock;”</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$10.0 million since the date of the indenture.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Itron or such Restricted Subsidiary, as the case may be, pursuant to the Restricted Payment. The Fair Market Value of any assets or securities that are required to be valued by this covenant will be determined by the Board of Directors of Itron whose resolution with respect thereto will be delivered to the trustee. The Board of Directors’ determination must be based upon an opinion or appraisal issued by an accounting, appraisal or investment banking firm of national standing if the Fair Market Value exceeds $10.0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Preferred Stock</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Itron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Itron will not issue any Disqualified Stock and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Itron may incur Indebtedness (including Acquired Debt) or issue Disqualified Stock, and the Guarantors may incur Indebtedness or issue preferred stock, if the Fixed Charge Coverage Ratio for Itron’s most recently ended four full fiscal quarters for which internal financial statements are available immediately preceding the date on which such additional Indebtedness is incurred or such Disqualified Stock or preferred stock is issued would have been at least 2.0 to 1,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jc w:val="both"/>
        <w:ind w:left="460" w:right="20" w:firstLine="443"/>
        <w:spacing w:after="0" w:line="306" w:lineRule="auto"/>
        <w:tabs>
          <w:tab w:leader="none" w:pos="114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incurrence by Itron and any Guarantor of additional Indebtedness and letters of credit under Credit Facilities in an aggregate principal amount at any one time outstanding under this clause (1) (with letters of credit being deemed to have a principal amount equal to the maximum potential liability of Itron and its Restricted Subsidiaries thereunder) not to exceed $240.0 million less the aggregate amount of all 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Proceeds of Asset Sales applied by Itron or any of its Restricted Subsidiaries since the date of the indenture to repay any term Indebtedness under a Credit Facility or to repay any revolving credit Indebtedness under a Credit Facility and effect a corresponding commitment reduction thereunder pursuant to the covenant described above under the caption “—Repurchase at the Option of Holders—Asset Sales;”</w:t>
      </w:r>
    </w:p>
    <w:p>
      <w:pPr>
        <w:spacing w:after="0" w:line="12" w:lineRule="exact"/>
        <w:rPr>
          <w:sz w:val="20"/>
          <w:szCs w:val="20"/>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incurrence by Itron and its Restricted Subsidiaries of the Existing Indebtedness;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incurrence by Itron and the Guarantors of Indebtedness represented by the notes and the related Subsidiary Guarantees to be issued on the date of the indenture and the exchange notes and the related Subsidiary Guarantees to be issued pursuant to the registration rights agreement;</w:t>
      </w:r>
    </w:p>
    <w:p>
      <w:pPr>
        <w:spacing w:after="0" w:line="1" w:lineRule="exact"/>
        <w:rPr>
          <w:rFonts w:ascii="Arial" w:cs="Arial" w:eastAsia="Arial" w:hAnsi="Arial"/>
          <w:sz w:val="16"/>
          <w:szCs w:val="16"/>
          <w:color w:val="auto"/>
        </w:rPr>
      </w:pPr>
    </w:p>
    <w:p>
      <w:pPr>
        <w:ind w:left="460" w:right="160" w:firstLine="443"/>
        <w:spacing w:after="0" w:line="294"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incurrence by Itron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used in the business of Itron or any of its Restricted Subsidiaries, in an aggregate principal amount, including all Permitted Refinancing Indebtedness incurred to refund, refinance, replace, defease or discharge any Indebtedness incurred pursuant to this clause (4), not to exceed $15.0 million at any time outstanding;</w:t>
      </w:r>
    </w:p>
    <w:p>
      <w:pPr>
        <w:spacing w:after="0" w:line="21" w:lineRule="exact"/>
        <w:rPr>
          <w:rFonts w:ascii="Arial" w:cs="Arial" w:eastAsia="Arial" w:hAnsi="Arial"/>
          <w:sz w:val="16"/>
          <w:szCs w:val="16"/>
          <w:color w:val="auto"/>
        </w:rPr>
      </w:pPr>
    </w:p>
    <w:p>
      <w:pPr>
        <w:jc w:val="both"/>
        <w:ind w:left="460" w:right="120" w:firstLine="443"/>
        <w:spacing w:after="0" w:line="306"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incurrence by Itron or any of its Restricted Subsidiaries of Permitted Refinancing Indebtedness in exchange for, or the net proceeds of which are used to refund, refinance, replace, defease or discharge Indebtedness (other than intercompany Indebtedness) that was permitted by the indenture to be incurred under the first paragraph of this covenant or clauses (2), (3), (4), (5), (14) or (15) of this paragraph;</w:t>
      </w:r>
    </w:p>
    <w:p>
      <w:pPr>
        <w:spacing w:after="0" w:line="12" w:lineRule="exact"/>
        <w:rPr>
          <w:rFonts w:ascii="Arial" w:cs="Arial" w:eastAsia="Arial" w:hAnsi="Arial"/>
          <w:sz w:val="16"/>
          <w:szCs w:val="16"/>
          <w:color w:val="auto"/>
        </w:rPr>
      </w:pPr>
    </w:p>
    <w:p>
      <w:pPr>
        <w:ind w:left="460" w:right="48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intercompany Indebtedness between or among Itron and any of its Restricted Subsidiaries; provided, however, that:</w:t>
      </w:r>
    </w:p>
    <w:p>
      <w:pPr>
        <w:spacing w:after="0" w:line="37"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Itron or any Guarantor is the obligor on such Indebtedness and the payee is not Itron or a Guarantor, such Indebtedness must be expressly subordinated to the prior payment in full in cash of all Obligations then due with respect to the notes, in the case of Itron, or the Subsidiary Guarantee, in the case of a Guarantor; and</w:t>
      </w:r>
    </w:p>
    <w:p>
      <w:pPr>
        <w:spacing w:after="0" w:line="45" w:lineRule="exact"/>
        <w:rPr>
          <w:rFonts w:ascii="Arial" w:cs="Arial" w:eastAsia="Arial" w:hAnsi="Arial"/>
          <w:sz w:val="18"/>
          <w:szCs w:val="18"/>
          <w:color w:val="auto"/>
        </w:rPr>
      </w:pPr>
    </w:p>
    <w:p>
      <w:pPr>
        <w:ind w:left="920" w:firstLine="421"/>
        <w:spacing w:after="0" w:line="259" w:lineRule="auto"/>
        <w:tabs>
          <w:tab w:leader="none" w:pos="15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Itron or a Restricted Subsidiary of Itron and (ii) any sale or other transfer of any such Indebtedness to a Person that is not either Itron or a Restricted Subsidiary of Itron;</w:t>
      </w:r>
    </w:p>
    <w:p>
      <w:pPr>
        <w:spacing w:after="0" w:line="4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will be deemed, in each case, to constitute an incurrence of such Indebtedness by Itron or such Restricted Subsidiary, as the case may be, that was not permitted by this clause (6);</w:t>
      </w:r>
    </w:p>
    <w:p>
      <w:pPr>
        <w:spacing w:after="0" w:line="37" w:lineRule="exact"/>
        <w:rPr>
          <w:sz w:val="20"/>
          <w:szCs w:val="20"/>
          <w:color w:val="auto"/>
        </w:rPr>
      </w:pPr>
    </w:p>
    <w:p>
      <w:pPr>
        <w:ind w:left="460" w:right="54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by any of Itron’s Restricted Subsidiaries to Itron or to any of its Restricted Subsidiaries of shares of preferred stock; provided, however, that:</w:t>
      </w:r>
    </w:p>
    <w:p>
      <w:pPr>
        <w:spacing w:after="0" w:line="37" w:lineRule="exact"/>
        <w:rPr>
          <w:rFonts w:ascii="Arial" w:cs="Arial" w:eastAsia="Arial" w:hAnsi="Arial"/>
          <w:sz w:val="18"/>
          <w:szCs w:val="18"/>
          <w:color w:val="auto"/>
        </w:rPr>
      </w:pPr>
    </w:p>
    <w:p>
      <w:pPr>
        <w:ind w:left="920" w:right="160" w:firstLine="421"/>
        <w:spacing w:after="0" w:line="268" w:lineRule="auto"/>
        <w:tabs>
          <w:tab w:leader="none" w:pos="15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Itron or a Restricted Subsidiary of Itron;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Itron or a Restricted Subsidiary of Itron;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will be deemed, in each case, to constitute an issuance of such preferred stock by such Restricted Subsidiary that was not permitted by this clause (7);</w:t>
      </w:r>
    </w:p>
    <w:p>
      <w:pPr>
        <w:spacing w:after="0" w:line="100" w:lineRule="exact"/>
        <w:rPr>
          <w:sz w:val="20"/>
          <w:szCs w:val="20"/>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Hedging Obligations in the ordinary course of business;</w:t>
      </w:r>
    </w:p>
    <w:p>
      <w:pPr>
        <w:spacing w:after="0" w:line="76" w:lineRule="exact"/>
        <w:rPr>
          <w:rFonts w:ascii="Arial" w:cs="Arial" w:eastAsia="Arial" w:hAnsi="Arial"/>
          <w:sz w:val="18"/>
          <w:szCs w:val="18"/>
          <w:color w:val="auto"/>
        </w:rPr>
      </w:pPr>
    </w:p>
    <w:p>
      <w:pPr>
        <w:jc w:val="both"/>
        <w:ind w:left="460" w:right="220" w:firstLine="443"/>
        <w:spacing w:after="0" w:line="259"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guarantee by Itron or any of the Guarantors of Indebtedness of Itron or a Restricted Subsidiary of Itron that was permitted to be incurred by another provision of this covenant; provided that if the Indebtedness being guaranteed is subordinated to or pari passu with the notes, then the guarantee shall be subordinated to the same extent as the Indebtedness guaranteed;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80" w:firstLine="443"/>
        <w:spacing w:after="0" w:line="268" w:lineRule="auto"/>
        <w:tabs>
          <w:tab w:leader="none" w:pos="12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Indebtedness in respect of workers’ compensation claims, self-insurance obligations, bankers’ acceptances, performance and surety bonds in the ordinary course of business;</w:t>
      </w:r>
    </w:p>
    <w:p>
      <w:pPr>
        <w:spacing w:after="0" w:line="37" w:lineRule="exact"/>
        <w:rPr>
          <w:rFonts w:ascii="Arial" w:cs="Arial" w:eastAsia="Arial" w:hAnsi="Arial"/>
          <w:sz w:val="18"/>
          <w:szCs w:val="18"/>
          <w:color w:val="auto"/>
        </w:rPr>
      </w:pPr>
    </w:p>
    <w:p>
      <w:pPr>
        <w:ind w:left="460" w:right="100" w:firstLine="443"/>
        <w:spacing w:after="0" w:line="325"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by Itron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 w:lineRule="exact"/>
        <w:rPr>
          <w:rFonts w:ascii="Arial" w:cs="Arial" w:eastAsia="Arial" w:hAnsi="Arial"/>
          <w:sz w:val="16"/>
          <w:szCs w:val="16"/>
          <w:color w:val="auto"/>
        </w:rPr>
      </w:pPr>
    </w:p>
    <w:p>
      <w:pPr>
        <w:jc w:val="both"/>
        <w:ind w:left="460" w:right="260" w:firstLine="443"/>
        <w:spacing w:after="0" w:line="298" w:lineRule="auto"/>
        <w:tabs>
          <w:tab w:leader="none" w:pos="12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by Foreign Subsidiaries of Indebtedness in an aggregate principal amount at any time outstanding pursuant to this clause (12), including all Permitted Refinancing Indebtedness incurred to refund, refinance, defease, renew, extend or replace Indebtedness incurred pursuant to this clause (12), not to exceed the greater of (a) $15.0 million (or the equivalent thereof, measured at the time of each incurrence, in applicable foreign currency) and (b) an amount equal to the Foreign Borrowing Base as of the date of such occurrence;</w:t>
      </w:r>
    </w:p>
    <w:p>
      <w:pPr>
        <w:spacing w:after="0" w:line="18" w:lineRule="exact"/>
        <w:rPr>
          <w:rFonts w:ascii="Arial" w:cs="Arial" w:eastAsia="Arial" w:hAnsi="Arial"/>
          <w:sz w:val="16"/>
          <w:szCs w:val="16"/>
          <w:color w:val="auto"/>
        </w:rPr>
      </w:pPr>
    </w:p>
    <w:p>
      <w:pPr>
        <w:ind w:left="460" w:firstLine="443"/>
        <w:spacing w:after="0" w:line="294" w:lineRule="auto"/>
        <w:tabs>
          <w:tab w:leader="none" w:pos="12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Indebtedness of a Subsidiary incurred and outstanding on or prior to the date on which such Subsidiary was acquired by Itron (other than Indebtedness incurred in contemplation of, or in connection with, the transaction or series of related transactions pursuant to which such Subsidiary became a Subsidiary of or was otherwise acquired by Itron); provided, however, that for any such Indebtedness outstanding at any time under this clause (13), in excess of $5.0 million, on the date that such Subsidiary is acquired by Itron, Itron would have been able to incur $1.00 of additional Indebtedness pursuant to the first paragraph of this covenant after giving effect to the incurrence of such Indebtedness pursuant to this clause (13);</w:t>
      </w:r>
    </w:p>
    <w:p>
      <w:pPr>
        <w:spacing w:after="0" w:line="21" w:lineRule="exact"/>
        <w:rPr>
          <w:rFonts w:ascii="Arial" w:cs="Arial" w:eastAsia="Arial" w:hAnsi="Arial"/>
          <w:sz w:val="16"/>
          <w:szCs w:val="16"/>
          <w:color w:val="auto"/>
        </w:rPr>
      </w:pPr>
    </w:p>
    <w:p>
      <w:pPr>
        <w:ind w:left="460" w:right="100" w:firstLine="443"/>
        <w:spacing w:after="0" w:line="256" w:lineRule="auto"/>
        <w:tabs>
          <w:tab w:leader="none" w:pos="12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incurrence by any Outsourcing Project Subsidiary of Indebtedness obtained to finance Outsourcing Projects, in an aggregate principal amount, including all Permitted Refinancing Indebtedness incurred to refund, refinance, replace, defease or discharge any Indebtedness incurred pursuant to this clause (14), not to exceed the greater of (a) $35.0 million at any time outstanding and (b) an amount equal to 10% of Consolidated Tangible Assets; and</w:t>
      </w:r>
    </w:p>
    <w:p>
      <w:pPr>
        <w:spacing w:after="0" w:line="48" w:lineRule="exact"/>
        <w:rPr>
          <w:rFonts w:ascii="Arial" w:cs="Arial" w:eastAsia="Arial" w:hAnsi="Arial"/>
          <w:sz w:val="18"/>
          <w:szCs w:val="18"/>
          <w:color w:val="auto"/>
        </w:rPr>
      </w:pPr>
    </w:p>
    <w:p>
      <w:pPr>
        <w:ind w:left="460" w:right="220" w:firstLine="443"/>
        <w:spacing w:after="0" w:line="259" w:lineRule="auto"/>
        <w:tabs>
          <w:tab w:leader="none" w:pos="12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incurrence by Itron or any of its Restricted Subsidiaries of additional Indebtedness in an aggregate principal amount (or accreted value, as applicable) at any time outstanding, including all Permitted Refinancing Indebtedness incurred to refund, refinance, replace, defease or discharge any Indebtedness incurred pursuant to this clause (15), not to exceed $20.0 million.</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(15) above, or is entitled to be incurred pursuant to the first paragraph of this covenant, Itron will be permitted to classify such item of Indebtedness on the date of its incurrence, or later reclassify all or a portion of such item of Indebtedness, in any manner that complies with this covenant. Indebtedness under Credit Facilities outstanding on the date on which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deemed to be an incurrence of Indebtedness or an issuance of Disqualified Stock for purposes of this covenant; provided, in each such case, that the amount thereof is included in Fixed Charges of Itron as accrued. Notwithstanding any other provision of this covenant, the maximum amount of Indebtedness that Itron or any Restricted Subsidiary may incur pursuant to this covenant shall not be deemed to be exceeded solely as a result of fluctuations in exchange rates or currency values.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 Layering of Debt</w:t>
      </w:r>
    </w:p>
    <w:p>
      <w:pPr>
        <w:spacing w:after="0" w:line="77"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Itron will not incur, create, issue, assume, guarantee or otherwise become liable for any Indebtedness that is contractually subordinate or junior in right of payment to any Senior Debt of Itron and senior in right of payment to the notes. No Guarantor will incur, create, issue, assume, guarantee or otherwise become liable for any Indebtedness that is contractually subordinate or junior in right of payment to the Senior Debt of such Guarantor and senior in right of payment to such Guarantor’s Subsidiary Guarantee. No such Indebtedness will be considered to be senior by virtue of being secured on a first or junior priority basis.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Itron will not, and will not permit any of its Restricted Subsidiaries to, directly or indirectly, create, incur, assume or suffer to exist any Lien of any kind securing Indebtedness, Attributable Debt or trade payables on any asset now owned or hereafter acquired, except Permitted Liens.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and Leaseback Transactions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Itron will not, and will not permit any of its Restricted Subsidiaries to, enter into any sale and leaseback transaction; provided that Itron or any Restricted Subsidiary may enter into a sale and leaseback transaction if:</w:t>
      </w:r>
    </w:p>
    <w:p>
      <w:pPr>
        <w:spacing w:after="0" w:line="37" w:lineRule="exact"/>
        <w:rPr>
          <w:sz w:val="20"/>
          <w:szCs w:val="20"/>
          <w:color w:val="auto"/>
        </w:rPr>
      </w:pPr>
    </w:p>
    <w:p>
      <w:pPr>
        <w:ind w:left="460" w:right="260" w:firstLine="443"/>
        <w:spacing w:after="0" w:line="256" w:lineRule="auto"/>
        <w:tabs>
          <w:tab w:leader="none" w:pos="11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Itron or that Restricted Subsidiary, as applicable, could have (a) incurred Indebtedness in an amount equal to the Attributable Debt relating to such sale and leaseback transaction under the Fixed Charge Coverage Ratio test in the first paragraph of the covenant described above under the caption “—Incurrence of Indebtedness and Issuance of Preferred Stock” and (b) incurred a Lien to secure such Indebtedness pursuant to the covenant described above under the caption “—Liens;”</w:t>
      </w:r>
    </w:p>
    <w:p>
      <w:pPr>
        <w:spacing w:after="0" w:line="48" w:lineRule="exact"/>
        <w:rPr>
          <w:rFonts w:ascii="Arial" w:cs="Arial" w:eastAsia="Arial" w:hAnsi="Arial"/>
          <w:sz w:val="18"/>
          <w:szCs w:val="18"/>
          <w:color w:val="auto"/>
        </w:rPr>
      </w:pPr>
    </w:p>
    <w:p>
      <w:pPr>
        <w:ind w:left="460" w:firstLine="443"/>
        <w:spacing w:after="0" w:line="347" w:lineRule="auto"/>
        <w:tabs>
          <w:tab w:leader="none" w:pos="114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gross cash proceeds of that sale and leaseback transaction are at least equal to the Fair Market Value, as determined in good faith by the Board of Directors and set forth in an officers’ certificate delivered to the trustee, of the property that is the subject of that sale and leaseback transaction; and</w:t>
      </w:r>
    </w:p>
    <w:p>
      <w:pPr>
        <w:ind w:left="460" w:right="80" w:firstLine="443"/>
        <w:spacing w:after="0" w:line="268" w:lineRule="auto"/>
        <w:tabs>
          <w:tab w:leader="none" w:pos="11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Itron applies the proceeds of such transaction in compliance with, the covenant described above under the caption “—Repurchase at the Option of Holders—Asset Sales.”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Itron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right="480" w:firstLine="443"/>
        <w:spacing w:after="0" w:line="325"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Itron or any of its Restricted Subsidiaries, or with respect to any other interest or participation in, or measured by, its profits, or pay any indebtedness owed to Itron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loans or advances to Itron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 any of its properties or assets to Itron or any of its Restricted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460" w:right="240" w:firstLine="443"/>
        <w:spacing w:after="0" w:line="298"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agreements governing Existing Indebtedness and Credit Facilities as in effect on the date of the indenture and any amendments, modifications, restatements, renewals, increases, supplements, refundings, replacements or refinancings of those agreements; provided that the amendments, modifications, restatements, renewals, increases, supplements, refundings, replacements or refinancings are no more restrictive, taken as a whole, with respect to such dividend and other payment restrictions than those contained in those agreements on the date of the indenture;</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indenture, the notes and the Subsidiary Guarantees;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left="460" w:right="80" w:firstLine="443"/>
        <w:spacing w:after="0" w:line="255"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instrument governing Indebtedness or Capital Stock of a Person acquired by Itron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together with such Person’s Subsidiaries; provided that, in the case of Indebtedness, such Indebtedness was permitted by the terms of the indenture to be incurred;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purchase money obligations for property acquired in the ordinary course of business as well as Capital Lease Obligations and operating lease obligations that impose restrictions on the property purchased or leased of the nature described in clause (3) of the preceding paragraph;</w:t>
      </w:r>
    </w:p>
    <w:p>
      <w:pPr>
        <w:spacing w:after="0" w:line="1"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left="460" w:right="280" w:firstLine="443"/>
        <w:spacing w:after="0" w:line="347" w:lineRule="auto"/>
        <w:tabs>
          <w:tab w:leader="none" w:pos="1147" w:val="left"/>
        </w:tabs>
        <w:numPr>
          <w:ilvl w:val="0"/>
          <w:numId w:val="54"/>
        </w:numPr>
        <w:rPr>
          <w:rFonts w:ascii="Arial" w:cs="Arial" w:eastAsia="Arial" w:hAnsi="Arial"/>
          <w:sz w:val="15"/>
          <w:szCs w:val="15"/>
          <w:color w:val="auto"/>
        </w:rPr>
      </w:pPr>
      <w:r>
        <w:rPr>
          <w:rFonts w:ascii="Arial" w:cs="Arial" w:eastAsia="Arial" w:hAnsi="Arial"/>
          <w:sz w:val="15"/>
          <w:szCs w:val="15"/>
          <w:color w:val="auto"/>
        </w:rPr>
        <w:t>Permitted Refinancing Indebtedness; provided that the restrictions contained in the agreements governing such Permitted Refinancing Indebtedness are not materially more restrictive, taken as a whole, than those contained in the agreements governing the Indebtedness being refinanced;</w:t>
      </w:r>
    </w:p>
    <w:p>
      <w:pPr>
        <w:ind w:left="460" w:right="6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that limit the right of the debtor to dispose of the assets subject to such Liens;</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Itron’s Board of Directors, which limitation is applicable only to the assets that are the subject of such agreements;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encumbrances and restrictions contained in the terms of any Indebtedness or any agreement pursuant to which such Indebtedness was issued if:</w:t>
      </w:r>
    </w:p>
    <w:p>
      <w:pPr>
        <w:spacing w:after="0" w:line="111" w:lineRule="exact"/>
        <w:rPr>
          <w:rFonts w:ascii="Arial" w:cs="Arial" w:eastAsia="Arial" w:hAnsi="Arial"/>
          <w:sz w:val="15"/>
          <w:szCs w:val="15"/>
          <w:color w:val="auto"/>
        </w:rPr>
      </w:pPr>
    </w:p>
    <w:p>
      <w:pPr>
        <w:ind w:left="920" w:right="140" w:firstLine="421"/>
        <w:spacing w:after="0" w:line="268" w:lineRule="auto"/>
        <w:tabs>
          <w:tab w:leader="none" w:pos="1579"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encumbrance or restriction applies only in the event of a payment default or a default with respect to a financial covenant contained in such Indebtedness or agreement; and</w:t>
      </w:r>
    </w:p>
    <w:p>
      <w:pPr>
        <w:spacing w:after="0" w:line="37" w:lineRule="exact"/>
        <w:rPr>
          <w:rFonts w:ascii="Arial" w:cs="Arial" w:eastAsia="Arial" w:hAnsi="Arial"/>
          <w:sz w:val="18"/>
          <w:szCs w:val="18"/>
          <w:color w:val="auto"/>
        </w:rPr>
      </w:pPr>
    </w:p>
    <w:p>
      <w:pPr>
        <w:ind w:left="920" w:firstLine="421"/>
        <w:spacing w:after="0" w:line="268" w:lineRule="auto"/>
        <w:tabs>
          <w:tab w:leader="none" w:pos="15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encumbrance or restriction will not materially affect Itron’s ability to pay all principal, interest and premium and Liquidated Damages, if any, on the notes, as determined in good faith by the Board of Directors of Itron;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in connection with financing for Outsourcing Projects obtained by Outsourcing Project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Itron may not, directly or indirectly: (1) consolidate or merge with or into another Person (whether or not Itron is the surviving corporation); or (2) sell, assign, transfer, convey or otherwise dispose of all or substantially all of the properties or assets of Itron and its Restricted Subsidiaries taken as a whole, in one or more related transactions, to another Person; unless:</w:t>
      </w:r>
    </w:p>
    <w:p>
      <w:pPr>
        <w:spacing w:after="0" w:line="46" w:lineRule="exact"/>
        <w:rPr>
          <w:sz w:val="20"/>
          <w:szCs w:val="20"/>
          <w:color w:val="auto"/>
        </w:rPr>
      </w:pPr>
    </w:p>
    <w:p>
      <w:pPr>
        <w:ind w:left="460" w:right="10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either: (a) Itron is the surviving corporation; or (b) the Person formed by or surviving any such consolidation or merger (if other than Itron) or to which such sale, assignment, transfer, conveyance or other disposition has been made is a corporation organized or existing under the laws of the United States, any state of the United States or the District of Columbia;</w:t>
      </w:r>
    </w:p>
    <w:p>
      <w:pPr>
        <w:spacing w:after="0" w:line="45"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Itron) or the Person to which such sale, assignment, transfer, conveyance or other disposition has been made assumes all the obligations of Itron under the notes, the indenture and the registration rights agreement pursuant to agreements reasonably satisfactory to the trustee;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76" w:lineRule="exact"/>
        <w:rPr>
          <w:rFonts w:ascii="Arial" w:cs="Arial" w:eastAsia="Arial" w:hAnsi="Arial"/>
          <w:sz w:val="18"/>
          <w:szCs w:val="18"/>
          <w:color w:val="auto"/>
        </w:rPr>
      </w:pPr>
    </w:p>
    <w:p>
      <w:pPr>
        <w:ind w:left="460" w:right="380" w:firstLine="443"/>
        <w:spacing w:after="0" w:line="294"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Itron or the Person formed by or surviving any such consolidation or merger (if other than Itron), or to which such sale, assignment, transfer, conveyance or other disposition has been made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Itron may not, directly or indirectly, lease all or substantially all of its properties or assets, in one or more related transactions, to any other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“Merger, Consolidation or Sale of Assets” covenant will not apply to:</w:t>
      </w:r>
    </w:p>
    <w:p>
      <w:pPr>
        <w:spacing w:after="0" w:line="77" w:lineRule="exact"/>
        <w:rPr>
          <w:sz w:val="20"/>
          <w:szCs w:val="20"/>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merger of Itron with an Affiliate solely for the purpose of reincorporating Itron in another jurisdiction; and</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Itron and its Restricted Subsidiaries that are Guarantors.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Itron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Itron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unless:</w:t>
      </w:r>
    </w:p>
    <w:p>
      <w:pPr>
        <w:spacing w:after="0" w:line="46" w:lineRule="exact"/>
        <w:rPr>
          <w:sz w:val="20"/>
          <w:szCs w:val="20"/>
          <w:color w:val="auto"/>
        </w:rPr>
      </w:pPr>
    </w:p>
    <w:p>
      <w:pPr>
        <w:ind w:left="460" w:right="440" w:firstLine="443"/>
        <w:spacing w:after="0" w:line="268"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Itron or the relevant Restricted Subsidiary than those that would have been obtained in a comparable transaction by Itron or such Restricted Subsidiary with an unrelated Person;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Itron delivers to the trustee:</w:t>
      </w:r>
    </w:p>
    <w:p>
      <w:pPr>
        <w:spacing w:after="0" w:line="76" w:lineRule="exact"/>
        <w:rPr>
          <w:rFonts w:ascii="Arial" w:cs="Arial" w:eastAsia="Arial" w:hAnsi="Arial"/>
          <w:sz w:val="18"/>
          <w:szCs w:val="18"/>
          <w:color w:val="auto"/>
        </w:rPr>
      </w:pPr>
    </w:p>
    <w:p>
      <w:pPr>
        <w:ind w:left="920" w:right="60" w:firstLine="421"/>
        <w:spacing w:after="0" w:line="306" w:lineRule="auto"/>
        <w:tabs>
          <w:tab w:leader="none" w:pos="1579" w:val="left"/>
        </w:tabs>
        <w:numPr>
          <w:ilvl w:val="1"/>
          <w:numId w:val="5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$5.0 million, a resolution of the Board of Directors of Itron set forth in an officers’ certificate certifying that such Affiliate Transaction complies with this covenant and that such Affiliate Transaction has been approved by a majority of the disinterested members of the Board of Directors of Itron; and</w:t>
      </w:r>
    </w:p>
    <w:p>
      <w:pPr>
        <w:spacing w:after="0" w:line="12" w:lineRule="exact"/>
        <w:rPr>
          <w:rFonts w:ascii="Arial" w:cs="Arial" w:eastAsia="Arial" w:hAnsi="Arial"/>
          <w:sz w:val="16"/>
          <w:szCs w:val="16"/>
          <w:color w:val="auto"/>
        </w:rPr>
      </w:pPr>
    </w:p>
    <w:p>
      <w:pPr>
        <w:ind w:left="920" w:right="20" w:firstLine="421"/>
        <w:spacing w:after="0" w:line="259" w:lineRule="auto"/>
        <w:tabs>
          <w:tab w:leader="none" w:pos="15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an opinion as to the fairness to Itron or such Subsidiary of such Affiliate Transaction from a financial point of view issued by an accounting, appraisal or investment banking firm of national standing.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24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employment agreement, employee benefit plan, officer and director indemnification agreement or any similar arrangement entered into by Itron or any of its Restricted Subsidiaries in the ordinary course of business;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between or among Itron and/or its Restricted Subsidiaries;</w:t>
      </w:r>
    </w:p>
    <w:p>
      <w:pPr>
        <w:spacing w:after="0" w:line="76"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Itron) that is an Affiliate of Itron solely because Itron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reasonable directors’ fees to Persons who are not otherwise Affiliates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Itron to Affiliates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Payments that do not violate the provisions of the indenture described above under the caption “—Restricted Payments;”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loans or advances to employees in the ordinary course of business not to exceed $2.0 million in the aggregate at any one time outstanding.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Activities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Itron will not, and will not permit any of its Restricted Subsidiaries to, engage in any business other than Permitted Businesses, except to such extent as would not be material to Itron and its Restricted Subsidiaries taken as a whole.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Subsidiary Guarantees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Itron or any of its Restricted Subsidiaries acquires or creates another Domestic Subsidiary after the date of the indenture, then that newly acquired or created Domestic Subsidiary will become a Guarantor and execute a supplemental indenture and deliver an opinion of counsel satisfactory to the trustee within 30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of Directors of Itron may designate any Restricted Subsidiary to be an Unrestricted Subsidiary if that designation would not cause a Default. If a Restricted Subsidiary is designated as an Unrestricted Subsidiary, the aggregate Fair Market Value of all outstanding Investments owned by Itron and its Restricted Subsidiaries in the Subsidiary designated as Unrestricted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Itron. That designation will only be permitted if the Investment would be permitted at that time and if the Restricted Subsidiary otherwise meets the definition of an Unrestricted Subsidiary. The Board of Directors of Itron may redesignate any Unrestricted Subsidiary to be a Restricted Subsidiary if that redesignation would not cause a Default.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Itron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Whether or not required by the Commission’s rules and regulations, so long as any notes are outstanding, Itron will furnish to the holders of notes or cause the trustee to furnish to the holders of notes, within the time periods specified in the Commission’s rules and regulations:</w:t>
      </w:r>
    </w:p>
    <w:p>
      <w:pPr>
        <w:spacing w:after="0" w:line="1" w:lineRule="exact"/>
        <w:rPr>
          <w:sz w:val="20"/>
          <w:szCs w:val="20"/>
          <w:color w:val="auto"/>
        </w:rPr>
      </w:pPr>
    </w:p>
    <w:p>
      <w:pPr>
        <w:ind w:left="460" w:right="320" w:firstLine="443"/>
        <w:spacing w:after="0" w:line="268"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Itron were required to file such reports;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Itron were required to file such reports.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Itron’s consolidated financial statements by Itron’s certified independent accountants. In addition, Itron will file a copy of each of the reports referred to in clauses (1) and (2) above with the Commission for public availability within the time periods specified in the rules and regulations applicable to such reports (unless the Commission will not accept such a filing) and will post the reports on its website within those time periods.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at any time, Itron is no longer subject to the periodic reporting requirements of the Exchange Act for any reason, Itron will nevertheless continue filing the reports specified in the preceding paragraph with the Commission within the time periods specified above unless the Commission will not accept such a filing. Itron agrees that it will not take any action for the purpose of causing the Commission not to accept any such filings. If, notwithstanding the foregoing, the Commission will not accept Itron’s filings for any reason, Itron will post the reports referred to in the preceding paragraph on its website within the time periods that would apply if Itron were required to file those reports with the Commission.</w:t>
      </w:r>
    </w:p>
    <w:p>
      <w:pPr>
        <w:spacing w:after="0" w:line="10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If Itron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Itron and its Restricted Subsidiaries separate from the financial condition and results of operations of the Unrestricted Subsidiaries of Itron.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77" w:lineRule="exact"/>
        <w:rPr>
          <w:sz w:val="20"/>
          <w:szCs w:val="20"/>
          <w:color w:val="auto"/>
        </w:rPr>
      </w:pPr>
    </w:p>
    <w:p>
      <w:pPr>
        <w:ind w:left="460" w:right="32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with respect to, the notes whether or not prohibited by the subordination provisions of the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 whether or not prohibited by the subordination provisions of the indenture;</w:t>
      </w:r>
    </w:p>
    <w:p>
      <w:pPr>
        <w:spacing w:after="0" w:line="37"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by Itron or any of its Restricted Subsidiaries for 30 days after written notice to comply with the provisions described under the captions “—Repurchase at the Option of Holders—Change of Control,” “—Repurchase at the Option of Holders—Asset Sales,” “—Certain Covenants—Restricted Payments,” “—Certain Covenants—Incurrence of Indebtedness and Issuance of Preferred Stock” or “—Certain Covenants—Merger, Consolidation or Sale of Assets;”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failure by Itron or any of its Restricted Subsidiaries for 60 days after written notice to comply with any of the other agreements in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firstLine="443"/>
        <w:spacing w:after="0" w:line="306" w:lineRule="auto"/>
        <w:tabs>
          <w:tab w:leader="none" w:pos="1147"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Itron or any of its Restricted Subsidiaries (or the payment of which is guaranteed by Itron or any of its Restricted Subsidiaries) whether such Indebtedness or guarantee now exists, or is created after the date of the indenture, if that default:</w:t>
      </w:r>
    </w:p>
    <w:p>
      <w:pPr>
        <w:spacing w:after="0" w:line="12"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37" w:lineRule="exact"/>
        <w:rPr>
          <w:rFonts w:ascii="Arial" w:cs="Arial" w:eastAsia="Arial" w:hAnsi="Arial"/>
          <w:sz w:val="18"/>
          <w:szCs w:val="18"/>
          <w:color w:val="auto"/>
        </w:rPr>
      </w:pPr>
    </w:p>
    <w:p>
      <w:pPr>
        <w:ind w:left="920" w:right="480" w:firstLine="421"/>
        <w:spacing w:after="0" w:line="268" w:lineRule="auto"/>
        <w:tabs>
          <w:tab w:leader="none" w:pos="1588" w:val="left"/>
        </w:tabs>
        <w:numPr>
          <w:ilvl w:val="1"/>
          <w:numId w:val="61"/>
        </w:numPr>
        <w:rPr>
          <w:rFonts w:ascii="Arial" w:cs="Arial" w:eastAsia="Arial" w:hAnsi="Arial"/>
          <w:sz w:val="18"/>
          <w:szCs w:val="18"/>
          <w:color w:val="auto"/>
        </w:rPr>
      </w:pPr>
      <w:r>
        <w:rPr>
          <w:rFonts w:ascii="Arial" w:cs="Arial" w:eastAsia="Arial" w:hAnsi="Arial"/>
          <w:sz w:val="18"/>
          <w:szCs w:val="18"/>
          <w:color w:val="auto"/>
        </w:rPr>
        <w:t>(i) results in the acceleration of such Indebtedness prior to its express maturity and (ii) the obligations that have been accelerated are recourse to Itron or any of its Restricted Subsidiaries,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and, in each case, (A) with respect to any such Indebtedness that is not Indebtedness of an Outsourcing Subsidiary, the principal amount of such Indebtedness, together with the principal amount of any other such Indebtedness (other than Indebtedness of an Outsourcing Subsidiary) under which there has been a Payment Default or the maturity of which has been so accelerated, aggregates $10.0 million or more, or (B) with respect to any such Indebtedness of an Outsourcing Subsidiary, the principal amount of such Indebtedness, together with the principal amount of any other such Indebtedness of an Outsourcing Subsidiary under which there has been a Payment Default or the maturity of which has been so accelerated, aggregates $25.0 million or more;</w:t>
      </w:r>
    </w:p>
    <w:p>
      <w:pPr>
        <w:spacing w:after="0" w:line="21" w:lineRule="exact"/>
        <w:rPr>
          <w:sz w:val="20"/>
          <w:szCs w:val="20"/>
          <w:color w:val="auto"/>
        </w:rPr>
      </w:pPr>
    </w:p>
    <w:p>
      <w:pPr>
        <w:ind w:left="460" w:right="40" w:firstLine="443"/>
        <w:spacing w:after="0" w:line="268"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Itron or any of its Restricted Subsidiaries to pay final judgments aggregating in excess of $10.0 million, which judgments are not paid, discharged or stayed for a period of 60 days;</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permitted by the indenture, any Subsidiary Guarantee shall be held in any judicial proceeding to be unenforceable or invalid or shall cease for any reason to be in full force and effect or any Guarantor, or any Person acting on behalf of any Guarantor, shall deny or disaffirm its obligations under its Subsidiary Guarantee;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Itron to comply with any material term of the escrow and security agreement that is not cured within 10 days;</w:t>
      </w:r>
    </w:p>
    <w:p>
      <w:pPr>
        <w:spacing w:after="0" w:line="76" w:lineRule="exact"/>
        <w:rPr>
          <w:rFonts w:ascii="Arial" w:cs="Arial" w:eastAsia="Arial" w:hAnsi="Arial"/>
          <w:sz w:val="18"/>
          <w:szCs w:val="18"/>
          <w:color w:val="auto"/>
        </w:rPr>
      </w:pPr>
    </w:p>
    <w:p>
      <w:pPr>
        <w:jc w:val="both"/>
        <w:ind w:left="460" w:right="20" w:firstLine="443"/>
        <w:spacing w:after="0" w:line="306"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escrow and security agreement or any other security document or any Lien purported to be granted thereby on the escrow account or the cash or Government Securities therein is held in any judicial proceeding to be unenforceable or invalid, in whole or in part, or ceases for any reason (other than pursuant to a release that is delivered or becomes effective as set forth in the indenture) to be fully enforceable and perfected; and</w:t>
      </w:r>
    </w:p>
    <w:p>
      <w:pPr>
        <w:spacing w:after="0" w:line="12" w:lineRule="exact"/>
        <w:rPr>
          <w:rFonts w:ascii="Arial" w:cs="Arial" w:eastAsia="Arial" w:hAnsi="Arial"/>
          <w:sz w:val="16"/>
          <w:szCs w:val="16"/>
          <w:color w:val="auto"/>
        </w:rPr>
      </w:pPr>
    </w:p>
    <w:p>
      <w:pPr>
        <w:ind w:left="460" w:right="680" w:firstLine="443"/>
        <w:spacing w:after="0" w:line="332" w:lineRule="auto"/>
        <w:tabs>
          <w:tab w:leader="none" w:pos="12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Itron or any of its Restricted Subsidiaries that is a Significant Subsidiary or any group of Restricted Subsidiaries that, taken together, would constitute a Significant Subsidiary.</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Itron, any Restricted Subsidiary of Itron that is a Significant Subsidiary or any group of Restricted Subsidiaries of Itron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provided that so long as any Obligations in respect of the Credit Agreement are outstanding or the commitments thereunder have not expired or been terminated, such acceleration will not be effective until the earlier to occur of (1) the acceleration of any Indebtedness under the Credit Agreement or (2) five business days after receipt by Itron and the administrative agent under the Credit Agreement of written notice of such acceleration.</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indemnity satisfactory to it or security against any loss, liability or expense. Except to enforce the right to receive payment of principal, premium (if any) or interest or Liquidated Damages (if any) when due, no holder of a note may pursue any remedy with respect to the indenture or the notes unless:</w:t>
      </w:r>
    </w:p>
    <w:p>
      <w:pPr>
        <w:spacing w:after="0" w:line="3" w:lineRule="exact"/>
        <w:rPr>
          <w:sz w:val="20"/>
          <w:szCs w:val="20"/>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outstanding notes have requested the trustee to pursue the remedy;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holders have offered the trustee security satisfactory to it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notes then outstanding by notice to the trustee may, on behalf of the holders of all of the notes, rescind an acceleration or waive any existing Default or Event of Default and its consequences under the indenture except a continuing Default or Event of Default in the payment of interest or premium or Liquidated Damages, if any, on, or the principal of, the notes.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case of any Event of Default occurring by reason of any willful action or inaction taken or not taken by or on behalf of Itron with the intention of avoiding payment of the premium that Itron would have had to pay if Itron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May 15, 2008, by reason of any willful action (or inaction) taken (or not taken) by or on behalf of Itron with the intention of avoiding the prohibition on redemption of the notes prior to May 15, 2008, then the premium specified in the indenture will also become immediately due and payable to the extent permitted by law upon the acceleration of the notes.</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Itron is required to deliver to the trustee, within 90 days after the end of each fiscal year, a statement regarding compliance with the indenture. Upon becoming aware of any Default or Event of Default, Itron is required to deliver to the trustee a statement specifying such Default or Event of Default.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 director, officer, employee, incorporator or stockholder of Itron or any Guarantor, as such, will have any liability for any obligations of Itron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Itron may, at its option and at any time, elect to have all of its obligations discharged with respect to the outstanding notes and all obligations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70" w:lineRule="exact"/>
        <w:rPr>
          <w:sz w:val="20"/>
          <w:szCs w:val="20"/>
          <w:color w:val="auto"/>
        </w:rPr>
      </w:pPr>
    </w:p>
    <w:p>
      <w:pPr>
        <w:ind w:left="460" w:right="22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Itron’s obligations with respect to the notes concerning issuing temporary notes, registration of notes, mutilated, destroyed, lost or stolen notes and the maintenance of an office or agency for payment and money for security payments held in trust;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Itron’s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Itron may, at its option and at any time, elect to have the obligations of Itron and the Guarantors released with respect to certain covenants (including its obligation to make Change of Control Offers and Asset Sale Offers) that are described in the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firstLine="464"/>
        <w:spacing w:after="0" w:line="294"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Itron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Itron must specify whether the notes are being defeased to such stated date for payment or to a particular redemption date;</w:t>
      </w:r>
    </w:p>
    <w:p>
      <w:pPr>
        <w:spacing w:after="0" w:line="102" w:lineRule="exact"/>
        <w:rPr>
          <w:rFonts w:ascii="Arial" w:cs="Arial" w:eastAsia="Arial" w:hAnsi="Arial"/>
          <w:sz w:val="16"/>
          <w:szCs w:val="16"/>
          <w:color w:val="auto"/>
        </w:rPr>
      </w:pPr>
    </w:p>
    <w:p>
      <w:pPr>
        <w:ind w:firstLine="464"/>
        <w:spacing w:after="0" w:line="294"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Legal Defeasance, Itron must deliver to the trustee an opinion of counsel reasonably acceptable to the trustee confirming that (a) Itron has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02" w:lineRule="exact"/>
        <w:rPr>
          <w:rFonts w:ascii="Arial" w:cs="Arial" w:eastAsia="Arial" w:hAnsi="Arial"/>
          <w:sz w:val="16"/>
          <w:szCs w:val="16"/>
          <w:color w:val="auto"/>
        </w:rPr>
      </w:pPr>
    </w:p>
    <w:p>
      <w:pPr>
        <w:jc w:val="both"/>
        <w:ind w:right="120" w:firstLine="464"/>
        <w:spacing w:after="0" w:line="256"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Covenant Defeasance, Itron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29" w:lineRule="exact"/>
        <w:rPr>
          <w:rFonts w:ascii="Arial" w:cs="Arial" w:eastAsia="Arial" w:hAnsi="Arial"/>
          <w:sz w:val="18"/>
          <w:szCs w:val="18"/>
          <w:color w:val="auto"/>
        </w:rPr>
      </w:pPr>
    </w:p>
    <w:p>
      <w:pPr>
        <w:jc w:val="both"/>
        <w:ind w:right="140" w:firstLine="464"/>
        <w:spacing w:after="0" w:line="259"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Itron or any Guarantor is a party or by which Itron or any Guarantor is bound;</w:t>
      </w:r>
    </w:p>
    <w:p>
      <w:pPr>
        <w:spacing w:after="0" w:line="126" w:lineRule="exact"/>
        <w:rPr>
          <w:rFonts w:ascii="Arial" w:cs="Arial" w:eastAsia="Arial" w:hAnsi="Arial"/>
          <w:sz w:val="18"/>
          <w:szCs w:val="18"/>
          <w:color w:val="auto"/>
        </w:rPr>
      </w:pPr>
    </w:p>
    <w:p>
      <w:pPr>
        <w:ind w:right="460" w:firstLine="464"/>
        <w:spacing w:after="0" w:line="332"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Itron or any of its Subsidiaries is a party or by which Itron or any of its Subsidiaries is bound;</w:t>
      </w:r>
    </w:p>
    <w:p>
      <w:pPr>
        <w:spacing w:after="0" w:line="71"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Itron must deliver to the trustee an officers’ certificate stating that the deposit was not made by Itron with the intent of preferring the holders of notes over the other creditors of Itron with the intent of defeating, hindering, delaying or defrauding creditors of Itron or others;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Itron must deliver to the trustee an officers’ certificate and an opinion of counsel, each stating that all conditions precedent relating to the Legal Defeasance or the Covenant Defeasance have been complied 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in the next three succeeding paragraphs, the indenture or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Event of Default or compliance with any provision of the indenture or the notes may be waived with the consent of the holders of a majority in principal amount of the then outstanding notes (including, without limitation, consents obtained in connection with a purchase of, or tender offer or exchange offer for, notes).</w:t>
      </w:r>
    </w:p>
    <w:p>
      <w:pPr>
        <w:spacing w:after="0" w:line="12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Without the consent of each noteholder affected, an amendment, supplement or waiver may not (with respect to any notes held by a non-consenting holder):</w:t>
      </w:r>
    </w:p>
    <w:p>
      <w:pPr>
        <w:spacing w:after="0" w:line="37" w:lineRule="exact"/>
        <w:rPr>
          <w:sz w:val="20"/>
          <w:szCs w:val="20"/>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notes and a waiver of the payment default that resulted from such acceleration);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or Liquidated Damages, if any, on the notes;</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Subsidiary Guarantee or the indenture, except in accordance with the terms of the indenture;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any amendment to, or waiver of, the provisions of the indenture relating to subordination that adversely affects the rights of the holders of the notes will require the consent of the holders of at least 75% in aggregate principal amount of notes then outstanding.</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Itron, the Guarantors and the trustee may amend or supplement the indenture, the notes or the Subsidiary Guarantees:</w:t>
      </w:r>
    </w:p>
    <w:p>
      <w:pPr>
        <w:spacing w:after="0" w:line="37"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the assumption of Itron’s or a Guarantor’s obligations to holders of notes and Subsidiary Guarantees in the case of a merger or consolidation or sale of all or substantially all of Itron’s or such Guarantor’s assets;</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right="80" w:firstLine="443"/>
        <w:spacing w:after="0" w:line="325"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conform the text of the indenture or the notes to any provision of this Description of Notes to the extent that such provision in this Description of Notes was intended to be a verbatim recitation of a provision of the indenture, the Subsidiary Guarantees or the notes;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77"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180" w:firstLine="421"/>
        <w:spacing w:after="0" w:line="325" w:lineRule="auto"/>
        <w:tabs>
          <w:tab w:leader="none" w:pos="1579"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Itron, have been delivered to the trustee for cancellation; or</w:t>
      </w:r>
    </w:p>
    <w:p>
      <w:pPr>
        <w:spacing w:after="0" w:line="1" w:lineRule="exact"/>
        <w:rPr>
          <w:rFonts w:ascii="Arial" w:cs="Arial" w:eastAsia="Arial" w:hAnsi="Arial"/>
          <w:sz w:val="16"/>
          <w:szCs w:val="16"/>
          <w:color w:val="auto"/>
        </w:rPr>
      </w:pPr>
    </w:p>
    <w:p>
      <w:pPr>
        <w:ind w:left="920" w:right="40" w:firstLine="421"/>
        <w:spacing w:after="0" w:line="291" w:lineRule="auto"/>
        <w:tabs>
          <w:tab w:leader="none" w:pos="1588"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mailing of a notice of redemption or otherwise or will become due and payable within one year and Itron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25"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Itron or any Guarantor is a party or by which Itron or any Guarantor is bound;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Itron or any Guarantor has paid or caused to be paid all sums payable by it under the indenture; and</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Itron has delivered irrevocable instructions to the trustee under the indenture to apply the deposited money toward the payment of the notes at maturity or the redemption date, as the case may be.</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Itron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trustee becomes a creditor of Itron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(if the indenture has been qualified under the Trust Indenture Act) or resign.</w:t>
      </w:r>
    </w:p>
    <w:p>
      <w:pPr>
        <w:spacing w:after="0" w:line="13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Liquidated Damages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Itron, the Guarantors and the initial purchaser entered into a registration rights agreement pursuant to which Itron and the Guarantors agree to file with the Commission the Exchange Offer Registration Statement (as defined in the registration rights agreement) on the appropriate form under the Securities Act with respect to the exchange notes. Upon the effectiveness of the Exchange Offer Registration Statement, Itron and the Guarantors will offer to the holders of Transfer Restricted Securities pursuant to the Exchange Offer (as defined in the registration rights agreement) who are able to make certain representations the opportunity to exchange their Transfer Restricted Securities for exchange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460" w:right="10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Itron and the Guarantors are not permitted to consummate the Exchange Offer because the Exchange Offer is not permitted by applicable law or Commission policy;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holder of Transfer Restricted Securities notifies Itron prior to the 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consummation of the Exchange Offer that:</w:t>
      </w:r>
    </w:p>
    <w:p>
      <w:pPr>
        <w:spacing w:after="0" w:line="56" w:lineRule="exact"/>
        <w:rPr>
          <w:rFonts w:ascii="Arial" w:cs="Arial" w:eastAsia="Arial" w:hAnsi="Arial"/>
          <w:sz w:val="17"/>
          <w:szCs w:val="17"/>
          <w:color w:val="auto"/>
        </w:rPr>
      </w:pPr>
    </w:p>
    <w:p>
      <w:pPr>
        <w:ind w:left="1580" w:hanging="239"/>
        <w:spacing w:after="0"/>
        <w:tabs>
          <w:tab w:leader="none" w:pos="1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is prohibited by law or Commission policy from participating in the Exchange Offer; or</w:t>
      </w:r>
    </w:p>
    <w:p>
      <w:pPr>
        <w:spacing w:after="0" w:line="62"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may not resell the exchange notes acquired by it in the Exchange Offer to the public without delivering a prospectus and the prospectus contained in the Exchange Offer Registration Statement is not appropriate or available for such resales;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is a broker-dealer and owns notes acquired directly from Itron or an affiliate of Itron,</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then Itron and the Guarantors will file with the Commission a Shelf Registration Statement (as defined in the registration rights agreement) to cover resales of the notes by the holders of the notes who satisfy certain conditions relating to the provision of information in connection with the Shelf Registration Statement.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preceding, “</w:t>
      </w:r>
      <w:r>
        <w:rPr>
          <w:rFonts w:ascii="Arial" w:cs="Arial" w:eastAsia="Arial" w:hAnsi="Arial"/>
          <w:sz w:val="18"/>
          <w:szCs w:val="18"/>
          <w:i w:val="1"/>
          <w:iCs w:val="1"/>
          <w:color w:val="auto"/>
        </w:rPr>
        <w:t>Transfer Restricted Securities</w:t>
      </w:r>
      <w:r>
        <w:rPr>
          <w:rFonts w:ascii="Arial" w:cs="Arial" w:eastAsia="Arial" w:hAnsi="Arial"/>
          <w:sz w:val="18"/>
          <w:szCs w:val="18"/>
          <w:color w:val="auto"/>
        </w:rPr>
        <w:t>” means each note until the earliest to occur of:</w:t>
      </w:r>
    </w:p>
    <w:p>
      <w:pPr>
        <w:spacing w:after="0" w:line="77" w:lineRule="exact"/>
        <w:rPr>
          <w:sz w:val="20"/>
          <w:szCs w:val="20"/>
          <w:color w:val="auto"/>
        </w:rPr>
      </w:pPr>
    </w:p>
    <w:p>
      <w:pPr>
        <w:ind w:left="1160" w:hanging="257"/>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date on which such note has been exchanged by a Person other than a broker-dealer for an exchange note in the Exchange Offer;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following the exchange by a broker-dealer in the Exchange Offer of a note for an exchange note, the date on which such exchange note is sold to a purchaser who receives from such broker-dealer on or prior to the date of such sale a copy of the prospectus contained in the Exchange Offer Registration Statement;</w:t>
      </w:r>
    </w:p>
    <w:p>
      <w:pPr>
        <w:spacing w:after="0" w:line="45"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on which such note has been effectively registered under the Securities Act and disposed of in accordance with the Shelf Registration Statement;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on which such note is distributed to the public pursuant to Rule 144 under the Securities Act.</w:t>
      </w:r>
    </w:p>
    <w:p>
      <w:pPr>
        <w:spacing w:after="0" w:line="77"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If obligated to file the Shelf Registration Statement, Itron and the Guarantors will use all commercially reasonable efforts to file the Shelf Registration Statement with the Commission on or prior to 30 days after such filing obligation arises and to cause the Shelf Registration to be declared effective by the Commission on or prior to 90 days after such obligation arises.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460" w:right="6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Itron and the Guarantors fail to file any of the registration statements required by the registration rights agreement on or before the date specified for such filing;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of such registration statements is not declared effective by the Commission on or prior to the date specified for such effectiveness (the “</w:t>
      </w:r>
      <w:r>
        <w:rPr>
          <w:rFonts w:ascii="Arial" w:cs="Arial" w:eastAsia="Arial" w:hAnsi="Arial"/>
          <w:sz w:val="18"/>
          <w:szCs w:val="18"/>
          <w:i w:val="1"/>
          <w:iCs w:val="1"/>
          <w:color w:val="auto"/>
        </w:rPr>
        <w:t>Effectiveness Target Date</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Itron and the Guarantors fail to consummate the Exchange Offer within 30 business days of the Effectiveness Target Date with respect to the Exchange Offer Registration Statement; or</w:t>
      </w:r>
    </w:p>
    <w:p>
      <w:pPr>
        <w:spacing w:after="0" w:line="37" w:lineRule="exact"/>
        <w:rPr>
          <w:rFonts w:ascii="Arial" w:cs="Arial" w:eastAsia="Arial" w:hAnsi="Arial"/>
          <w:sz w:val="18"/>
          <w:szCs w:val="18"/>
          <w:color w:val="auto"/>
        </w:rPr>
      </w:pPr>
    </w:p>
    <w:p>
      <w:pPr>
        <w:jc w:val="both"/>
        <w:ind w:left="460" w:right="80" w:firstLine="443"/>
        <w:spacing w:after="0" w:line="259"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(1) through (4) above, a “</w:t>
      </w:r>
      <w:r>
        <w:rPr>
          <w:rFonts w:ascii="Arial" w:cs="Arial" w:eastAsia="Arial" w:hAnsi="Arial"/>
          <w:sz w:val="18"/>
          <w:szCs w:val="18"/>
          <w:i w:val="1"/>
          <w:iCs w:val="1"/>
          <w:color w:val="auto"/>
        </w:rPr>
        <w:t>Registration Default</w:t>
      </w:r>
      <w:r>
        <w:rPr>
          <w:rFonts w:ascii="Arial" w:cs="Arial" w:eastAsia="Arial" w:hAnsi="Arial"/>
          <w:sz w:val="18"/>
          <w:szCs w:val="18"/>
          <w:color w:val="auto"/>
        </w:rPr>
        <w:t>”),</w:t>
      </w:r>
    </w:p>
    <w:p>
      <w:pPr>
        <w:spacing w:after="0" w:line="12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then Itron and the Guarantors will pay Liquidated Damages to each holder of notes, with respect to the first 90-day period immediately following the occurrence of the first Registration Default in an amount equal to $.05 per week per $1,000 principal amount of notes held by such holder.</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amount of the Liquidated Damages will increase by an additional $.05 per week per $1,000 principal amount of notes with respect to each subsequent 90-day period until all Registration Defaults have been cured, up to a maximum amount of Liquidated Damages for all Registration Defaults of $.20 per week per $1,000 principal amount of notes.</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All accrued Liquidated Damages will be paid by Itron and the Guarantors on the next scheduled interest payment date to DTC or its nominee by wire transfer of immediately available funds or by federal funds check and to holders of Certificated Notes by wire transfer to the accounts specified by them or by mailing checks to their registered addresses if no such accounts have been specified.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cure of all Registration Defaults, the accrual of Liquidated Damages will cease.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notes will be required to make certain representations to Itron (as described in the registration rights agreement)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their notes included in the Shelf Registration Statement and benefit from the provisions regarding Liquidated Damages set forth above. By acquiring Transfer Restricted Securities, a holder will be deemed to have agreed to indemnify Itron and the Guarantors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Itron.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registration rights agreement and escrow and security agreement without charge by writing to Itron, Inc., 2818 North Sullivan Road, Spokane, Washington 99216, Attention: Investor Relations.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jc w:val="both"/>
        <w:ind w:left="460" w:right="140" w:firstLine="443"/>
        <w:spacing w:after="0" w:line="259"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Indebtedness secured by a Lien encumbering any asset acquired by such specified Person.</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“Acquisition” </w:t>
      </w:r>
      <w:r>
        <w:rPr>
          <w:rFonts w:ascii="Arial" w:cs="Arial" w:eastAsia="Arial" w:hAnsi="Arial"/>
          <w:sz w:val="16"/>
          <w:szCs w:val="16"/>
          <w:color w:val="auto"/>
        </w:rPr>
        <w:t>means the acquisition by Itron of Schlumberger Electricity, Inc., which conducts electricity meter manufacturing and sales operations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and the electricity meter operations of certain foreign affiliates of Schlumberger Limited in Canada, Mexico, Taiwan and France.</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sale, lease, conveyance or other disposition of any assets or rights; provided that the sale, conveyance or other disposition of all or</w:t>
      </w:r>
    </w:p>
    <w:p>
      <w:pPr>
        <w:spacing w:after="0" w:line="38" w:lineRule="exact"/>
        <w:rPr>
          <w:rFonts w:ascii="Arial" w:cs="Arial" w:eastAsia="Arial" w:hAnsi="Arial"/>
          <w:sz w:val="16"/>
          <w:szCs w:val="16"/>
          <w:color w:val="auto"/>
        </w:rPr>
      </w:pPr>
    </w:p>
    <w:p>
      <w:pPr>
        <w:ind w:left="460" w:right="80"/>
        <w:spacing w:after="0" w:line="302" w:lineRule="auto"/>
        <w:rPr>
          <w:rFonts w:ascii="Arial" w:cs="Arial" w:eastAsia="Arial" w:hAnsi="Arial"/>
          <w:sz w:val="16"/>
          <w:szCs w:val="16"/>
          <w:color w:val="auto"/>
        </w:rPr>
      </w:pPr>
      <w:r>
        <w:rPr>
          <w:rFonts w:ascii="Arial" w:cs="Arial" w:eastAsia="Arial" w:hAnsi="Arial"/>
          <w:sz w:val="16"/>
          <w:szCs w:val="16"/>
          <w:color w:val="auto"/>
        </w:rPr>
        <w:t>substantially all of the assets of Itron and its Restricted Subsidiaries taken as a whole will be governed by the provisions of the indenture described above under the caption “—Repurchase at the Option of Holders—Change of Control” and/or the provisions described above under the caption “—Certain Covenants—Merger, Consolidation or Sale of Assets” and not by the provisions of the Asset Sale covenant; and</w:t>
      </w:r>
    </w:p>
    <w:p>
      <w:pPr>
        <w:spacing w:after="0" w:line="14" w:lineRule="exact"/>
        <w:rPr>
          <w:rFonts w:ascii="Arial" w:cs="Arial" w:eastAsia="Arial" w:hAnsi="Arial"/>
          <w:sz w:val="16"/>
          <w:szCs w:val="16"/>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issuance of Equity Interests in any of Itron’s Restricted Subsidiaries or the sale of Equity Interests in any of its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 million;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transfer of assets between or among Itron and its 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of Itron to Itron or to a Restricted Subsidiary of Itron;</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sale or lease of products, services or accounts receivable in the ordinary course of business (including, without limitation, sales of products and services through the extension of credit to customers in the ordinary course of business) and any sale or other disposition of damaged, worn-out or obsolete assets in the ordinary course of business;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 and</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 or a Permitted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15 months from the date of acquisition;</w:t>
      </w:r>
    </w:p>
    <w:p>
      <w:pPr>
        <w:spacing w:after="0" w:line="45" w:lineRule="exact"/>
        <w:rPr>
          <w:rFonts w:ascii="Arial" w:cs="Arial" w:eastAsia="Arial" w:hAnsi="Arial"/>
          <w:sz w:val="18"/>
          <w:szCs w:val="18"/>
          <w:color w:val="auto"/>
        </w:rPr>
      </w:pPr>
    </w:p>
    <w:p>
      <w:pPr>
        <w:ind w:left="460" w:right="240" w:firstLine="443"/>
        <w:spacing w:after="0" w:line="306"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15 months or less from the date of acquisition, bankers’ acceptances with maturities not exceeding 15 months and overnight bank deposits, in each case, with any lender party to the Credit Agreement or with any domestic commercial bank having capital and surplus in excess of $500.0 million and a Thomson Bank Watch Rating of “B” or better;</w:t>
      </w:r>
    </w:p>
    <w:p>
      <w:pPr>
        <w:spacing w:after="0" w:line="12"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Investors Service, Inc. or Standard &amp; Poor’s Rating Services and in each case maturing within 15 months after the date of acquisition;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ind w:left="460" w:right="180" w:firstLine="443"/>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Itron and its Subsidiaries taken as a whole to any “person” (as that term is used in Section 13(d) of the Exchange Act);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Itron;</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becomes the Beneficial Owner, directly or indirectly, of more than 50% of the Voting Stock of Itron, measured by voting power rather than number of shares; or</w:t>
      </w:r>
    </w:p>
    <w:p>
      <w:pPr>
        <w:spacing w:after="0" w:line="45"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Itron consolidates with, or merges with or into, any Person, or any Person consolidates with, or merges with or into, Itron, in any such event pursuant to a transaction in which any of the outstanding Voting Stock of Itron or such other Person is converted into or exchanged for cash, securities or other property, other than any such transaction where the Voting Stock of Itron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37" w:lineRule="exact"/>
        <w:rPr>
          <w:sz w:val="20"/>
          <w:szCs w:val="20"/>
          <w:color w:val="auto"/>
        </w:rPr>
      </w:pPr>
    </w:p>
    <w:p>
      <w:pPr>
        <w:ind w:left="460" w:right="22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37" w:lineRule="exact"/>
        <w:rPr>
          <w:rFonts w:ascii="Arial" w:cs="Arial" w:eastAsia="Arial" w:hAnsi="Arial"/>
          <w:sz w:val="18"/>
          <w:szCs w:val="18"/>
          <w:color w:val="auto"/>
        </w:rPr>
      </w:pPr>
    </w:p>
    <w:p>
      <w:pPr>
        <w:ind w:left="460" w:right="64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Fixed Charges of such Person and its Restricted Subsidiaries for such period, to the extent that such Fixed Charges were deducted in computing such Consolidated Net Income; plus</w:t>
      </w:r>
    </w:p>
    <w:p>
      <w:pPr>
        <w:spacing w:after="0" w:line="37"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minus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Itron will be added to Consolidated Net Income to compute Consolidated Cash Flow of Itron only to the extent that a corresponding amount would be permitted at the date of determination to be dividended to Itron by such Restricted Subsidiary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with respect to any specified Person for any period, the aggregate of the Net Income of such Person and its Restricted Subsidiaries for such period, on a consolidated basis, determined in accordance with GAAP; provided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56"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as of any date:</w:t>
      </w:r>
    </w:p>
    <w:p>
      <w:pPr>
        <w:spacing w:after="0" w:line="77" w:lineRule="exact"/>
        <w:rPr>
          <w:sz w:val="20"/>
          <w:szCs w:val="20"/>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of property, plant and equipment of Itron and its Restricted Subsidiaries; 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of current assets of Itron and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as set forth on such date on Itron’s consolidated balance sheet prepared in accordance with GAAP.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Itron who:</w:t>
      </w:r>
    </w:p>
    <w:p>
      <w:pPr>
        <w:spacing w:after="0" w:line="77" w:lineRule="exact"/>
        <w:rPr>
          <w:sz w:val="20"/>
          <w:szCs w:val="20"/>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Credit Agreement, dated as of December 17, 2003, by and among Itron, Bear Stearns Corporate Lending Inc., as syndication agent, Wells Fargo Bank, as administrative agent, Bear, Stearns &amp; Co. Inc., as lead arranger, and the other financial institutions party thereto, providing for revolving credit and term loan borrowings, including any related notes, guarantees, collateral documents, instruments and agreements executed in connection therewith, and in each case as amended, restated, modified, renewed, refunded, replaced (whether upon or after termination or otherwise) or refinanced (including by means of sales of debt securities to institutional investors) in whole or in part from time to time, whether with the original agents and lenders or other agents and lenders or otherwise, whether provided under the original Credit Agreement or otherwise and whether Itron or an Affiliate thereof is the borrower.</w:t>
      </w:r>
    </w:p>
    <w:p>
      <w:pPr>
        <w:spacing w:after="0" w:line="13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case, as amended, restated, modified, renewed, refunded, replaced or refinanced (including by means of sales of debt securities to institutional investors) in whole or in part from time to time, whether with the original agents and lenders or other agents and lenders or otherwise and whether provided under the original debt or commercial paper facility or otherwise.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Senior Debt</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Indebtedness or other amounts outstanding under the Credit Facilities; and</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after payment in full in cash of all Obligations under the Credit Agreement, any other Senior Debt permitted under the indenture the principal amount of which is $25.0 million or more and that has been designated by Itron as “Designated Senior Debt.”</w:t>
      </w:r>
    </w:p>
    <w:p>
      <w:pPr>
        <w:spacing w:after="0" w:line="118"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Disqualified Stock</w:t>
      </w:r>
      <w:r>
        <w:rPr>
          <w:rFonts w:ascii="Arial" w:cs="Arial" w:eastAsia="Arial" w:hAnsi="Arial"/>
          <w:sz w:val="15"/>
          <w:szCs w:val="15"/>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Itron to repurchase such Capital Stock upon the occurrence of a change of control or an asset sale will not constitute Disqualified Stock if the terms of such Capital Stock provide that Itron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Itron and its Restricted Subsidiaries may become obligated to pay upon the maturity of, or pursuant to any mandatory redemption provisions of, such Disqualified Stock, exclusive of accrued dividends.</w:t>
      </w:r>
    </w:p>
    <w:p>
      <w:pPr>
        <w:spacing w:after="0" w:line="9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Restricted Subsidiary (other than an Outsourcing Project Subsidiary) of Itron that was formed under the laws of the United States or any state of the United States or the District of Columbia or that guarantees or otherwise provides direct credit support for any Indebtedness of Itron.</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issuance or sale of Equity Interests (other than Disqualified Stock) of Itron.</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Itron and its Subsidiaries (other than Indebtedness under the Credit Agreement) in existence on the date of the indenture, until such amounts are repaid.</w:t>
      </w:r>
    </w:p>
    <w:p>
      <w:pPr>
        <w:spacing w:after="0" w:line="11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Itron (unless otherwise provided in the indenture).</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“Calculation Date”), then the Fixed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40" w:firstLine="443"/>
        <w:spacing w:after="0" w:line="294"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right="320" w:firstLine="443"/>
        <w:spacing w:after="0" w:line="294"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76"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interest accruing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 w:lineRule="exact"/>
        <w:rPr>
          <w:rFonts w:ascii="Arial" w:cs="Arial" w:eastAsia="Arial" w:hAnsi="Arial"/>
          <w:sz w:val="16"/>
          <w:szCs w:val="16"/>
          <w:color w:val="auto"/>
        </w:rPr>
      </w:pPr>
    </w:p>
    <w:p>
      <w:pPr>
        <w:jc w:val="both"/>
        <w:ind w:left="460" w:right="120" w:firstLine="443"/>
        <w:spacing w:after="0" w:line="298"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Itron (other than Disqualified Stock) or to Itron or a Restricted Subsidiary of Itron,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Borrowing Base</w:t>
      </w:r>
      <w:r>
        <w:rPr>
          <w:rFonts w:ascii="Arial" w:cs="Arial" w:eastAsia="Arial" w:hAnsi="Arial"/>
          <w:sz w:val="18"/>
          <w:szCs w:val="18"/>
          <w:color w:val="auto"/>
        </w:rPr>
        <w:t>” means, as of any date, an amount equal to:</w:t>
      </w:r>
    </w:p>
    <w:p>
      <w:pPr>
        <w:spacing w:after="0" w:line="77" w:lineRule="exact"/>
        <w:rPr>
          <w:sz w:val="20"/>
          <w:szCs w:val="20"/>
          <w:color w:val="auto"/>
        </w:rPr>
      </w:pPr>
    </w:p>
    <w:p>
      <w:pPr>
        <w:ind w:left="46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85% of the face amount of all accounts receivable owned by Foreign Subsidiaries of Itron as of the end of the most recent fiscal quarter preceding such date that were not more than 90 days past due; plus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65% of the book value of all inventory owned by Foreign Subsidiaries of Itron as of the end of the most recent fiscal quarter preceding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Subsidiary</w:t>
      </w:r>
      <w:r>
        <w:rPr>
          <w:rFonts w:ascii="Arial" w:cs="Arial" w:eastAsia="Arial" w:hAnsi="Arial"/>
          <w:sz w:val="16"/>
          <w:szCs w:val="16"/>
          <w:color w:val="auto"/>
        </w:rPr>
        <w:t>” means any Restricted Subsidiary (other than an Outsourcing Project Subsidiary) of Itron that is not a Domestic Subsidiary.</w:t>
      </w:r>
    </w:p>
    <w:p>
      <w:pPr>
        <w:spacing w:after="0" w:line="18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Itron’s option.</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77"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Itron’s direct and indirect Domestic Subsidiaries existing on the date of the indenture;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Subsidiary of Itron that executes a Subsidiary Guarantee in accordance with the provisions of the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their respective successors and assigns.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8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181"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$100,000 and whose total revenues for the most recent 12-month period do not exceed $100,000; provided that a Restricted Subsidiary will not be considered to be an Immaterial Subsidiary if it, directly or indirectly, guarantees or otherwise provides direct credit support for any Indebtedness of Itron.</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evidenced by bonds (other than performance bonds), notes, debentures or similar instruments or letters of credit (or reimbursement agreements in respect thereof) (without duplication of any other obligations that would constitute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Itron or any Subsidiary of Itron sells or otherwise disposes of any Equity Interests of any direct or indirect Subsidiary of Itron such that, after giving effect to any such sale or disposition, such Person is no longer a Subsidiary of Itron, Itron will be deemed to have made an Investment on the date of any such sale or disposition equal to the Fair Market Value of Itron’s Investments in such Subsidiary that were not sold or disposed of in an amount determined as provided in the final paragraph of the covenant described above under the caption “—Certain Covenants—Restricted Payments.” The acquisition by Itron or any Subsidiary of Itron of a Person that holds an Investment in a third Person will be deemed to be an Investment by Itron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 excluding, however:</w:t>
      </w:r>
    </w:p>
    <w:p>
      <w:pPr>
        <w:spacing w:after="0" w:line="37" w:lineRule="exact"/>
        <w:rPr>
          <w:sz w:val="20"/>
          <w:szCs w:val="20"/>
          <w:color w:val="auto"/>
        </w:rPr>
      </w:pPr>
    </w:p>
    <w:p>
      <w:pPr>
        <w:ind w:left="1160" w:hanging="257"/>
        <w:spacing w:after="0"/>
        <w:tabs>
          <w:tab w:leader="none" w:pos="116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any gain (but not loss), together with any related provision for taxes on such gain (but not loss), realized in connection with: (a) any Asset Sale; or</w:t>
      </w:r>
    </w:p>
    <w:p>
      <w:pPr>
        <w:spacing w:after="0" w:line="49" w:lineRule="exact"/>
        <w:rPr>
          <w:rFonts w:ascii="Arial" w:cs="Arial" w:eastAsia="Arial" w:hAnsi="Arial"/>
          <w:sz w:val="15"/>
          <w:szCs w:val="15"/>
          <w:color w:val="auto"/>
        </w:rPr>
      </w:pPr>
    </w:p>
    <w:p>
      <w:pPr>
        <w:ind w:left="460" w:right="60" w:firstLine="4"/>
        <w:spacing w:after="0" w:line="261" w:lineRule="auto"/>
        <w:tabs>
          <w:tab w:leader="none" w:pos="7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disposition of any securities by such Person or any of its Restricted Subsidiaries or the extinguishment of any Indebtedness of such Person or any of its Restricted Subsidiaries; and</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Itron or any of its Restricted Subsidiaries in respect of any Asset Sale (including, without limitation, any cash received upon the sale or other disposition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 and any reserve for adjustment in respect of the sale price of such asset or assets established in accordance with GAAP.</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200" w:firstLine="443"/>
        <w:spacing w:after="0" w:line="325"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to which neither Itron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 w:lineRule="exact"/>
        <w:rPr>
          <w:rFonts w:ascii="Arial" w:cs="Arial" w:eastAsia="Arial" w:hAnsi="Arial"/>
          <w:sz w:val="16"/>
          <w:szCs w:val="16"/>
          <w:color w:val="auto"/>
        </w:rPr>
      </w:pPr>
    </w:p>
    <w:p>
      <w:pPr>
        <w:ind w:left="460" w:right="6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default with respect to which (including any rights that the holders of the Indebtedness may have to take enforcement action against an Unrestricted Subsidiary) would permit upon notice, lapse of time or both any holder of any other Indebtedness of Itron or any of its Restricted Subsidiaries to declare a default on such other Indebtedness or cause the payment of the Indebtedness to be accelerated or payable prior to its Stated Maturity; and</w:t>
      </w:r>
    </w:p>
    <w:p>
      <w:pPr>
        <w:spacing w:after="0" w:line="12"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Itron or any of its Restricted Subsidiaries.</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Outsourcing Project</w:t>
      </w:r>
      <w:r>
        <w:rPr>
          <w:rFonts w:ascii="Arial" w:cs="Arial" w:eastAsia="Arial" w:hAnsi="Arial"/>
          <w:sz w:val="18"/>
          <w:szCs w:val="18"/>
          <w:color w:val="auto"/>
        </w:rPr>
        <w:t>” means a project under which an Outsourcing Project Subsidiary operates a meter reading system constructed by Itron or a Subsidiary of Itron consisting of hardware and software within the service territory of a utility or the equivalent and enters into or succeeds to a contract with such Person for the construction or operation of the meter reading system and long-term operations and maintenance thereof for a price to be paid as output is delivered.</w:t>
      </w:r>
    </w:p>
    <w:p>
      <w:pPr>
        <w:spacing w:after="0" w:line="13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Outsourcing Project Subsidiary</w:t>
      </w:r>
      <w:r>
        <w:rPr>
          <w:rFonts w:ascii="Arial" w:cs="Arial" w:eastAsia="Arial" w:hAnsi="Arial"/>
          <w:sz w:val="16"/>
          <w:szCs w:val="16"/>
          <w:color w:val="auto"/>
        </w:rPr>
        <w:t>” means (1) a wholly-owned special purpose Subsidiary of Itron formed for the purpose of obtaining financing for an Outsourcing Project, and (2) any Subsidiary of Itron whose sole asset is the Capital Stock of any such Subsidiary described in clause (1).</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lines of business conducted by Itron and its Subsidiaries on the date of the indenture and any businesses similar, related, incidental or ancillary thereto or that constitutes a reasonable extension or expansion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in Itron or in a Restricted Subsidiary of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by Itron or any Restricted Subsidiary of Itron in a Person, if as a result of such Investment:</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Person becomes a Restricted Subsidiary of Itron; or</w:t>
      </w:r>
    </w:p>
    <w:p>
      <w:pPr>
        <w:spacing w:after="0" w:line="76"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Itron or a Restricted Subsidiary of Itron;</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acquisition of assets or Capital Stock solely in exchange for the issuance of Equity Interests (other than Disqualified Stock) of Itron;</w:t>
      </w:r>
    </w:p>
    <w:p>
      <w:pPr>
        <w:spacing w:after="0" w:line="99"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of trade creditors or customers that were incurred in the ordinary course of business of Itron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Itron or the Restricted Subsidiary of Itron in an aggregate principal amount not to exceed $2.0 million at any one time outstanding;</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repurchases of the notes; and</w:t>
      </w:r>
    </w:p>
    <w:p>
      <w:pPr>
        <w:spacing w:after="0" w:line="76" w:lineRule="exact"/>
        <w:rPr>
          <w:rFonts w:ascii="Arial" w:cs="Arial" w:eastAsia="Arial" w:hAnsi="Arial"/>
          <w:sz w:val="18"/>
          <w:szCs w:val="18"/>
          <w:color w:val="auto"/>
        </w:rPr>
      </w:pPr>
    </w:p>
    <w:p>
      <w:pPr>
        <w:ind w:left="460" w:right="340" w:firstLine="443"/>
        <w:spacing w:after="0" w:line="259"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$20.0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Securities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Equity Interests in Itron or any Guarantor; or</w:t>
      </w:r>
    </w:p>
    <w:p>
      <w:pPr>
        <w:spacing w:after="0" w:line="76"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debt securities that are subordinated to all Senior Debt and any debt securities issued in exchange for Senior Debt to substantially the same extent as, or to a greater extent than, the notes and the Subsidiary Guarantees are subordinated to Senior Debt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460" w:right="2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securing Obligations in respect of (a) the Credit Agreement or (b) any other Senior Debt that was permitted by the terms of the indenture to be incurred;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in favor of Itron or the Guarantors;</w:t>
      </w:r>
    </w:p>
    <w:p>
      <w:pPr>
        <w:spacing w:after="0" w:line="76"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with or into or consolidated with Itron or any Subsidiary of Itron; provided that such Liens were in existence prior to the contemplation of such merger or consolidation and do not extend to any assets other than those of the Person merged into or consolidated with Itron or the Subsidiary and proceeds thereof;</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on property (including Capital Stock) existing at the time of acquisition of the property by Itron or any Subsidiary of Itron; provided that such Liens were in existence prior to, such acquisition, and not incurred in contemplation of, such acquisition;</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37"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Liens to secure Indebtedness (including Capital Lease Obligations) permitted by clauses (4), (14) and (15) of the second paragraph of the covenant entitled “—Certain Covenants—Incurrence of Indebtedness and Issuance of Preferred Stock” covering only (a) the assets acquired with or financed by such Indebtedness and proceeds thereof and (b) the Capital Stock of any Outsourcing Project Subsidiary to the extent a pledge of such Capital Stock is required to secure the Indebtedness of such Outsourcing Project Subsidiary obtained to finance its Outsourcing Projects;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firstLine="443"/>
        <w:spacing w:after="0" w:line="331" w:lineRule="auto"/>
        <w:tabs>
          <w:tab w:leader="none" w:pos="123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2" w:lineRule="exact"/>
        <w:rPr>
          <w:rFonts w:ascii="Arial" w:cs="Arial" w:eastAsia="Arial" w:hAnsi="Arial"/>
          <w:sz w:val="15"/>
          <w:szCs w:val="15"/>
          <w:color w:val="auto"/>
        </w:rPr>
      </w:pPr>
    </w:p>
    <w:p>
      <w:pPr>
        <w:ind w:left="1240" w:hanging="337"/>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Subsidiary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to secure any Permitted Refinancing Indebtedness permitted to be incurred under the indenture; provided, however, that:</w:t>
      </w:r>
    </w:p>
    <w:p>
      <w:pPr>
        <w:spacing w:after="0" w:line="76" w:lineRule="exact"/>
        <w:rPr>
          <w:rFonts w:ascii="Arial" w:cs="Arial" w:eastAsia="Arial" w:hAnsi="Arial"/>
          <w:sz w:val="18"/>
          <w:szCs w:val="18"/>
          <w:color w:val="auto"/>
        </w:rPr>
      </w:pPr>
    </w:p>
    <w:p>
      <w:pPr>
        <w:ind w:left="920" w:right="60" w:firstLine="421"/>
        <w:spacing w:after="0" w:line="347" w:lineRule="auto"/>
        <w:tabs>
          <w:tab w:leader="none" w:pos="1579" w:val="left"/>
        </w:tabs>
        <w:numPr>
          <w:ilvl w:val="1"/>
          <w:numId w:val="103"/>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ind w:left="920" w:right="60" w:firstLine="421"/>
        <w:spacing w:after="0" w:line="259" w:lineRule="auto"/>
        <w:tabs>
          <w:tab w:leader="none" w:pos="158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Indebtedness secured by the new Lien is not increased to any amount greater than the sum of (x) the outstanding principal amount or, if greater, committed amount, of the Permitted Referencing Indebtedness and (y) an amount necessary to pay any fees and expenses, including premiums, related to such refinancings, refunding, extension, renewal or replacement; and</w:t>
      </w:r>
    </w:p>
    <w:p>
      <w:pPr>
        <w:spacing w:after="0" w:line="45" w:lineRule="exact"/>
        <w:rPr>
          <w:rFonts w:ascii="Arial" w:cs="Arial" w:eastAsia="Arial" w:hAnsi="Arial"/>
          <w:sz w:val="18"/>
          <w:szCs w:val="18"/>
          <w:color w:val="auto"/>
        </w:rPr>
      </w:pPr>
    </w:p>
    <w:p>
      <w:pPr>
        <w:ind w:left="460" w:right="20" w:firstLine="443"/>
        <w:spacing w:after="0" w:line="268" w:lineRule="auto"/>
        <w:tabs>
          <w:tab w:leader="none" w:pos="12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Itron or any Subsidiary of Itron with respect to obligations that do not exceed $5.0 million at any one time outstanding.</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Itron or any of its Restricted Subsidiaries issued in exchange for, or the net proceeds of which are used to refund, refinance, replace, defease or discharge other Indebtedness of Itron or any of its Restricted Subsidiaries (other than intercompany Indebtedness); provided that:</w:t>
      </w:r>
    </w:p>
    <w:p>
      <w:pPr>
        <w:spacing w:after="0" w:line="46" w:lineRule="exact"/>
        <w:rPr>
          <w:sz w:val="20"/>
          <w:szCs w:val="20"/>
          <w:color w:val="auto"/>
        </w:rPr>
      </w:pPr>
    </w:p>
    <w:p>
      <w:pPr>
        <w:ind w:left="460" w:right="440" w:firstLine="443"/>
        <w:spacing w:after="0" w:line="306"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12"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48"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Indebtedness is incurred either by Itron or by the Restricted Subsidiary who is the obligor on the Indebtedness being extended, refinanced, renewed, replaced, defeased or refunded.</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Debt</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Indebtedness of Itron or any Guarantor outstanding under Credit Facilities and all Hedging Obligations with respect thereto;</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Indebtedness of Itron or any of its Restricted Subsidiaries permitted to be incurred under the terms of the indenture, unless the instrument under which such Indebtedness is incurred expressly provides that it is on a parity with or subordinated in right of payment to the notes or any Subsidiary Guarantee;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and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the preceding, Senior Debt will not include:</w:t>
      </w:r>
    </w:p>
    <w:p>
      <w:pPr>
        <w:spacing w:after="0" w:line="77" w:lineRule="exact"/>
        <w:rPr>
          <w:sz w:val="20"/>
          <w:szCs w:val="20"/>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Itron;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intercompany Indebtedness of Itron or any of its Subsidiaries to Itron or any of its Affiliates;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trade payables;</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portion of any Indebtedness that is incurred in violation of the indenture; provided that Indebtedness under a Credit Facility will not cease to be Senior Debt as a result of this clause (4) if the lenders or their representative obtained a certificate from an officer of Itron as of the date of the incurrence of such Indebtedness to the effect that such Indebtedness was permitted to be incurred by the indenture; or</w:t>
      </w:r>
    </w:p>
    <w:p>
      <w:pPr>
        <w:spacing w:after="0" w:line="12"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Indebtedness which is classified as non-recourse in accordance with GAAP or any unsecured claim arising in respect thereof by reason of the application of Section 1111(b)(1) of the Bankruptcy Code.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Guarantor of Itron’s obligations under the indenture and the notes, executed pursuant to the provisions of the indenture.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Itron that is designated by the Board of Directors of Itron as an Unrestricted Subsidiary pursuant to a resolution of the Board of Directors, but only to the extent that such Subsidiary: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has no Indebtedness other than Non-Recourse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56"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permitted by the covenant described above under the caption “—Certain Covenants—Transactions with Affiliates,” is not party to any agreement, contract, arrangement or understanding with Itron or any Restricted Subsidiary of Itron unless the terms of any such agreement, contract, arrangement or understanding are no less favorable to Itron or such Restricted Subsidiary than those that might be obtained at the time from Persons who are not Affiliates of Itron;</w:t>
      </w:r>
    </w:p>
    <w:p>
      <w:pPr>
        <w:spacing w:after="0" w:line="48" w:lineRule="exact"/>
        <w:rPr>
          <w:rFonts w:ascii="Arial" w:cs="Arial" w:eastAsia="Arial" w:hAnsi="Arial"/>
          <w:sz w:val="18"/>
          <w:szCs w:val="18"/>
          <w:color w:val="auto"/>
        </w:rPr>
      </w:pPr>
    </w:p>
    <w:p>
      <w:pPr>
        <w:ind w:left="460" w:right="46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a Person with respect to which neither Itron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has not guaranteed or otherwise directly or indirectly provided credit support for any Indebtedness of Itron or any of its Restricted Subsidiaries.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Itron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Itron as of such date and, if such Indebtedness is not permitted to be incurred as of such date under the covenant described under the caption “—Certain Covenants—Incurrence of Indebtedness and Issuance of Preferred Stock,” Itron will be in default of such covenant. The Board of Directors of Itron may at any time designate any Unrestricted Subsidiary to be a Restricted Subsidiary of Itron; provided that such designation will be deemed to be an incurrence of Indebtedness by a Restricted Subsidiary of Itron of any outstanding Indebtedness of such Unrestricted Subsidiary and such designation will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BOOK-ENTRY; DELIVERY AND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Securities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original notes are, and the exchange notes will be, issued in the form of one or more global certificates, known as “global securities.” The global securities will be deposited on the date of the acceptance for exchange of the original notes and the issuance of the exchange notes with, or on behalf of, DTC and registered in the name of Cede &amp; Co., as DTC’s nominee.</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Exchange notes that are issued as described below under “Issuance of Certificated Securities” will be issued in the form of registered definitive certificates, known as “certificated securities.” Upon the transfer of certificated securities, such certificated securities may, unless the global securities have previously been exchanged for certificated securities, be exchanged for an interest in the global securities representing the principal amount of exchange notes being transferred as described in the indenture.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Persons holding interests in the global securities may hold their interests directly through DTC or indirectly through organizations that are participants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descriptions of the operations and procedures of DTC, Euroclear and Clearstream set forth below are provided solely as a matter of convenience. These operations and procedures are solely within the control of the respective settlement systems and are subject to change by them from time to time. Neither we, the trustee, nor any paying agent or registrar takes any responsibility for these operations or procedures, and holders of securities are urged to contact the relevant system or its participants directly to discuss these matters.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DTC has advised us that it is (1) a limited purpose trust company organized under the laws of the State of New York, (2) a “banking organization” within the meaning of the New York Banking Law, (3) a member of the Federal Reserve System, (4) a “clearing corporation” within the meaning of the Uniform Commercial Code, as amended, and (5) a “clearing agency” registered pursuant to Section 17A of the Exchange Act. DTC was created to hold securities for its participants and facilitates the clearance and settlement of securities transactions between participants through electronic book-entry changes to the accounts of its participants, thereby eliminating the need for physical transfer and delivery of certificates. DTC’s participants include securities brokers and dealers, including the initial purchaser, banks and trust companies, clearing corporations and certain other organizations. Indirect access to DTC’s system is also available to other entities such as banks, brokers, dealers and trust companies, referred to as “indirect participants,” that clear through or maintain a custodial relationship with a participant, either directly or indirectly. Investors who are not participants may beneficially own securities held by or on behalf of DTC only through participants or indirect participants.</w:t>
      </w:r>
    </w:p>
    <w:p>
      <w:pPr>
        <w:spacing w:after="0" w:line="106"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Ownership of the exchange notes will be shown on, and the transfer of ownership thereof will be effected only through, records maintained by DTC, with respect to the interests of participants, and the records of participants and the indirect participants, with respect to the interests of persons other than participants.</w:t>
      </w:r>
    </w:p>
    <w:p>
      <w:pPr>
        <w:spacing w:after="0" w:line="4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laws of some jurisdictions may require that some types of purchasers of exchange notes take physical delivery of the securities in definitive form. Accordingly, the ability to transfer interests in exchange notes represented by a global security to these persons may be limited. In addition, because DTC can act only on behalf of its participants, who in turn act on behalf of persons who hold interests through participants, the ability of a person having an interest in securities represented by a global security to pledge or transfer the interest to persons or entities that do not participate in DTC’s system, or to otherwise take actions in respect of the interest, may be affected by the lack of a physical definitive security in respect of the interest.</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exchange notes represented by the global security for all purposes under the indenture. Except as provided below, owners of beneficial interests in a global security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will not be entitled to have securities represented by the global security registered in their names, will not receive or be entitled to receive physical delivery of certificated securities, and will not be considered the owners or holders thereof under the indenture for any purpose, including with respect to the giving of any direction, instruction or approval to the trustee under the indenture. Accordingly, each holder owning a beneficial interest in a global security must rely on the procedures of DTC and, if the holder is not a participant or an indirect participant, on the procedures of the participant through which the holder owns its interest, to exercise any rights of a holder of exchange notes under the indenture or the global security.</w:t>
      </w:r>
    </w:p>
    <w:p>
      <w:pPr>
        <w:spacing w:after="0" w:line="10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understand that under existing industry practice, in the event that we request any action of holders of exchange notes, or a holder that is an owner of a beneficial interest in a global security desires to take any action that DTC, as the holder of such global security, is entitled to take, DTC would authorize the participants to take the action and the participants would authorize holders owning through the participants to take the action or would otherwise act upon the instruction of the holders. Neither we nor the trustee will have any responsibility or liability for any aspect of the records relating to, or payments made on account of securities by, DTC, or for maintaining, supervising or reviewing any records of DTC relating to the exchange notes.</w:t>
      </w:r>
    </w:p>
    <w:p>
      <w:pPr>
        <w:spacing w:after="0" w:line="10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Payments with respect to the principal of, and premium, if any, and interest on, any exchange notes represented by a global security registered in the name of DTC or its nominee on the applicable record date will be payable by the trustee to or at the direction of DTC or its nominee in its capacity as the registered holder of the global security representing the exchange notes under the indenture. Under the terms of the indenture, we may treat, and the trustee may treat, the persons in whose names the exchange notes, including the global securities, are registered as the owners of the exchange notes for the purpose of receiving payment on the exchange notes and for any and all other purposes whatsoever. Accordingly, neither we nor the trustee has or will have any responsibility or liability for the payment of these amounts to owners of beneficial interests in the global security, including principal, premium, if any, and interest. Payments by the participants and the indirect participants to the owners of beneficial interests in the global securities will be governed by standing instructions and customary industry practice and will be the responsibility of the participants or the indirect participants and DTC.</w:t>
      </w:r>
    </w:p>
    <w:p>
      <w:pPr>
        <w:spacing w:after="0" w:line="10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Transfers between participants in DTC will be effected in accordance with DTC’s procedures, and will be settled in same-day funds. Transfers between participants in Euroclear or Clearstream will be effected in the ordinary way in accordance with their respective rules and operating procedures.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securities, 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the system in accordance with the rules and procedures and within the established deadlines (Brussels time) of the system. Euroclear or Clearstream, as the case may be, will, if the transaction meets its settlement requirements, deliver instructions to its respective depositary to take action to effect final settlement on its behalf by delivering or receiving interests in the relevant global securities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0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participant purchasing an interest in a global security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Cash received in Euroclear or Clearstream as a result of the sale of an interest in a global security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such procedures may be discontinued at any time. Neither we nor the trustee will have any responsibility for the performance by DTC, Euroclear or Clearstream or their respective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Certificated Securities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(1) we notify the trustee in writing that DTC, Euroclear or Clearstream is no longer willing or able to act as a depositary or clearing system for the exchange notes or DTC ceases to be registered as a clearing agency under the Exchange Act, and a successor depositary or clearing system is not timely appointed, (2) we, at our option, notify the trustee in writing that we elect to cause the issuance of exchange notes in definitive form under the indenture, or (3) upon the occurrence and continuation of an event of default under the indenture with respect to any series of exchange notes, then, upon surrender by DTC of the global securities, certificated securities will be issued to each person that DTC identifies as the beneficial owner of the exchange notes represented by the global securities. Upon any such issuance, the trustee is required to register the certificated securities in the name of the person or persons or the nominee of any of these persons and cause the same to be delivered to these persons.</w:t>
      </w:r>
    </w:p>
    <w:p>
      <w:pPr>
        <w:spacing w:after="0" w:line="10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Neither we nor the trustee shall be liable for any delay by DTC or any participant or indirect participant in identifying the beneficial owners of the related exchange notes and each such person may conclusively rely on, and shall be protected in relying on, instructions from DTC for all purposes, including with respect to the registration and delivery, and the respective principal amounts, of the exchange notes to be issued.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summary describes the material United States federal income tax consequences relevant to the exchange of original notes for exchange notes pursuant to the exchange offer. The following discussion is based on the provisions of the United States Internal Revenue Code of 1986, as amended, or the Code, and related United States Treasury regulations, administrative rulings and judicial decisions now in effect, changes to which subsequent to the date hereof may affect the tax consequences described below.</w:t>
      </w:r>
    </w:p>
    <w:p>
      <w:pPr>
        <w:spacing w:after="0" w:line="13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This discussion does not describe all the tax consequences that may be relevant to holders in light of their particular circumstances or to holders subject to special rules under United States federal income tax law, such as (1) dealers in securities or currencies, (2) financial institutions, (3) investors in partnerships or other pass-through entities, (4) tax-exempt organizations or pension plans, (5) insurance companies, (6) persons holding notes as a hedge or as part of a straddle, constructive sale, conversion transaction or other risk management transaction, (7) United States holders whose “functional currency” is not the U.S. dollar, and</w:t>
      </w:r>
    </w:p>
    <w:p>
      <w:pPr>
        <w:spacing w:after="0" w:line="3" w:lineRule="exact"/>
        <w:rPr>
          <w:sz w:val="20"/>
          <w:szCs w:val="20"/>
          <w:color w:val="auto"/>
        </w:rPr>
      </w:pPr>
    </w:p>
    <w:p>
      <w:pPr>
        <w:ind w:firstLine="8"/>
        <w:spacing w:after="0" w:line="302" w:lineRule="auto"/>
        <w:tabs>
          <w:tab w:leader="none" w:pos="2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certain former citizens or residents of the United States. Furthermore, this discussion does not address alternative minimum taxes or any state, local, foreign or other tax laws. </w:t>
      </w:r>
      <w:r>
        <w:rPr>
          <w:rFonts w:ascii="Arial" w:cs="Arial" w:eastAsia="Arial" w:hAnsi="Arial"/>
          <w:sz w:val="16"/>
          <w:szCs w:val="16"/>
          <w:b w:val="1"/>
          <w:bCs w:val="1"/>
          <w:color w:val="auto"/>
        </w:rPr>
        <w:t>We encourage holders to consult their tax advisors with respect to the United States federal income tax consequences to them of the</w:t>
      </w:r>
      <w:r>
        <w:rPr>
          <w:rFonts w:ascii="Arial" w:cs="Arial" w:eastAsia="Arial" w:hAnsi="Arial"/>
          <w:sz w:val="16"/>
          <w:szCs w:val="16"/>
          <w:color w:val="auto"/>
        </w:rPr>
        <w:t xml:space="preserve"> </w:t>
      </w:r>
      <w:r>
        <w:rPr>
          <w:rFonts w:ascii="Arial" w:cs="Arial" w:eastAsia="Arial" w:hAnsi="Arial"/>
          <w:sz w:val="16"/>
          <w:szCs w:val="16"/>
          <w:b w:val="1"/>
          <w:bCs w:val="1"/>
          <w:color w:val="auto"/>
        </w:rPr>
        <w:t>exchange offer in light of their particular circumstances, as well as the effect of any state, local or foreign tax laws or any applicable tax treaty.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exchange of original notes for exchange notes pursuant to the exchange offer will not be a taxable event for United States federal income tax purposes. Consequently, holders will not recognize any taxable gain or loss as a result of exchanging original notes for exchange notes pursuant to the exchange offer. The holding period of the exchange notes will include the holding period of the original notes, and the tax basis in the exchange notes will be the same as the tax basis in the original notes immediately before the exchange.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ERISA CONSIDERATIONS</w:t>
      </w:r>
    </w:p>
    <w:p>
      <w:pPr>
        <w:spacing w:after="0" w:line="164"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The following is a summary of certain considerations associated with the exchange of original notes for exchange notes pursuant to the exchange offer by</w:t>
      </w:r>
    </w:p>
    <w:p>
      <w:pPr>
        <w:spacing w:after="0" w:line="38" w:lineRule="exact"/>
        <w:rPr>
          <w:sz w:val="20"/>
          <w:szCs w:val="20"/>
          <w:color w:val="auto"/>
        </w:rPr>
      </w:pPr>
    </w:p>
    <w:p>
      <w:pPr>
        <w:ind w:right="20" w:firstLine="8"/>
        <w:spacing w:after="0" w:line="295" w:lineRule="auto"/>
        <w:tabs>
          <w:tab w:leader="none" w:pos="21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 “employee benefit plan” (as defined in Section 3(3) of the Employee Retirement Income Security Act of 1974, as amended (“ERISA”)) that is subject to ERISA, (ii) a “plan” described in Section 4975 of the Code, (iii) any entity deemed to hold “plan assets” of any of the foregoing by reason of an employee benefit plan’s or plan’s investment in such entity, or (iv) a governmental, foreign or church plan subject to applicable law that is substantially similar to the fiduciary responsibility or prohibited transaction provisions of ERISA or Section 4975 of the Code (“Similar Law”). Each of the foregoing is referred to herein as a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ERISA imposes certain duties on persons who are fiduciaries of a Plan subject to ERISA (an “ERISA Plan”), and ERISA and the Code prohibit certain transactions involving the assets of a Plan and certain “parties in interest,” within the meaning of ERISA, or “disqualified persons,” within the meaning of Section 4975 of the Code.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considering whether to invest the assets of any Plan in a note, a fiduciary of a Plan should determine, among other things, whether the investment is in accordance with the documents and instruments governing such Plan and the applicable provisions of ERISA, the Code or any provisions of Similar Law relating to a fiduciary’s duties to such Plan, including, without limitation, the prudence, diversification, delegation of control and prohibited transaction provisions of ERISA, the Code and any Similar Law.</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Any insurance company proposing to invest assets of its general account in the notes should consider the extent that such investment would be subject to the requirements of ERISA in light of the U.S. Supreme Court’s decision in </w:t>
      </w:r>
      <w:r>
        <w:rPr>
          <w:rFonts w:ascii="Arial" w:cs="Arial" w:eastAsia="Arial" w:hAnsi="Arial"/>
          <w:sz w:val="16"/>
          <w:szCs w:val="16"/>
          <w:i w:val="1"/>
          <w:iCs w:val="1"/>
          <w:color w:val="auto"/>
        </w:rPr>
        <w:t>John Hancock Mutual Life Insurance Co. v. Harris Trust and Savings Bank</w:t>
      </w:r>
      <w:r>
        <w:rPr>
          <w:rFonts w:ascii="Arial" w:cs="Arial" w:eastAsia="Arial" w:hAnsi="Arial"/>
          <w:sz w:val="16"/>
          <w:szCs w:val="16"/>
          <w:color w:val="auto"/>
        </w:rPr>
        <w:t>, 510 U.S. 86 (1993), and under any subsequent legislation or other guidance that has or may become available relating to that decision, including the enactment of Section 401(c) of ERISA by the Small Business Job Protection Act of 1996 and the regulations promulgated thereunder.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406 of ERISA and Section 4975 of the Code prohibit Plans subject to ERISA or the Code from engaging in specified transactions involving plan assets with persons or entities who are parties in interest or disqualified persons, unless an exemption is available. A party in interest or disqualified person who engages in a nonexempt prohibited transaction may be subject to excise taxes and other penalties and liabilities under ERISA and the Code, and any fiduciary who authorizes such a transaction may be subject to personal liability. In addition, if the Plan involved in a nonexempt prohibited transaction is an individual retirement account or individual retirement annuity (“IRA”), the IRA will lose its tax-exempt status. The acquisition and/or holding of a note by an ERISA Plan with respect to which we are considered a party in interest or a disqualified person may constitute or result in a direct or indirect prohibited transaction under Section 406 of ERISA and/or Section 4975 of the Code, unless the note is acquired and held in accordance with an applicable statutory or administrative prohibited transaction exemption. In this regard, the U.S. Department of Labor has issued prohibited transaction class exemptions, or “PTCEs,” that may apply to the acquisition and holding of a note. These class exemptions include, without limitation, PTCE 84–14, relating to transactions effected by independent qualified professional asset managers; PTCE 90–1, relating to investments by insurance company pooled separate accounts; PTCE 91–38, relating to investments by bank collective investment funds; PTCE 95–60, relating to investments by life insurance company general accounts; and PTCE 96–23, relating to transactions directed by in-house asset managers, although there can be no assurance that the conditions of any such class exemptions (or any other exemption) will be satisfied with respect to any particular transaction involving the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Governmental, foreign and church plans that are subject to Similar Law may purchase or hold a note only in compliance with such Similar Law, including any applicable statutory or administrative prohibited transaction exemption available under such Similar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Representation</w:t>
      </w:r>
    </w:p>
    <w:p>
      <w:pPr>
        <w:spacing w:after="0" w:line="83"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Because of the foregoing, the notes should not be purchased or held by any person investing assets of any Plan, unless such purchase and holding will not constitute a nonexempt prohibited transaction under ERISA and the Code or a violation of any Similar Law. Accordingly, by its acceptance of a note, each purchaser and subsequent transferee of a note will be deemed to represent and warrant that either (i) it is not using assets of a Plan to purchase or hold a note or</w:t>
      </w:r>
    </w:p>
    <w:p>
      <w:pPr>
        <w:spacing w:after="0" w:line="1" w:lineRule="exact"/>
        <w:rPr>
          <w:sz w:val="20"/>
          <w:szCs w:val="20"/>
          <w:color w:val="auto"/>
        </w:rPr>
      </w:pPr>
    </w:p>
    <w:p>
      <w:pPr>
        <w:ind w:right="380" w:firstLine="8"/>
        <w:spacing w:after="0" w:line="261" w:lineRule="auto"/>
        <w:tabs>
          <w:tab w:leader="none" w:pos="2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its purchase and holding of a note, throughout the period that it holds such note, will not constitute or result in a non-exempt prohibited transaction under ERISA and Section 4975 of the Code or any provisions of Similar Law.</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foregoing discussion is general in nature and is not intended to be all-inclusive. Due to the complexity of these rules and the penalties that may be imposed on persons involved in nonexempt prohibited transactions, it is particularly important that fiduciaries, or other persons considering purchasing or holding a note on behalf of, or with the assets of, any Plan, consult with their counsel regarding the potential applicability of ERISA, Section 4975 of the Code or any Similar Law to such investment and whether an exemption would be applicable to the purchase or holding of a note.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Based on interpretations of the SEC staff in no-action letters issued to third parties, we believe that you may resell or otherwise transfer exchange notes issued in the exchange offer without further compliance with the registration and prospectus delivery requirements of the Securities Act if:</w:t>
      </w:r>
    </w:p>
    <w:p>
      <w:pPr>
        <w:spacing w:after="0" w:line="1"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you acquire exchange notes in the ordinary course of your business, and</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and have no arrangement or understanding with any person to participate in, a distribution of exchange notes.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you may not transfer exchange notes issued in the exchange offer without further compliance with such requirements or an exemption from such requirements if you are:</w:t>
      </w:r>
    </w:p>
    <w:p>
      <w:pPr>
        <w:spacing w:after="0" w:line="37"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affiliate within the meaning of Rule 405 under the Securities Act,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broker-dealer that acquired original notes as a result of market-making or other trading activities.</w:t>
      </w:r>
    </w:p>
    <w:p>
      <w:pPr>
        <w:spacing w:after="0" w:line="1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described above concerning interpretations of and positions taken by the SEC staff is not intended to constitute legal advice. Broker-dealers should consult their own legal advisors with respect to these matters.</w:t>
      </w:r>
    </w:p>
    <w:p>
      <w:pPr>
        <w:spacing w:after="0" w:line="118"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If you wish to exchange your original notes for exchange notes in the exchange offer, you will be required to make representations to us as described in “The Exchange Offer—Procedures for Tendering” and “—Your Representations to Us” of this prospectus and in the letter of transmittal. In addition, if a broker-dealer receives exchange notes for its own account in exchange for original notes that were acquired by it as a result of market-making activities or other trading activities, it will be required to acknowledge that it will deliver a prospectus in connection with any resale by it of such exchange notes. A broker-dealer may use this prospectus, as amended or supplemented, in connection with these resales, and all dealers effecting transactions in the exchange notes may be required to deliver a prospectus, as amended or supplemented for 180 days following consummation of the exchange offer. For the 180 days following the consummation of the exchange offer, Itron and the subsidiary guarantors will promptly send additional copies of this prospectus and any amendment or supplement to this prospectus to any broker-dealer that requests such documents in the letter of transmittal. Itron and the subsidiary guarantors have agreed to pay all expenses incident to the exchange offer (including certain expenses of counsel for the initial purchaser) other than dealers’ and brokers’ discounts, commissions and counsel fees and will indemnify the holders of the exchange notes (including any broker-dealer) against certain liabilities, including liabilities under the Act.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not receive any proceeds from any sale of exchange notes by broker-dealers. Exchange notes received by broker-dealers for their own account in the exchange offer may be sold from time to time in one or more transactions:</w:t>
      </w:r>
    </w:p>
    <w:p>
      <w:pPr>
        <w:spacing w:after="0" w:line="37"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through the writing of options on the exchange notes,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combination of such methods of resale.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prices at which these sales occur may be:</w:t>
      </w:r>
    </w:p>
    <w:p>
      <w:pPr>
        <w:spacing w:after="0" w:line="77"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market prices prevailing at the time of resale,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such resale may be made directly to purchasers or to or through brokers or dealers who may receive compensation in the form of commissions or concessions from any such broker-dealer or the purchasers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exchange notes. Any broker-dealer that resells exchange notes that it received for its own account in the exchange offer and any broker or dealer that participates in a distribution of exchange notes may be deemed to be an “underwriter” within the meaning of the Securities Act. Any profit on any resale of exchange notes and any commission or concessions received by any such persons may be deemed to be underwriting compensation. The letter of transmittal states that, by acknowledging that it will deliver and by delivering a prospectus, a broker-dealer will not be deemed to admit that it is an underwriter within the meaning of the Securities Act.</w:t>
      </w:r>
    </w:p>
    <w:p>
      <w:pPr>
        <w:spacing w:after="0" w:line="1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exchange notes being offered hereby will be passed upon for Itron, Inc.</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financial statements and the related financial statement schedule incorporated in this prospectus by reference from the Company’s amended Annual Report on Form 10-K/A for the year ended December 31, 2003 have been audited by Deloitte &amp; Touche LLP, an independent registered public accounting firm, as stated in their report, which is incorporated herein by reference, (which report expresses an unqualified opinion and includes explanatory paragraphs relating to the change in the method of accounting for goodwill and other intangible assets in 2002 and restatement of the statements of operations for each of the three years in the period ended December 31, 2003 as described in Note 23) and have been so incorporated in reliance upon the report of such firm given upon their authority as experts in accounting and auditing.</w:t>
      </w:r>
    </w:p>
    <w:p>
      <w:pPr>
        <w:spacing w:after="0" w:line="13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combined financial statements of the Electricity Products Business of Schlumberger Limited as of December 31, 2003, and 2002, and for each of the three years in the period ended December 31, 2003, included in our Form 8-K/A filed on September 2, 2004, have been audited by PricewaterhouseCoopers LLP, an independent registered public accounting firm, as set forth in their report (which report expresses an unqualified opinion and includes an explanatory paragraph relating to certain assumptions and allocations to form the basis of presentation of the combined financial statements.) thereon included therein and incorporated herein by reference. These combined financial statements are incorporated by reference in reliance upon such report given on authority of such firm as experts in accounting and auditing.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 xml:space="preserve">We file our annual, quarterly and current reports, proxy statements and other information with the SEC. You can inspect and copy the materials we have filed with the SEC at the public reference room maintained by the SEC at 450 Fifth Street, NW, Washington, D.C. 20549. You can call the SEC at 1-800-732-0330 for further information about the public reference room. We are also required to file electronic versions of these documents with the SEC, which may be accessed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www.itron.com</w:t>
      </w:r>
      <w:r>
        <w:rPr>
          <w:rFonts w:ascii="Arial" w:cs="Arial" w:eastAsia="Arial" w:hAnsi="Arial"/>
          <w:sz w:val="18"/>
          <w:szCs w:val="18"/>
          <w:color w:val="auto"/>
        </w:rPr>
        <w:t>. We make our annual reports, quarterly reports, current reports ad proxy statements available free of charge on our website as soon as reasonably practicable as we file these reports with the SEC. Information contained on the website is not a part of this prospectus, except as explicitly incorporated by reference.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SEC allows us to “incorporate by reference” certain of our publicly-filed documents into this prospectus, which means that information in these documents is considered part of this prospectus.</w:t>
      </w:r>
    </w:p>
    <w:p>
      <w:pPr>
        <w:spacing w:after="0" w:line="37" w:lineRule="exact"/>
        <w:rPr>
          <w:sz w:val="20"/>
          <w:szCs w:val="20"/>
          <w:color w:val="auto"/>
        </w:rPr>
      </w:pPr>
    </w:p>
    <w:p>
      <w:pPr>
        <w:ind w:left="5620" w:right="3540" w:hanging="5166"/>
        <w:spacing w:after="0" w:line="472" w:lineRule="auto"/>
        <w:tabs>
          <w:tab w:leader="none" w:pos="8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Annual Report on Form 10-K/A for the year ended December 31, 2003 filed February 7, 2005; 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Our Quarterly Reports on Form 10-Q/A for the quarters ended March 31, 2004, June 30, 2004 and September 30, 2004, filed February 7, 2005;</w:t>
      </w:r>
    </w:p>
    <w:p>
      <w:pPr>
        <w:spacing w:after="0" w:line="126"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Current Reports on Form 8-K filed on April 7, 2004, April 15, 2004, April 27, 2004, June 4, 2004, July 15, 2004, July 19, 2004, September 2, 2004, October 1, 2004, October 14, 2004, November 19, 2004 and December 30, 2004.</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Our Current Reports on Form 8-K/A filed on September 2, 2004 and February 7, 2005 amending our Form 8-K for the purchase of IEM.</w:t>
      </w:r>
    </w:p>
    <w:p>
      <w:pPr>
        <w:spacing w:after="0" w:line="20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all documents filed with the SEC pursuant to Sections 13(a), 13(c), 14 and 15(d) of the Exchange Act by us subsequent to the date of this prospectus and prior to the termination of this offering shall be deemed to be incorporated by reference into this prospectus and to be a part hereof from the date of filing of such documents with the SEC. Any statement contained in this prospectus or in a document incorporated or deemed to be incorporated by reference into this prospectus shall be deemed to be modified or superseded for purposes of this prospectus to the extent that a statement contained in this prospectus or in any other subsequent filed document which also is or is deemed to be incorporated by reference into this prospectus modifies or supersedes the statement. Any statement so modified or superseded shall not be deemed, except as so modified or superseded, to constitute a part of this prospectus.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Statements contained in this prospectus or in any document incorporated by reference into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respects by such reference.</w:t>
      </w:r>
    </w:p>
    <w:p>
      <w:pPr>
        <w:spacing w:after="0" w:line="93"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Copies of the documents listed above are also available free of charge through our website (www.itron.com) as soon as reasonably practicable after we electronically file the material with, or furnish it to, the SEC. In addition, you can obtain the documents referenced above by contacting us at: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Spokane, Washington 99216-1897</w:t>
      </w:r>
    </w:p>
    <w:p>
      <w:pPr>
        <w:spacing w:after="0" w:line="9" w:lineRule="exact"/>
        <w:rPr>
          <w:sz w:val="20"/>
          <w:szCs w:val="20"/>
          <w:color w:val="auto"/>
        </w:rPr>
      </w:pPr>
    </w:p>
    <w:p>
      <w:pPr>
        <w:ind w:left="5580" w:hanging="415"/>
        <w:spacing w:after="0"/>
        <w:tabs>
          <w:tab w:leader="none" w:pos="55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924-9900</w:t>
      </w:r>
    </w:p>
    <w:p>
      <w:pPr>
        <w:spacing w:after="0" w:line="32"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Attn: Investor Relations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No dealer, salesperson or other person has been authorized to give any information or to make any representations other than those contained or incorporated by reference in this prospectus in connection with the exchange offer, and, if given or made, such information or representations must not be relied upon as having been authorized by Itron, Inc.. This prospectus does not constitute an offer of any securities other than those to which it relates or an offer or a solicitation by anyone in any jurisdiction in which such offer or solicitation is not authorized or in which the person making such offer or solicitation is not qualified to do so or to anyone to whom it is unlawful to make such offer or solicitation in such jurisdiction. Neither the delivery of this prospectus nor any sale made hereunder shall under any circumstance create an implication that there has been no change in the affairs of Itron, Inc. since the date hereof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140970</wp:posOffset>
            </wp:positionV>
            <wp:extent cx="31984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77"/>
        </w:trPr>
        <w:tc>
          <w:tcPr>
            <w:tcW w:w="15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2900" w:type="dxa"/>
            <w:vAlign w:val="bottom"/>
            <w:gridSpan w:val="9"/>
          </w:tcPr>
          <w:p>
            <w:pPr>
              <w:spacing w:after="0"/>
              <w:rPr>
                <w:sz w:val="24"/>
                <w:szCs w:val="24"/>
                <w:color w:val="auto"/>
              </w:rPr>
            </w:pP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2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Itron, Inc.</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r>
      <w:tr>
        <w:trPr>
          <w:trHeight w:val="196"/>
        </w:trPr>
        <w:tc>
          <w:tcPr>
            <w:tcW w:w="2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 of the Exchange Offer</w:t>
              </w:r>
            </w:hyperlink>
          </w:p>
        </w:tc>
        <w:tc>
          <w:tcPr>
            <w:tcW w:w="2120" w:type="dxa"/>
            <w:vAlign w:val="bottom"/>
            <w:gridSpan w:val="5"/>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The Exchange Agent</w:t>
              </w:r>
            </w:hyperlink>
          </w:p>
        </w:tc>
        <w:tc>
          <w:tcPr>
            <w:tcW w:w="2920" w:type="dxa"/>
            <w:vAlign w:val="bottom"/>
            <w:gridSpan w:val="10"/>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The Exchange Notes</w:t>
              </w:r>
            </w:hyperlink>
          </w:p>
        </w:tc>
        <w:tc>
          <w:tcPr>
            <w:tcW w:w="2940" w:type="dxa"/>
            <w:vAlign w:val="bottom"/>
            <w:gridSpan w:val="11"/>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3520" w:type="dxa"/>
            <w:vAlign w:val="bottom"/>
            <w:gridSpan w:val="18"/>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Forward-Looking Information</w:t>
              </w:r>
            </w:hyperlink>
          </w:p>
        </w:tc>
        <w:tc>
          <w:tcPr>
            <w:tcW w:w="2280" w:type="dxa"/>
            <w:vAlign w:val="bottom"/>
            <w:gridSpan w:val="7"/>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42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Private Placement</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8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Use of Proceeds</w:t>
              </w:r>
            </w:hyperlink>
          </w:p>
        </w:tc>
        <w:tc>
          <w:tcPr>
            <w:tcW w:w="3140" w:type="dxa"/>
            <w:vAlign w:val="bottom"/>
            <w:gridSpan w:val="14"/>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r>
      <w:tr>
        <w:trPr>
          <w:trHeight w:val="196"/>
        </w:trPr>
        <w:tc>
          <w:tcPr>
            <w:tcW w:w="442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Ratio of Earnings to Fixed Charges</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2"/>
          </w:tcPr>
          <w:p>
            <w:pPr>
              <w:spacing w:after="0"/>
              <w:rPr>
                <w:sz w:val="17"/>
                <w:szCs w:val="17"/>
                <w:color w:val="auto"/>
              </w:rPr>
            </w:pPr>
          </w:p>
        </w:tc>
        <w:tc>
          <w:tcPr>
            <w:tcW w:w="1940" w:type="dxa"/>
            <w:vAlign w:val="bottom"/>
            <w:gridSpan w:val="4"/>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2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Selected Historical Consolidated Financial Information</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The Exchange Offer</w:t>
              </w:r>
            </w:hyperlink>
          </w:p>
        </w:tc>
        <w:tc>
          <w:tcPr>
            <w:tcW w:w="2440" w:type="dxa"/>
            <w:vAlign w:val="bottom"/>
            <w:tcBorders>
              <w:top w:val="single" w:sz="8" w:color="0000EE"/>
            </w:tcBorders>
            <w:gridSpan w:val="10"/>
          </w:tcPr>
          <w:p>
            <w:pPr>
              <w:spacing w:after="0"/>
              <w:rPr>
                <w:sz w:val="17"/>
                <w:szCs w:val="17"/>
                <w:color w:val="auto"/>
              </w:rPr>
            </w:pPr>
          </w:p>
        </w:tc>
        <w:tc>
          <w:tcPr>
            <w:tcW w:w="540" w:type="dxa"/>
            <w:vAlign w:val="bottom"/>
            <w:gridSpan w:val="2"/>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Notes</w:t>
              </w:r>
            </w:hyperlink>
          </w:p>
        </w:tc>
        <w:tc>
          <w:tcPr>
            <w:tcW w:w="2940" w:type="dxa"/>
            <w:vAlign w:val="bottom"/>
            <w:gridSpan w:val="11"/>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Book Entry; Delivery and Form</w:t>
              </w:r>
            </w:hyperlink>
          </w:p>
        </w:tc>
        <w:tc>
          <w:tcPr>
            <w:tcW w:w="2160" w:type="dxa"/>
            <w:vAlign w:val="bottom"/>
            <w:gridSpan w:val="6"/>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06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Certain United States Federal Income Tax Considerations</w:t>
              </w:r>
            </w:hyperlink>
          </w:p>
        </w:tc>
        <w:tc>
          <w:tcPr>
            <w:tcW w:w="360" w:type="dxa"/>
            <w:vAlign w:val="bottom"/>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420" w:type="dxa"/>
            <w:vAlign w:val="bottom"/>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Plan of Distribution</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3020" w:type="dxa"/>
            <w:vAlign w:val="bottom"/>
            <w:gridSpan w:val="13"/>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3440" w:type="dxa"/>
            <w:vAlign w:val="bottom"/>
            <w:gridSpan w:val="17"/>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r>
      <w:tr>
        <w:trPr>
          <w:trHeight w:val="196"/>
        </w:trPr>
        <w:tc>
          <w:tcPr>
            <w:tcW w:w="442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Incorporation by Reference</w:t>
              </w:r>
            </w:hyperlink>
          </w:p>
        </w:tc>
        <w:tc>
          <w:tcPr>
            <w:tcW w:w="1620" w:type="dxa"/>
            <w:vAlign w:val="bottom"/>
            <w:gridSpan w:val="3"/>
          </w:tcPr>
          <w:p>
            <w:pPr>
              <w:spacing w:after="0"/>
              <w:rPr>
                <w:sz w:val="17"/>
                <w:szCs w:val="17"/>
                <w:color w:val="auto"/>
              </w:rPr>
            </w:pPr>
          </w:p>
        </w:tc>
        <w:tc>
          <w:tcPr>
            <w:tcW w:w="7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301"/>
        </w:trPr>
        <w:tc>
          <w:tcPr>
            <w:tcW w:w="5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129"/>
        </w:trPr>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-123825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735330</wp:posOffset>
            </wp:positionV>
            <wp:extent cx="31984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160655</wp:posOffset>
            </wp:positionV>
            <wp:extent cx="1012190" cy="411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121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 ITS</w:t>
      </w:r>
    </w:p>
    <w:p>
      <w:pPr>
        <w:jc w:val="center"/>
        <w:spacing w:after="0" w:line="232"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that have been registered under the</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Securities Act of 1933, as amended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 any and all of its outstanding</w:t>
      </w:r>
    </w:p>
    <w:p>
      <w:pPr>
        <w:jc w:val="center"/>
        <w:spacing w:after="0" w:line="220"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 due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were issued and sold in a transaction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 from registration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170180</wp:posOffset>
            </wp:positionV>
            <wp:extent cx="31984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177800</wp:posOffset>
            </wp:positionV>
            <wp:extent cx="31984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4"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Itron’s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restated bylaws, this right to indemnification is a contract right. Itron’s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29"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Itron’s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2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Itron’s restated articles of incorporation do not limit indemnification if the director or officer is wholly successful on the merits of the 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494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0"/>
              </w:rPr>
              <w:t>Agreement and Plan of Reorganization between Itron, Inc. and LineSoft Corporation dated February 14, 2002. (filed as Exhibit 2.1 to Itron,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Inc.’s Report on Form 8-K dated March 1, 2002—File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8"/>
              </w:rPr>
              <w:t>Agreement and Plan of Merger By and Among Regional Economic Research, Inc., RER Combination, Inc. and Itron, Inc. dated September 9,</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2002. (filed as Exhibit 2.2 to Itron, Inc.’s Report on Form 10-K dated March 27, 2003—File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2"/>
              </w:rPr>
              <w:t>Combination Agreement By and Among eMobile Data Corporation, Marc Jones, eMD Combination, Inc. and Itron, Inc. dated August 30,</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2002. (filed as Exhibit 2.3 to Itron, Inc.’s Report on Form 10-K dated March 27, 2003—File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Agreement and Plan of Merger By and Among Silicon Energy Corp., Shadow Combination, Inc. and Itron, Inc. dated January 18, 2003 as</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0"/>
              </w:rPr>
              <w:t>amended on February 27, 2003 and February 28, 2003. (filed as Exhibit 2.1 to Itron, Inc.’s Report on Form 8-K dated March 19, 2003—File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8"/>
              </w:rPr>
              <w:t>Corrected Schedule 1.1 of First Amendment dated February 27, 2003 of the Agreement and Plan of Merger, by and among Itron, Inc., Shadow</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Combination, Inc. and Silicon Energy Corp. (filed as Exhibit 2.1.1 to Itron, Inc.’s Report on Form 8-K/A dated March 26, 2003—File No. 0-</w:t>
            </w:r>
          </w:p>
        </w:tc>
      </w:tr>
      <w:tr>
        <w:trPr>
          <w:trHeight w:val="222"/>
        </w:trPr>
        <w:tc>
          <w:tcPr>
            <w:tcW w:w="600" w:type="dxa"/>
            <w:vAlign w:val="bottom"/>
          </w:tcPr>
          <w:p>
            <w:pPr>
              <w:spacing w:after="0"/>
              <w:rPr>
                <w:sz w:val="19"/>
                <w:szCs w:val="19"/>
                <w:color w:val="auto"/>
              </w:rPr>
            </w:pPr>
          </w:p>
        </w:tc>
        <w:tc>
          <w:tcPr>
            <w:tcW w:w="4940" w:type="dxa"/>
            <w:vAlign w:val="bottom"/>
          </w:tcPr>
          <w:p>
            <w:pPr>
              <w:ind w:left="780"/>
              <w:spacing w:after="0"/>
              <w:rPr>
                <w:sz w:val="20"/>
                <w:szCs w:val="20"/>
                <w:color w:val="auto"/>
              </w:rPr>
            </w:pPr>
            <w:r>
              <w:rPr>
                <w:rFonts w:ascii="Arial" w:cs="Arial" w:eastAsia="Arial" w:hAnsi="Arial"/>
                <w:sz w:val="18"/>
                <w:szCs w:val="18"/>
                <w:color w:val="auto"/>
              </w:rPr>
              <w:t>22418)</w:t>
            </w:r>
          </w:p>
        </w:tc>
        <w:tc>
          <w:tcPr>
            <w:tcW w:w="17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9"/>
              </w:rPr>
              <w:t>Amended &amp; Restated Purchase Agreement dated July 1, 2004, by and among Itron, Inc., Itron Canada, Inc., Itron France and Schlumberger</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Electricity, Inc., Schlumberger Technology Corporation, Schlumberger Canada Limited, BVI Holdings Limited, Axalto S.A., Schlumberger</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0"/>
              </w:rPr>
              <w:t>Amended and Restated Articles of Incorporation of Itron, Inc. (filed as Exhibit 3.1 to Itron, Inc.’s Report on Form 10-K dated March 27, 2003</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Amended and Restated Bylaws of Itron, Inc. (filed as Exhibit 3.2 to Itron, Inc.’s Quarterly Report on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Form 10-Q dated August 12, 2002—File No. 0-22418)</w:t>
            </w:r>
          </w:p>
        </w:tc>
      </w:tr>
      <w:tr>
        <w:trPr>
          <w:trHeight w:val="338"/>
        </w:trPr>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Bylaws of EMD Holding,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Articles of Incorporation of EMD Holding,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Certificate of Amendment of Schlumberger Electricity, Inc. (now Itron Electricity Metering,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Bylaws of Schlumberger Electricity, Inc. (now Itron Electricity Metering, Inc.)**</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Certificate of Incorporation of Schlumberger Electricity, Inc. (now Itron Electricity Metering, Inc.) (filed as Exhibit 3.7 to Itron, Inc.’s Report</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on Form S-4/A dated September 9, 2004—File 333-118782)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Bylaws of Itron Engineering Services,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Articles of Incorporation of Itron Spectrum Holdings, Inc. (now Itron Engineering Services,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Articles of Amendment of Itron Spectrum Holdings, Inc. changing its name to Itron Engineering Services,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Bylaws of Itron International,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Certificate of Incorporation of Itron International, Inc.**</w:t>
            </w:r>
          </w:p>
        </w:tc>
      </w:tr>
      <w:tr>
        <w:trPr>
          <w:trHeight w:val="365"/>
        </w:trPr>
        <w:tc>
          <w:tcPr>
            <w:tcW w:w="6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840" w:type="dxa"/>
            <w:vAlign w:val="bottom"/>
            <w:gridSpan w:val="2"/>
          </w:tcPr>
          <w:p>
            <w:pPr>
              <w:ind w:left="4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Rights Agreement between Itron, Inc. and Mellon Investor Services LLC, as Rights Agent, dated as of December 11, 2002. (filed as Exhibit 4.1 to</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Itron, Inc.’s Registration of Securities on Form 8-A, filed on December 12, 2002—File No. 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Credit Agreement, dated December 17, 2003, by and among Itron, Inc. and Bear Stearns Corporate Lending Inc. as Syndication Agent and Wells</w:t>
            </w:r>
          </w:p>
        </w:tc>
      </w:tr>
      <w:tr>
        <w:trPr>
          <w:trHeight w:val="216"/>
        </w:trPr>
        <w:tc>
          <w:tcPr>
            <w:tcW w:w="58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Fargo Bank, National Association, as Administrative Agent. (filed as Exhibit 4.1 to Itron, Inc.’s Report on Form 8-K dated July 15, 2004—File No.</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First Amendment to Credit Agreement, dated March 15, 2004, by and among Itron, Inc. and Bear Stearns Corporate Lending Inc. as Syndication</w:t>
            </w:r>
          </w:p>
        </w:tc>
      </w:tr>
      <w:tr>
        <w:trPr>
          <w:trHeight w:val="216"/>
        </w:trPr>
        <w:tc>
          <w:tcPr>
            <w:tcW w:w="58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4.2 to Itron, Inc.’s Report on Form 8-K dated July 15,</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2004—File No. 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Second Amendment to Credit Agreement, dated May 14, 2004, by and among Itron, Inc. and Bear Stearns Corporate Lending Inc. as Syndication</w:t>
            </w:r>
          </w:p>
        </w:tc>
      </w:tr>
      <w:tr>
        <w:trPr>
          <w:trHeight w:val="216"/>
        </w:trPr>
        <w:tc>
          <w:tcPr>
            <w:tcW w:w="58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4.3 to Itron, Inc.’s Report on Form 8-K dated July 15,</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2004—File No. 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Third Amendment to Credit Agreement, dated June 30, 2004, by and among Itron, Inc. and Bear Stearns Corporate Lending Inc. as Syndication</w:t>
            </w:r>
          </w:p>
        </w:tc>
      </w:tr>
      <w:tr>
        <w:trPr>
          <w:trHeight w:val="216"/>
        </w:trPr>
        <w:tc>
          <w:tcPr>
            <w:tcW w:w="58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Agent and Wells Fargo Bank, National Association, as Administrative Agent. (filed as Exhibit 4.4 to Itron, Inc.’s Report on Form 8-K dated July 15,</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2004—File No. 0-22418)</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10780" w:type="dxa"/>
            <w:vAlign w:val="bottom"/>
          </w:tcPr>
          <w:p>
            <w:pPr>
              <w:ind w:left="280"/>
              <w:spacing w:after="0"/>
              <w:rPr>
                <w:sz w:val="20"/>
                <w:szCs w:val="20"/>
                <w:color w:val="auto"/>
              </w:rPr>
            </w:pPr>
            <w:r>
              <w:rPr>
                <w:rFonts w:ascii="Arial" w:cs="Arial" w:eastAsia="Arial" w:hAnsi="Arial"/>
                <w:sz w:val="18"/>
                <w:szCs w:val="18"/>
                <w:color w:val="auto"/>
              </w:rPr>
              <w:t>Form of Itron, Inc.’s 7.75% Exchange Note due 2012.**</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4.7</w:t>
            </w:r>
          </w:p>
        </w:tc>
        <w:tc>
          <w:tcPr>
            <w:tcW w:w="10780" w:type="dxa"/>
            <w:vAlign w:val="bottom"/>
          </w:tcPr>
          <w:p>
            <w:pPr>
              <w:ind w:left="280"/>
              <w:spacing w:after="0"/>
              <w:rPr>
                <w:sz w:val="20"/>
                <w:szCs w:val="20"/>
                <w:color w:val="auto"/>
              </w:rPr>
            </w:pPr>
            <w:r>
              <w:rPr>
                <w:rFonts w:ascii="Arial" w:cs="Arial" w:eastAsia="Arial" w:hAnsi="Arial"/>
                <w:sz w:val="18"/>
                <w:szCs w:val="18"/>
                <w:color w:val="auto"/>
              </w:rPr>
              <w:t>Indenture relating to Itron, Inc.’s 7.75% Senior Subordinated Notes due 2012, dated as of May 10, 2004.**</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Registration Rights Agreement among Itron, Inc. domestic subsidiaries listed on Schedule I thereto and Bear, Stearns &amp; Co. Inc., dated May 10,</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2004. (filed as Exhibit 4.8 to Itron, Inc.’s Report on Form S-4/A dated September 9, 2004—File No. 333-118782)</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10780" w:type="dxa"/>
            <w:vAlign w:val="bottom"/>
          </w:tcPr>
          <w:p>
            <w:pPr>
              <w:ind w:left="280"/>
              <w:spacing w:after="0"/>
              <w:rPr>
                <w:sz w:val="20"/>
                <w:szCs w:val="20"/>
                <w:color w:val="auto"/>
              </w:rPr>
            </w:pPr>
            <w:r>
              <w:rPr>
                <w:rFonts w:ascii="Arial" w:cs="Arial" w:eastAsia="Arial" w:hAnsi="Arial"/>
                <w:sz w:val="18"/>
                <w:szCs w:val="18"/>
                <w:color w:val="auto"/>
              </w:rPr>
              <w:t>Opinion of Perkins Coie LLP as to the legality of the Exchange Notes issued by Itron, Inc.**</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8.1</w:t>
            </w:r>
          </w:p>
        </w:tc>
        <w:tc>
          <w:tcPr>
            <w:tcW w:w="10780" w:type="dxa"/>
            <w:vAlign w:val="bottom"/>
          </w:tcPr>
          <w:p>
            <w:pPr>
              <w:ind w:left="280"/>
              <w:spacing w:after="0"/>
              <w:rPr>
                <w:sz w:val="20"/>
                <w:szCs w:val="20"/>
                <w:color w:val="auto"/>
              </w:rPr>
            </w:pPr>
            <w:r>
              <w:rPr>
                <w:rFonts w:ascii="Arial" w:cs="Arial" w:eastAsia="Arial" w:hAnsi="Arial"/>
                <w:sz w:val="18"/>
                <w:szCs w:val="18"/>
                <w:color w:val="auto"/>
              </w:rPr>
              <w:t>Opinion of Perkins Coie LLP, special tax counsel, as to certain U.S. federal income tax matters.**</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10.1</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Form of Change of Control Agreement between Itron, Inc. and certain of its executive officers. (filed as Exhibit 10.1 to Itron, Inc.’s Report on Form</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10-K dated March 26, 2000—File No. 0-22418)</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10.2</w:t>
            </w:r>
          </w:p>
        </w:tc>
        <w:tc>
          <w:tcPr>
            <w:tcW w:w="10780" w:type="dxa"/>
            <w:vAlign w:val="bottom"/>
          </w:tcPr>
          <w:p>
            <w:pPr>
              <w:ind w:left="280"/>
              <w:spacing w:after="0"/>
              <w:rPr>
                <w:sz w:val="20"/>
                <w:szCs w:val="20"/>
                <w:color w:val="auto"/>
              </w:rPr>
            </w:pPr>
            <w:r>
              <w:rPr>
                <w:rFonts w:ascii="Arial" w:cs="Arial" w:eastAsia="Arial" w:hAnsi="Arial"/>
                <w:sz w:val="18"/>
                <w:szCs w:val="18"/>
                <w:color w:val="auto"/>
              </w:rPr>
              <w:t>Schedule of certain executive officers who are parties to Change of Control Agreements (see Exhibit 10.1 hereto) with Itron, Inc.**</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10.3</w:t>
            </w:r>
          </w:p>
        </w:tc>
        <w:tc>
          <w:tcPr>
            <w:tcW w:w="10780" w:type="dxa"/>
            <w:vAlign w:val="bottom"/>
          </w:tcPr>
          <w:p>
            <w:pPr>
              <w:ind w:left="280"/>
              <w:spacing w:after="0"/>
              <w:rPr>
                <w:sz w:val="20"/>
                <w:szCs w:val="20"/>
                <w:color w:val="auto"/>
              </w:rPr>
            </w:pPr>
            <w:r>
              <w:rPr>
                <w:rFonts w:ascii="Arial" w:cs="Arial" w:eastAsia="Arial" w:hAnsi="Arial"/>
                <w:sz w:val="18"/>
                <w:szCs w:val="18"/>
                <w:color w:val="auto"/>
                <w:w w:val="92"/>
              </w:rPr>
              <w:t>Amended and Restated 2000 Stock Incentive Plan. (filed as Appendix A to Itron, Inc.’s designated Proxy Statement dated April 21, 2003 for its</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meeting of shareholder’s held on May 23, 2003—File No. 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10.4</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Amended and Restated Stock Option Grant Program for Non-employee Directors under the Itron, Inc. 2000 Stock Incentive Plan. (filed as Exhibit</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10.22 to Itron, Inc.’s Report on Form 10-K dated March 28, 2002—File No. 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10.5</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Executive Deferred Compensation Plan.* (filed as Exhibit 10.12 to Itron, Inc.’s Registration Statement on Form S-1 (Registration #33-49832), as</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amended, filed on July 22, 1992)</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10.6</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Form of Indemnification Agreements between Itron, Inc. and certain directors and officers. (filed as Exhibit 10.9 to Itron, Inc.’s Report on Form 10-</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K dated March 26, 2000—File No. 0-22418)</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10.7</w:t>
            </w:r>
          </w:p>
        </w:tc>
        <w:tc>
          <w:tcPr>
            <w:tcW w:w="10780" w:type="dxa"/>
            <w:vAlign w:val="bottom"/>
          </w:tcPr>
          <w:p>
            <w:pPr>
              <w:ind w:left="280"/>
              <w:spacing w:after="0"/>
              <w:rPr>
                <w:sz w:val="20"/>
                <w:szCs w:val="20"/>
                <w:color w:val="auto"/>
              </w:rPr>
            </w:pPr>
            <w:r>
              <w:rPr>
                <w:rFonts w:ascii="Arial" w:cs="Arial" w:eastAsia="Arial" w:hAnsi="Arial"/>
                <w:sz w:val="18"/>
                <w:szCs w:val="18"/>
                <w:color w:val="auto"/>
                <w:w w:val="99"/>
              </w:rPr>
              <w:t>Schedule of directors and executive officers who are parties to Indemnification Agreements (see Exhibit 10.6 hereto) with Itron, Inc.**</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10.8</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Agreement dated December 24, 2004 between Itron, Inc. and David G. Remington (filed as Exhibit 10.1 to Itron, Inc.’s Current Report on Form 8-K</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dated December 30, 2004—File No. 0-22418)</w:t>
            </w:r>
          </w:p>
        </w:tc>
      </w:tr>
      <w:tr>
        <w:trPr>
          <w:trHeight w:val="318"/>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10.9</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Office Lease between Itron, Inc. and Woodville Leasing Inc. dated October 4, 1993. (filed as Exhibit 10.24 to Itron, Inc.’s Report on Form 10-K filed</w:t>
            </w:r>
          </w:p>
        </w:tc>
      </w:tr>
      <w:tr>
        <w:trPr>
          <w:trHeight w:val="222"/>
        </w:trPr>
        <w:tc>
          <w:tcPr>
            <w:tcW w:w="58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on March 30, 1994—File No. 0-22418)</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Asset Purchase Agreement between Itron, Inc. and DataCom Information Systems, LLC (e.g. an affiliate of Duquesne Light Company) dated</w:t>
      </w:r>
    </w:p>
    <w:p>
      <w:pPr>
        <w:spacing w:after="0" w:line="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p>
      <w:pPr>
        <w:spacing w:after="0" w:line="84" w:lineRule="exact"/>
        <w:rPr>
          <w:sz w:val="20"/>
          <w:szCs w:val="20"/>
          <w:color w:val="auto"/>
        </w:rPr>
      </w:pPr>
    </w:p>
    <w:p>
      <w:pPr>
        <w:ind w:left="1040" w:right="380" w:hanging="955"/>
        <w:spacing w:after="0" w:line="268"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Warranty and Maintenance Agreement between Itron, Inc. and Duquesne Light Company dated May 1, 2003. (filed as Exhibit 10.13 to Itron, Inc.’s Quarterly Report on Form 10-Q dated May 9, 2003—File No. 0-22418)</w:t>
      </w:r>
    </w:p>
    <w:p>
      <w:pPr>
        <w:spacing w:after="0" w:line="51" w:lineRule="exact"/>
        <w:rPr>
          <w:sz w:val="20"/>
          <w:szCs w:val="20"/>
          <w:color w:val="auto"/>
        </w:rPr>
      </w:pPr>
    </w:p>
    <w:p>
      <w:pPr>
        <w:ind w:left="1040" w:right="280" w:hanging="961"/>
        <w:spacing w:after="0" w:line="268" w:lineRule="auto"/>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Contribution Agreement between Itron, Inc. and Servatron, Inc. dated May 15, 2000. (filed as Exhibit 10.22 to Itron, Inc.’s Quarterly Report on Form 10-Q dated August 14, 2000—File No. 0-22418)</w:t>
      </w:r>
    </w:p>
    <w:p>
      <w:pPr>
        <w:spacing w:after="0" w:line="51" w:lineRule="exact"/>
        <w:rPr>
          <w:sz w:val="20"/>
          <w:szCs w:val="20"/>
          <w:color w:val="auto"/>
        </w:rPr>
      </w:pPr>
    </w:p>
    <w:p>
      <w:pPr>
        <w:ind w:left="1040" w:right="100" w:hanging="961"/>
        <w:spacing w:after="0" w:line="268"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2002 Employee Stock Purchase Plan. (filed as Appendix B to Itron, Inc.’s designated Proxy Statement dated April 16, 2002 for its annual meeting of shareholders held on May 24, 2002—File No. 0-22418)</w:t>
      </w:r>
    </w:p>
    <w:p>
      <w:pPr>
        <w:spacing w:after="0" w:line="51" w:lineRule="exact"/>
        <w:rPr>
          <w:sz w:val="20"/>
          <w:szCs w:val="20"/>
          <w:color w:val="auto"/>
        </w:rPr>
      </w:pPr>
    </w:p>
    <w:p>
      <w:pPr>
        <w:jc w:val="both"/>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Credit Agreement among Itron, Inc., the lenders listed and Wells Fargo Bank, National Association dated March 4, 2003. (filed as Exhibit 4.1 to Itron, Inc.’s Report on Form 8-K dated March 19, 2003—File No. 0-22418)</w:t>
      </w:r>
    </w:p>
    <w:p>
      <w:pPr>
        <w:spacing w:after="0" w:line="51" w:lineRule="exact"/>
        <w:rPr>
          <w:sz w:val="20"/>
          <w:szCs w:val="20"/>
          <w:color w:val="auto"/>
        </w:rPr>
      </w:pPr>
    </w:p>
    <w:p>
      <w:pPr>
        <w:jc w:val="both"/>
        <w:ind w:left="1040" w:right="220" w:hanging="961"/>
        <w:spacing w:after="0" w:line="259"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First Amendment to Credit Agreement dated March 20, 2003 and entered into by and among Itron, Inc., the lenders listed, LaSalle Bank, N.A., KeyBank N.A. and Wells Fargo Bank, N.A., and is made with reference to the Credit Agreement dated March 4, 2003. (filed as Exhibit 10.18 to Itron, Inc.’s Quarterly Report on Form 10-Q dated May 9, 2003—File No. 0-22418)</w:t>
      </w:r>
    </w:p>
    <w:p>
      <w:pPr>
        <w:spacing w:after="0" w:line="59" w:lineRule="exact"/>
        <w:rPr>
          <w:sz w:val="20"/>
          <w:szCs w:val="20"/>
          <w:color w:val="auto"/>
        </w:rPr>
      </w:pPr>
    </w:p>
    <w:p>
      <w:pPr>
        <w:ind w:left="1040" w:hanging="961"/>
        <w:spacing w:after="0" w:line="259" w:lineRule="auto"/>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Second Amendment to Credit Agreement dated October 23, 2003 and entered into by and among Itron, Inc., the lenders listed, LaSalle Bank, N.A., KeyBank N.A. and Wells Fargo Bank, N.A., and is made with reference to the Credit Agreement dated March 4, 2003. (filed as Exhibit 10.19 to Itron, Inc.’s Quarterly Report on Form 10-Q dated November 13, 2003—File No. 0-22418)</w:t>
      </w:r>
    </w:p>
    <w:p>
      <w:pPr>
        <w:spacing w:after="0" w:line="59" w:lineRule="exact"/>
        <w:rPr>
          <w:sz w:val="20"/>
          <w:szCs w:val="20"/>
          <w:color w:val="auto"/>
        </w:rPr>
      </w:pPr>
    </w:p>
    <w:p>
      <w:pPr>
        <w:ind w:left="1040" w:right="60" w:hanging="961"/>
        <w:spacing w:after="0" w:line="259"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Credit Agreement among Itron, Inc., several lenders from time to time parties hereto, Bear Stearns Corporate Lending, Inc. and Wells Fargo Bank, National Association dated December 17, 2003. (filed as Exhibit 10.17 to Itron, Inc.’s Annual Report on Form 10-K dated March 12, 2004—File No. 0-22418)</w:t>
      </w:r>
    </w:p>
    <w:p>
      <w:pPr>
        <w:spacing w:after="0" w:line="59"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Interest Rate Swap Transaction Agreement among Itron, Inc. and U.S. Bank National Association dated September 29, 2004 (filed as Exhibit 10.1 to Itron, Inc.’s Current Report on Form 8-K dated October 1, 2004—File No. 0-22418)</w:t>
      </w:r>
    </w:p>
    <w:p>
      <w:pPr>
        <w:spacing w:after="0" w:line="51" w:lineRule="exact"/>
        <w:rPr>
          <w:sz w:val="20"/>
          <w:szCs w:val="20"/>
          <w:color w:val="auto"/>
        </w:rPr>
      </w:pPr>
    </w:p>
    <w:p>
      <w:pPr>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Rate Cap Transaction Agreement among Itron, Inc. and KeyBank National Association dated September 29, 2004 (filed as Exhibit 10.2 to Itron, Inc.’s Current Report on Form 8-K dated October 1, 2004—File No. 0-22418)</w:t>
      </w:r>
    </w:p>
    <w:p>
      <w:pPr>
        <w:spacing w:after="0" w:line="51"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 Computation of Ratios.</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Itron, Inc.**</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 Deloitte &amp; Touche LLP.</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Independent Registered Public Accounting Firm — PricewaterhouseCoopers LLP.</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Perkins Coie, LLP. (included in Exhibit 5.1 and Exhibit 8.1)</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(contained on signature page)**</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Deutsche Bank Trust Company Americas to act as trustee under the indenture.**</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Letter of Transmittal.**</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Form of Notice of Guaranteed Delivery.**</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Form of Letter to Depository Trust Company Participants.**</w:t>
      </w:r>
    </w:p>
    <w:p>
      <w:pPr>
        <w:spacing w:after="0" w:line="9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Letter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right="6700" w:firstLine="8"/>
        <w:spacing w:after="0" w:line="305" w:lineRule="auto"/>
        <w:tabs>
          <w:tab w:leader="none" w:pos="44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 Previously filed on Form S-4 dated September 3, 2004.</w:t>
      </w: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To be filed by amendment.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as amended, or the Securities Act, each filing of the registrant’s annual report pursuant to Section 13(a) or Section 15(d) of the Securities Exchange Act of 1934, as amended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0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317"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2 to the Registration Statement to be signed on its behalf by the undersigned, thereunto duly authorized, in the City of Spokane, State of Washington, on the 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February, 2005.</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41" w:lineRule="exact"/>
        <w:rPr>
          <w:sz w:val="20"/>
          <w:szCs w:val="20"/>
          <w:color w:val="auto"/>
        </w:rPr>
      </w:pPr>
    </w:p>
    <w:p>
      <w:pPr>
        <w:ind w:right="14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indicated below on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4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6"/>
              </w:rPr>
              <w:t>Signature</w:t>
            </w:r>
          </w:p>
        </w:tc>
        <w:tc>
          <w:tcPr>
            <w:tcW w:w="2920" w:type="dxa"/>
            <w:vAlign w:val="bottom"/>
          </w:tcPr>
          <w:p>
            <w:pPr>
              <w:spacing w:after="0"/>
              <w:rPr>
                <w:sz w:val="15"/>
                <w:szCs w:val="15"/>
                <w:color w:val="auto"/>
              </w:rPr>
            </w:pPr>
          </w:p>
        </w:tc>
        <w:tc>
          <w:tcPr>
            <w:tcW w:w="266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820" w:type="dxa"/>
            <w:vAlign w:val="bottom"/>
            <w:gridSpan w:val="4"/>
          </w:tcPr>
          <w:p>
            <w:pPr>
              <w:ind w:left="1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t>
            </w: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D. N</w:t>
            </w:r>
            <w:r>
              <w:rPr>
                <w:rFonts w:ascii="Arial" w:cs="Arial" w:eastAsia="Arial" w:hAnsi="Arial"/>
                <w:sz w:val="14"/>
                <w:szCs w:val="14"/>
                <w:color w:val="auto"/>
              </w:rPr>
              <w:t>OSBAUM</w:t>
            </w:r>
          </w:p>
        </w:tc>
        <w:tc>
          <w:tcPr>
            <w:tcW w:w="55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Chairman of the Board and</w:t>
            </w:r>
          </w:p>
        </w:tc>
        <w:tc>
          <w:tcPr>
            <w:tcW w:w="0" w:type="dxa"/>
            <w:vAlign w:val="bottom"/>
          </w:tcPr>
          <w:p>
            <w:pPr>
              <w:spacing w:after="0"/>
              <w:rPr>
                <w:sz w:val="1"/>
                <w:szCs w:val="1"/>
                <w:color w:val="auto"/>
              </w:rPr>
            </w:pPr>
          </w:p>
        </w:tc>
      </w:tr>
      <w:tr>
        <w:trPr>
          <w:trHeight w:val="116"/>
        </w:trPr>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580" w:type="dxa"/>
            <w:vAlign w:val="bottom"/>
            <w:gridSpan w:val="3"/>
            <w:vMerge w:val="restart"/>
          </w:tcPr>
          <w:p>
            <w:pPr>
              <w:jc w:val="center"/>
              <w:ind w:left="532"/>
              <w:spacing w:after="0"/>
              <w:rPr>
                <w:sz w:val="20"/>
                <w:szCs w:val="20"/>
                <w:color w:val="auto"/>
              </w:rPr>
            </w:pPr>
            <w:r>
              <w:rPr>
                <w:rFonts w:ascii="Arial" w:cs="Arial" w:eastAsia="Arial" w:hAnsi="Arial"/>
                <w:sz w:val="18"/>
                <w:szCs w:val="18"/>
                <w:color w:val="auto"/>
                <w:w w:val="91"/>
              </w:rPr>
              <w:t>Chief Executive Officer</w:t>
            </w:r>
          </w:p>
        </w:tc>
        <w:tc>
          <w:tcPr>
            <w:tcW w:w="0" w:type="dxa"/>
            <w:vAlign w:val="bottom"/>
          </w:tcPr>
          <w:p>
            <w:pPr>
              <w:spacing w:after="0"/>
              <w:rPr>
                <w:sz w:val="1"/>
                <w:szCs w:val="1"/>
                <w:color w:val="auto"/>
              </w:rPr>
            </w:pPr>
          </w:p>
        </w:tc>
      </w:tr>
      <w:tr>
        <w:trPr>
          <w:trHeight w:val="80"/>
        </w:trPr>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5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87"/>
              </w:rPr>
              <w:t>LeRoy D. Nosbaum</w:t>
            </w:r>
          </w:p>
        </w:tc>
        <w:tc>
          <w:tcPr>
            <w:tcW w:w="55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200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OBERT</w:t>
            </w:r>
            <w:r>
              <w:rPr>
                <w:rFonts w:ascii="Arial" w:cs="Arial" w:eastAsia="Arial" w:hAnsi="Arial"/>
                <w:sz w:val="18"/>
                <w:szCs w:val="18"/>
                <w:color w:val="auto"/>
                <w:w w:val="98"/>
              </w:rPr>
              <w:t xml:space="preserve"> D. N</w:t>
            </w:r>
            <w:r>
              <w:rPr>
                <w:rFonts w:ascii="Arial" w:cs="Arial" w:eastAsia="Arial" w:hAnsi="Arial"/>
                <w:sz w:val="14"/>
                <w:szCs w:val="14"/>
                <w:color w:val="auto"/>
                <w:w w:val="98"/>
              </w:rPr>
              <w:t>EILSON</w:t>
            </w:r>
            <w:r>
              <w:rPr>
                <w:rFonts w:ascii="Arial" w:cs="Arial" w:eastAsia="Arial" w:hAnsi="Arial"/>
                <w:sz w:val="18"/>
                <w:szCs w:val="18"/>
                <w:color w:val="auto"/>
                <w:w w:val="98"/>
              </w:rPr>
              <w:t>*</w:t>
            </w:r>
          </w:p>
        </w:tc>
        <w:tc>
          <w:tcPr>
            <w:tcW w:w="558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President and Chief Operating Officer</w:t>
            </w:r>
          </w:p>
        </w:tc>
        <w:tc>
          <w:tcPr>
            <w:tcW w:w="0" w:type="dxa"/>
            <w:vAlign w:val="bottom"/>
          </w:tcPr>
          <w:p>
            <w:pPr>
              <w:spacing w:after="0"/>
              <w:rPr>
                <w:sz w:val="1"/>
                <w:szCs w:val="1"/>
                <w:color w:val="auto"/>
              </w:rPr>
            </w:pPr>
          </w:p>
        </w:tc>
      </w:tr>
      <w:tr>
        <w:trPr>
          <w:trHeight w:val="116"/>
        </w:trPr>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580" w:type="dxa"/>
            <w:vAlign w:val="bottom"/>
            <w:gridSpan w:val="3"/>
            <w:vMerge w:val="restart"/>
          </w:tcPr>
          <w:p>
            <w:pPr>
              <w:jc w:val="center"/>
              <w:ind w:left="732"/>
              <w:spacing w:after="0"/>
              <w:rPr>
                <w:sz w:val="20"/>
                <w:szCs w:val="20"/>
                <w:color w:val="auto"/>
              </w:rPr>
            </w:pPr>
            <w:r>
              <w:rPr>
                <w:rFonts w:ascii="Arial" w:cs="Arial" w:eastAsia="Arial" w:hAnsi="Arial"/>
                <w:sz w:val="18"/>
                <w:szCs w:val="18"/>
                <w:color w:val="auto"/>
                <w:w w:val="89"/>
              </w:rPr>
              <w:t>and Director</w:t>
            </w:r>
          </w:p>
        </w:tc>
        <w:tc>
          <w:tcPr>
            <w:tcW w:w="0" w:type="dxa"/>
            <w:vAlign w:val="bottom"/>
          </w:tcPr>
          <w:p>
            <w:pPr>
              <w:spacing w:after="0"/>
              <w:rPr>
                <w:sz w:val="1"/>
                <w:szCs w:val="1"/>
                <w:color w:val="auto"/>
              </w:rPr>
            </w:pPr>
          </w:p>
        </w:tc>
      </w:tr>
      <w:tr>
        <w:trPr>
          <w:trHeight w:val="86"/>
        </w:trPr>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20" w:type="dxa"/>
            <w:vAlign w:val="bottom"/>
            <w:gridSpan w:val="4"/>
            <w:vMerge w:val="restart"/>
          </w:tcPr>
          <w:p>
            <w:pPr>
              <w:jc w:val="center"/>
              <w:ind w:right="1980"/>
              <w:spacing w:after="0"/>
              <w:rPr>
                <w:sz w:val="20"/>
                <w:szCs w:val="20"/>
                <w:color w:val="auto"/>
              </w:rPr>
            </w:pPr>
            <w:r>
              <w:rPr>
                <w:rFonts w:ascii="Arial" w:cs="Arial" w:eastAsia="Arial" w:hAnsi="Arial"/>
                <w:sz w:val="14"/>
                <w:szCs w:val="14"/>
                <w:b w:val="1"/>
                <w:bCs w:val="1"/>
                <w:color w:val="auto"/>
                <w:w w:val="88"/>
              </w:rPr>
              <w:t>Robert D. Neilson</w:t>
            </w:r>
          </w:p>
        </w:tc>
        <w:tc>
          <w:tcPr>
            <w:tcW w:w="5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20" w:type="dxa"/>
            <w:vAlign w:val="bottom"/>
            <w:gridSpan w:val="4"/>
            <w:vMerge w:val="continue"/>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20" w:type="dxa"/>
            <w:vAlign w:val="bottom"/>
            <w:gridSpan w:val="4"/>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c>
          <w:tcPr>
            <w:tcW w:w="558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Sr. Vice President and Chief Financial Officer (Principal Financial and</w:t>
            </w:r>
          </w:p>
        </w:tc>
        <w:tc>
          <w:tcPr>
            <w:tcW w:w="0" w:type="dxa"/>
            <w:vAlign w:val="bottom"/>
          </w:tcPr>
          <w:p>
            <w:pPr>
              <w:spacing w:after="0"/>
              <w:rPr>
                <w:sz w:val="1"/>
                <w:szCs w:val="1"/>
                <w:color w:val="auto"/>
              </w:rPr>
            </w:pPr>
          </w:p>
        </w:tc>
      </w:tr>
      <w:tr>
        <w:trPr>
          <w:trHeight w:val="116"/>
        </w:trPr>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58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Accounting Officer)</w:t>
            </w:r>
          </w:p>
        </w:tc>
        <w:tc>
          <w:tcPr>
            <w:tcW w:w="0" w:type="dxa"/>
            <w:vAlign w:val="bottom"/>
          </w:tcPr>
          <w:p>
            <w:pPr>
              <w:spacing w:after="0"/>
              <w:rPr>
                <w:sz w:val="1"/>
                <w:szCs w:val="1"/>
                <w:color w:val="auto"/>
              </w:rPr>
            </w:pPr>
          </w:p>
        </w:tc>
      </w:tr>
      <w:tr>
        <w:trPr>
          <w:trHeight w:val="86"/>
        </w:trPr>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20" w:type="dxa"/>
            <w:vAlign w:val="bottom"/>
            <w:gridSpan w:val="4"/>
            <w:vMerge w:val="restart"/>
          </w:tcPr>
          <w:p>
            <w:pPr>
              <w:jc w:val="center"/>
              <w:ind w:right="2000"/>
              <w:spacing w:after="0"/>
              <w:rPr>
                <w:sz w:val="20"/>
                <w:szCs w:val="20"/>
                <w:color w:val="auto"/>
              </w:rPr>
            </w:pPr>
            <w:r>
              <w:rPr>
                <w:rFonts w:ascii="Arial" w:cs="Arial" w:eastAsia="Arial" w:hAnsi="Arial"/>
                <w:sz w:val="14"/>
                <w:szCs w:val="14"/>
                <w:b w:val="1"/>
                <w:bCs w:val="1"/>
                <w:color w:val="auto"/>
                <w:w w:val="88"/>
              </w:rPr>
              <w:t>Steven M. Helmbrecht</w:t>
            </w:r>
          </w:p>
        </w:tc>
        <w:tc>
          <w:tcPr>
            <w:tcW w:w="5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20" w:type="dxa"/>
            <w:vAlign w:val="bottom"/>
            <w:gridSpan w:val="4"/>
            <w:vMerge w:val="continue"/>
          </w:tcPr>
          <w:p>
            <w:pPr>
              <w:spacing w:after="0"/>
              <w:rPr>
                <w:sz w:val="15"/>
                <w:szCs w:val="15"/>
                <w:color w:val="auto"/>
              </w:rPr>
            </w:pP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r>
              <w:rPr>
                <w:rFonts w:ascii="Arial" w:cs="Arial" w:eastAsia="Arial" w:hAnsi="Arial"/>
                <w:sz w:val="18"/>
                <w:szCs w:val="18"/>
                <w:color w:val="auto"/>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89"/>
              </w:rPr>
              <w:t>Michael B. Bracy</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ED</w:t>
            </w:r>
            <w:r>
              <w:rPr>
                <w:rFonts w:ascii="Arial" w:cs="Arial" w:eastAsia="Arial" w:hAnsi="Arial"/>
                <w:sz w:val="18"/>
                <w:szCs w:val="18"/>
                <w:color w:val="auto"/>
                <w:w w:val="99"/>
              </w:rPr>
              <w:t xml:space="preserve"> C. D</w:t>
            </w:r>
            <w:r>
              <w:rPr>
                <w:rFonts w:ascii="Arial" w:cs="Arial" w:eastAsia="Arial" w:hAnsi="Arial"/>
                <w:sz w:val="14"/>
                <w:szCs w:val="14"/>
                <w:color w:val="auto"/>
                <w:w w:val="99"/>
              </w:rPr>
              <w:t>E</w:t>
            </w:r>
            <w:r>
              <w:rPr>
                <w:rFonts w:ascii="Arial" w:cs="Arial" w:eastAsia="Arial" w:hAnsi="Arial"/>
                <w:sz w:val="18"/>
                <w:szCs w:val="18"/>
                <w:color w:val="auto"/>
                <w:w w:val="99"/>
              </w:rPr>
              <w:t>M</w:t>
            </w:r>
            <w:r>
              <w:rPr>
                <w:rFonts w:ascii="Arial" w:cs="Arial" w:eastAsia="Arial" w:hAnsi="Arial"/>
                <w:sz w:val="14"/>
                <w:szCs w:val="14"/>
                <w:color w:val="auto"/>
                <w:w w:val="99"/>
              </w:rPr>
              <w:t>ERRITT</w:t>
            </w:r>
            <w:r>
              <w:rPr>
                <w:rFonts w:ascii="Arial" w:cs="Arial" w:eastAsia="Arial" w:hAnsi="Arial"/>
                <w:sz w:val="18"/>
                <w:szCs w:val="18"/>
                <w:color w:val="auto"/>
                <w:w w:val="99"/>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92"/>
              </w:rPr>
              <w:t>Ted C. DeMerritt</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ON</w:t>
            </w:r>
            <w:r>
              <w:rPr>
                <w:rFonts w:ascii="Arial" w:cs="Arial" w:eastAsia="Arial" w:hAnsi="Arial"/>
                <w:sz w:val="18"/>
                <w:szCs w:val="18"/>
                <w:color w:val="auto"/>
                <w:w w:val="97"/>
              </w:rPr>
              <w:t xml:space="preserve"> E. E</w:t>
            </w:r>
            <w:r>
              <w:rPr>
                <w:rFonts w:ascii="Arial" w:cs="Arial" w:eastAsia="Arial" w:hAnsi="Arial"/>
                <w:sz w:val="14"/>
                <w:szCs w:val="14"/>
                <w:color w:val="auto"/>
                <w:w w:val="97"/>
              </w:rPr>
              <w:t>LIASSEN</w:t>
            </w:r>
            <w:r>
              <w:rPr>
                <w:rFonts w:ascii="Arial" w:cs="Arial" w:eastAsia="Arial" w:hAnsi="Arial"/>
                <w:sz w:val="18"/>
                <w:szCs w:val="18"/>
                <w:color w:val="auto"/>
                <w:w w:val="97"/>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85"/>
              </w:rPr>
              <w:t>Jon E. Eliassen</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HOMAS</w:t>
            </w:r>
            <w:r>
              <w:rPr>
                <w:rFonts w:ascii="Arial" w:cs="Arial" w:eastAsia="Arial" w:hAnsi="Arial"/>
                <w:sz w:val="18"/>
                <w:szCs w:val="18"/>
                <w:color w:val="auto"/>
                <w:w w:val="99"/>
              </w:rPr>
              <w:t xml:space="preserve"> S. F</w:t>
            </w:r>
            <w:r>
              <w:rPr>
                <w:rFonts w:ascii="Arial" w:cs="Arial" w:eastAsia="Arial" w:hAnsi="Arial"/>
                <w:sz w:val="14"/>
                <w:szCs w:val="14"/>
                <w:color w:val="auto"/>
                <w:w w:val="99"/>
              </w:rPr>
              <w:t>OLEY</w:t>
            </w:r>
            <w:r>
              <w:rPr>
                <w:rFonts w:ascii="Arial" w:cs="Arial" w:eastAsia="Arial" w:hAnsi="Arial"/>
                <w:sz w:val="18"/>
                <w:szCs w:val="18"/>
                <w:color w:val="auto"/>
                <w:w w:val="99"/>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86"/>
              </w:rPr>
              <w:t>Thomas S. Foley</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r>
              <w:rPr>
                <w:rFonts w:ascii="Arial" w:cs="Arial" w:eastAsia="Arial" w:hAnsi="Arial"/>
                <w:sz w:val="18"/>
                <w:szCs w:val="18"/>
                <w:color w:val="auto"/>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87"/>
              </w:rPr>
              <w:t>Thomas S. Glanville</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200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HARON</w:t>
            </w:r>
            <w:r>
              <w:rPr>
                <w:rFonts w:ascii="Arial" w:cs="Arial" w:eastAsia="Arial" w:hAnsi="Arial"/>
                <w:sz w:val="18"/>
                <w:szCs w:val="18"/>
                <w:color w:val="auto"/>
                <w:w w:val="99"/>
              </w:rPr>
              <w:t xml:space="preserve"> L. N</w:t>
            </w:r>
            <w:r>
              <w:rPr>
                <w:rFonts w:ascii="Arial" w:cs="Arial" w:eastAsia="Arial" w:hAnsi="Arial"/>
                <w:sz w:val="14"/>
                <w:szCs w:val="14"/>
                <w:color w:val="auto"/>
                <w:w w:val="99"/>
              </w:rPr>
              <w:t>ELSON</w:t>
            </w:r>
            <w:r>
              <w:rPr>
                <w:rFonts w:ascii="Arial" w:cs="Arial" w:eastAsia="Arial" w:hAnsi="Arial"/>
                <w:sz w:val="18"/>
                <w:szCs w:val="18"/>
                <w:color w:val="auto"/>
                <w:w w:val="99"/>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86"/>
              </w:rPr>
              <w:t>Sharon L. Nelson</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P</w:t>
            </w:r>
            <w:r>
              <w:rPr>
                <w:rFonts w:ascii="Arial" w:cs="Arial" w:eastAsia="Arial" w:hAnsi="Arial"/>
                <w:sz w:val="14"/>
                <w:szCs w:val="14"/>
                <w:color w:val="auto"/>
              </w:rPr>
              <w:t>ETERS</w:t>
            </w:r>
            <w:r>
              <w:rPr>
                <w:rFonts w:ascii="Arial" w:cs="Arial" w:eastAsia="Arial" w:hAnsi="Arial"/>
                <w:sz w:val="18"/>
                <w:szCs w:val="18"/>
                <w:color w:val="auto"/>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90"/>
              </w:rPr>
              <w:t>Mary Ann Peters</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r>
              <w:rPr>
                <w:rFonts w:ascii="Arial" w:cs="Arial" w:eastAsia="Arial" w:hAnsi="Arial"/>
                <w:sz w:val="18"/>
                <w:szCs w:val="18"/>
                <w:color w:val="auto"/>
              </w:rPr>
              <w:t>*</w:t>
            </w:r>
          </w:p>
        </w:tc>
        <w:tc>
          <w:tcPr>
            <w:tcW w:w="558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3"/>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gridSpan w:val="4"/>
          </w:tcPr>
          <w:p>
            <w:pPr>
              <w:jc w:val="center"/>
              <w:ind w:right="1980"/>
              <w:spacing w:after="0"/>
              <w:rPr>
                <w:sz w:val="20"/>
                <w:szCs w:val="20"/>
                <w:color w:val="auto"/>
              </w:rPr>
            </w:pPr>
            <w:r>
              <w:rPr>
                <w:rFonts w:ascii="Arial" w:cs="Arial" w:eastAsia="Arial" w:hAnsi="Arial"/>
                <w:sz w:val="14"/>
                <w:szCs w:val="14"/>
                <w:b w:val="1"/>
                <w:bCs w:val="1"/>
                <w:color w:val="auto"/>
                <w:w w:val="91"/>
              </w:rPr>
              <w:t>Graham M. Wilson</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0" w:type="dxa"/>
            <w:vAlign w:val="bottom"/>
            <w:gridSpan w:val="4"/>
          </w:tcPr>
          <w:p>
            <w:pPr>
              <w:spacing w:after="0"/>
              <w:rPr>
                <w:sz w:val="9"/>
                <w:szCs w:val="9"/>
                <w:color w:val="auto"/>
              </w:rPr>
            </w:pPr>
          </w:p>
        </w:tc>
        <w:tc>
          <w:tcPr>
            <w:tcW w:w="12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3"/>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4640" w:type="dxa"/>
            <w:vAlign w:val="bottom"/>
            <w:gridSpan w:val="5"/>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E</w:t>
            </w: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D. N</w:t>
            </w:r>
            <w:r>
              <w:rPr>
                <w:rFonts w:ascii="Arial" w:cs="Arial" w:eastAsia="Arial" w:hAnsi="Arial"/>
                <w:sz w:val="14"/>
                <w:szCs w:val="14"/>
                <w:color w:val="auto"/>
              </w:rPr>
              <w:t>OSBAUM</w:t>
            </w: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gridSpan w:val="4"/>
          </w:tcPr>
          <w:p>
            <w:pPr>
              <w:ind w:left="820"/>
              <w:spacing w:after="0" w:line="131" w:lineRule="exact"/>
              <w:rPr>
                <w:sz w:val="20"/>
                <w:szCs w:val="20"/>
                <w:color w:val="auto"/>
              </w:rPr>
            </w:pPr>
            <w:r>
              <w:rPr>
                <w:rFonts w:ascii="Arial" w:cs="Arial" w:eastAsia="Arial" w:hAnsi="Arial"/>
                <w:sz w:val="14"/>
                <w:szCs w:val="14"/>
                <w:b w:val="1"/>
                <w:bCs w:val="1"/>
                <w:color w:val="auto"/>
              </w:rPr>
              <w:t>LeRoy D. Nosbaum</w:t>
            </w:r>
          </w:p>
        </w:tc>
        <w:tc>
          <w:tcPr>
            <w:tcW w:w="12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20" w:type="dxa"/>
            <w:vAlign w:val="bottom"/>
            <w:gridSpan w:val="4"/>
          </w:tcPr>
          <w:p>
            <w:pPr>
              <w:ind w:left="80"/>
              <w:spacing w:after="0"/>
              <w:rPr>
                <w:sz w:val="20"/>
                <w:szCs w:val="20"/>
                <w:color w:val="auto"/>
              </w:rPr>
            </w:pPr>
            <w:r>
              <w:rPr>
                <w:rFonts w:ascii="Arial" w:cs="Arial" w:eastAsia="Arial" w:hAnsi="Arial"/>
                <w:sz w:val="14"/>
                <w:szCs w:val="14"/>
                <w:b w:val="1"/>
                <w:bCs w:val="1"/>
                <w:color w:val="auto"/>
              </w:rPr>
              <w:t>Attorney-in-Fact</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400"/>
          </w:cols>
          <w:pgMar w:left="240" w:top="459" w:right="2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 w:firstLine="456"/>
        <w:spacing w:after="0" w:line="336"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on Form S-4 to be signed on its behalf by the undersigned, thereunto duly authorized, in the City of Spokane, State of Washington, on the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February, 2005.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INTERNATIONAL,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7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Steven M. Helmbrecht</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Vice President &amp; Treasurer</w:t>
            </w:r>
          </w:p>
        </w:tc>
      </w:tr>
    </w:tbl>
    <w:p>
      <w:pPr>
        <w:spacing w:after="0" w:line="127" w:lineRule="exact"/>
        <w:rPr>
          <w:sz w:val="20"/>
          <w:szCs w:val="20"/>
          <w:color w:val="auto"/>
        </w:rPr>
      </w:pPr>
    </w:p>
    <w:p>
      <w:pPr>
        <w:ind w:right="54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on Form S-4 has been signed by the following persons in the capacities indicated below on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216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6"/>
              </w:rPr>
              <w:t>Signature</w:t>
            </w:r>
          </w:p>
        </w:tc>
        <w:tc>
          <w:tcPr>
            <w:tcW w:w="1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5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r>
      <w:tr>
        <w:trPr>
          <w:trHeight w:val="316"/>
        </w:trPr>
        <w:tc>
          <w:tcPr>
            <w:tcW w:w="4740" w:type="dxa"/>
            <w:vAlign w:val="bottom"/>
            <w:gridSpan w:val="3"/>
          </w:tcPr>
          <w:p>
            <w:pPr>
              <w:jc w:val="center"/>
              <w:ind w:left="7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c>
          <w:tcPr>
            <w:tcW w:w="1080" w:type="dxa"/>
            <w:vAlign w:val="bottom"/>
          </w:tcPr>
          <w:p>
            <w:pPr>
              <w:spacing w:after="0"/>
              <w:rPr>
                <w:sz w:val="24"/>
                <w:szCs w:val="24"/>
                <w:color w:val="auto"/>
              </w:rPr>
            </w:pPr>
          </w:p>
        </w:tc>
        <w:tc>
          <w:tcPr>
            <w:tcW w:w="5380" w:type="dxa"/>
            <w:vAlign w:val="bottom"/>
            <w:gridSpan w:val="3"/>
          </w:tcPr>
          <w:p>
            <w:pPr>
              <w:ind w:left="580"/>
              <w:spacing w:after="0"/>
              <w:rPr>
                <w:sz w:val="20"/>
                <w:szCs w:val="20"/>
                <w:color w:val="auto"/>
              </w:rPr>
            </w:pPr>
            <w:r>
              <w:rPr>
                <w:rFonts w:ascii="Arial" w:cs="Arial" w:eastAsia="Arial" w:hAnsi="Arial"/>
                <w:sz w:val="18"/>
                <w:szCs w:val="18"/>
                <w:color w:val="auto"/>
              </w:rPr>
              <w:t>President and Director (Principal Executive Officer)</w:t>
            </w:r>
          </w:p>
        </w:tc>
      </w:tr>
      <w:tr>
        <w:trPr>
          <w:trHeight w:val="110"/>
        </w:trPr>
        <w:tc>
          <w:tcPr>
            <w:tcW w:w="474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Pr>
          <w:p>
            <w:pPr>
              <w:spacing w:after="0"/>
              <w:rPr>
                <w:sz w:val="9"/>
                <w:szCs w:val="9"/>
                <w:color w:val="auto"/>
              </w:rPr>
            </w:pPr>
          </w:p>
        </w:tc>
      </w:tr>
      <w:tr>
        <w:trPr>
          <w:trHeight w:val="263"/>
        </w:trPr>
        <w:tc>
          <w:tcPr>
            <w:tcW w:w="4740" w:type="dxa"/>
            <w:vAlign w:val="bottom"/>
            <w:gridSpan w:val="3"/>
          </w:tcPr>
          <w:p>
            <w:pPr>
              <w:jc w:val="center"/>
              <w:ind w:left="1022"/>
              <w:spacing w:after="0"/>
              <w:rPr>
                <w:sz w:val="20"/>
                <w:szCs w:val="20"/>
                <w:color w:val="auto"/>
              </w:rPr>
            </w:pPr>
            <w:r>
              <w:rPr>
                <w:rFonts w:ascii="Arial" w:cs="Arial" w:eastAsia="Arial" w:hAnsi="Arial"/>
                <w:sz w:val="14"/>
                <w:szCs w:val="14"/>
                <w:b w:val="1"/>
                <w:bCs w:val="1"/>
                <w:color w:val="auto"/>
                <w:w w:val="88"/>
              </w:rPr>
              <w:t>Robert D. Neilson</w:t>
            </w:r>
          </w:p>
        </w:tc>
        <w:tc>
          <w:tcPr>
            <w:tcW w:w="10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31"/>
        </w:trPr>
        <w:tc>
          <w:tcPr>
            <w:tcW w:w="4740" w:type="dxa"/>
            <w:vAlign w:val="bottom"/>
            <w:gridSpan w:val="3"/>
          </w:tcPr>
          <w:p>
            <w:pPr>
              <w:jc w:val="center"/>
              <w:ind w:left="722"/>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c>
          <w:tcPr>
            <w:tcW w:w="1080" w:type="dxa"/>
            <w:vAlign w:val="bottom"/>
          </w:tcPr>
          <w:p>
            <w:pPr>
              <w:spacing w:after="0"/>
              <w:rPr>
                <w:sz w:val="24"/>
                <w:szCs w:val="24"/>
                <w:color w:val="auto"/>
              </w:rPr>
            </w:pPr>
          </w:p>
        </w:tc>
        <w:tc>
          <w:tcPr>
            <w:tcW w:w="5380" w:type="dxa"/>
            <w:vAlign w:val="bottom"/>
            <w:gridSpan w:val="3"/>
          </w:tcPr>
          <w:p>
            <w:pPr>
              <w:ind w:left="580"/>
              <w:spacing w:after="0"/>
              <w:rPr>
                <w:sz w:val="20"/>
                <w:szCs w:val="20"/>
                <w:color w:val="auto"/>
              </w:rPr>
            </w:pPr>
            <w:r>
              <w:rPr>
                <w:rFonts w:ascii="Arial" w:cs="Arial" w:eastAsia="Arial" w:hAnsi="Arial"/>
                <w:sz w:val="18"/>
                <w:szCs w:val="18"/>
                <w:color w:val="auto"/>
                <w:w w:val="89"/>
              </w:rPr>
              <w:t>Treasurer and Director (Principal Accounting and Financial Officer)</w:t>
            </w:r>
          </w:p>
        </w:tc>
      </w:tr>
      <w:tr>
        <w:trPr>
          <w:trHeight w:val="110"/>
        </w:trPr>
        <w:tc>
          <w:tcPr>
            <w:tcW w:w="4740" w:type="dxa"/>
            <w:vAlign w:val="bottom"/>
            <w:tcBorders>
              <w:bottom w:val="single" w:sz="8" w:color="auto"/>
            </w:tcBorders>
            <w:gridSpan w:val="3"/>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Pr>
          <w:p>
            <w:pPr>
              <w:spacing w:after="0"/>
              <w:rPr>
                <w:sz w:val="9"/>
                <w:szCs w:val="9"/>
                <w:color w:val="auto"/>
              </w:rPr>
            </w:pPr>
          </w:p>
        </w:tc>
      </w:tr>
      <w:tr>
        <w:trPr>
          <w:trHeight w:val="263"/>
        </w:trPr>
        <w:tc>
          <w:tcPr>
            <w:tcW w:w="4740" w:type="dxa"/>
            <w:vAlign w:val="bottom"/>
            <w:gridSpan w:val="3"/>
          </w:tcPr>
          <w:p>
            <w:pPr>
              <w:jc w:val="center"/>
              <w:ind w:left="1002"/>
              <w:spacing w:after="0"/>
              <w:rPr>
                <w:sz w:val="20"/>
                <w:szCs w:val="20"/>
                <w:color w:val="auto"/>
              </w:rPr>
            </w:pPr>
            <w:r>
              <w:rPr>
                <w:rFonts w:ascii="Arial" w:cs="Arial" w:eastAsia="Arial" w:hAnsi="Arial"/>
                <w:sz w:val="14"/>
                <w:szCs w:val="14"/>
                <w:b w:val="1"/>
                <w:bCs w:val="1"/>
                <w:color w:val="auto"/>
                <w:w w:val="88"/>
              </w:rPr>
              <w:t>Steven M. Helmbrecht</w:t>
            </w:r>
          </w:p>
        </w:tc>
        <w:tc>
          <w:tcPr>
            <w:tcW w:w="10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363"/>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60" w:type="dxa"/>
            <w:vAlign w:val="bottom"/>
            <w:gridSpan w:val="4"/>
          </w:tcPr>
          <w:p>
            <w:pPr>
              <w:ind w:left="84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 w:firstLine="456"/>
        <w:spacing w:after="0" w:line="336"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on Form S-4 to be signed on its behalf by the undersigned, thereunto duly authorized, in the City of Spokane, State of Washington, on the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February, 2005.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ENGINEERING SERVICES,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7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Steven M. Helmbrecht</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Treasurer</w:t>
            </w:r>
          </w:p>
        </w:tc>
      </w:tr>
    </w:tbl>
    <w:p>
      <w:pPr>
        <w:spacing w:after="0" w:line="127" w:lineRule="exact"/>
        <w:rPr>
          <w:sz w:val="20"/>
          <w:szCs w:val="20"/>
          <w:color w:val="auto"/>
        </w:rPr>
      </w:pPr>
    </w:p>
    <w:p>
      <w:pPr>
        <w:ind w:right="54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on Form S-4 has been signed by the following persons in the capacities indicated below on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Signature</w:t>
            </w:r>
          </w:p>
        </w:tc>
        <w:tc>
          <w:tcPr>
            <w:tcW w:w="1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Title</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r>
      <w:tr>
        <w:trPr>
          <w:trHeight w:val="316"/>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c>
          <w:tcPr>
            <w:tcW w:w="1340" w:type="dxa"/>
            <w:vAlign w:val="bottom"/>
          </w:tcPr>
          <w:p>
            <w:pPr>
              <w:spacing w:after="0"/>
              <w:rPr>
                <w:sz w:val="24"/>
                <w:szCs w:val="24"/>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w w:val="94"/>
              </w:rPr>
              <w:t>President and Director (Principal Executive Officer)</w:t>
            </w:r>
          </w:p>
        </w:tc>
      </w:tr>
      <w:tr>
        <w:trPr>
          <w:trHeight w:val="110"/>
        </w:trPr>
        <w:tc>
          <w:tcPr>
            <w:tcW w:w="5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gridSpan w:val="3"/>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8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Robert D. Neilson</w:t>
            </w:r>
          </w:p>
        </w:tc>
        <w:tc>
          <w:tcPr>
            <w:tcW w:w="13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500" w:type="dxa"/>
            <w:vAlign w:val="bottom"/>
          </w:tcPr>
          <w:p>
            <w:pPr>
              <w:ind w:left="1320"/>
              <w:spacing w:after="0"/>
              <w:rPr>
                <w:sz w:val="20"/>
                <w:szCs w:val="20"/>
                <w:color w:val="auto"/>
              </w:rPr>
            </w:pPr>
            <w:r>
              <w:rPr>
                <w:rFonts w:ascii="Arial" w:cs="Arial" w:eastAsia="Arial" w:hAnsi="Arial"/>
                <w:sz w:val="18"/>
                <w:szCs w:val="18"/>
                <w:color w:val="auto"/>
                <w:w w:val="83"/>
              </w:rPr>
              <w:t>/s/</w:t>
            </w: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c>
          <w:tcPr>
            <w:tcW w:w="1340" w:type="dxa"/>
            <w:vAlign w:val="bottom"/>
          </w:tcPr>
          <w:p>
            <w:pPr>
              <w:spacing w:after="0"/>
              <w:rPr>
                <w:sz w:val="24"/>
                <w:szCs w:val="24"/>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w w:val="89"/>
              </w:rPr>
              <w:t>Treasurer (Principal Accounting and Financial Officer)</w:t>
            </w:r>
          </w:p>
        </w:tc>
      </w:tr>
      <w:tr>
        <w:trPr>
          <w:trHeight w:val="110"/>
        </w:trPr>
        <w:tc>
          <w:tcPr>
            <w:tcW w:w="5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gridSpan w:val="3"/>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8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Steven M. Helmbrecht</w:t>
            </w:r>
          </w:p>
        </w:tc>
        <w:tc>
          <w:tcPr>
            <w:tcW w:w="13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gridSpan w:val="3"/>
          </w:tcPr>
          <w:p>
            <w:pPr>
              <w:jc w:val="center"/>
              <w:ind w:right="7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P</w:t>
            </w:r>
            <w:r>
              <w:rPr>
                <w:rFonts w:ascii="Arial" w:cs="Arial" w:eastAsia="Arial" w:hAnsi="Arial"/>
                <w:sz w:val="14"/>
                <w:szCs w:val="14"/>
                <w:color w:val="auto"/>
              </w:rPr>
              <w:t>ENBERTHY</w:t>
            </w: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10"/>
        </w:trPr>
        <w:tc>
          <w:tcPr>
            <w:tcW w:w="5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gridSpan w:val="3"/>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8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Michael Penberthy</w:t>
            </w:r>
          </w:p>
        </w:tc>
        <w:tc>
          <w:tcPr>
            <w:tcW w:w="13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color w:val="auto"/>
              </w:rPr>
              <w:t>*By:</w:t>
            </w:r>
          </w:p>
        </w:tc>
        <w:tc>
          <w:tcPr>
            <w:tcW w:w="2880" w:type="dxa"/>
            <w:vAlign w:val="bottom"/>
            <w:gridSpan w:val="3"/>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c>
          <w:tcPr>
            <w:tcW w:w="1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0"/>
        </w:trPr>
        <w:tc>
          <w:tcPr>
            <w:tcW w:w="58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gridSpan w:val="2"/>
          </w:tcPr>
          <w:p>
            <w:pPr>
              <w:jc w:val="center"/>
              <w:ind w:right="540"/>
              <w:spacing w:after="0" w:line="131" w:lineRule="exact"/>
              <w:rPr>
                <w:sz w:val="20"/>
                <w:szCs w:val="20"/>
                <w:color w:val="auto"/>
              </w:rPr>
            </w:pPr>
            <w:r>
              <w:rPr>
                <w:rFonts w:ascii="Arial" w:cs="Arial" w:eastAsia="Arial" w:hAnsi="Arial"/>
                <w:sz w:val="14"/>
                <w:szCs w:val="14"/>
                <w:b w:val="1"/>
                <w:bCs w:val="1"/>
                <w:color w:val="auto"/>
                <w:w w:val="88"/>
              </w:rPr>
              <w:t>Robert D. Neilson</w:t>
            </w:r>
          </w:p>
        </w:tc>
        <w:tc>
          <w:tcPr>
            <w:tcW w:w="1340" w:type="dxa"/>
            <w:vAlign w:val="bottom"/>
            <w:tcBorders>
              <w:top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Attorney-in-Fact</w:t>
            </w:r>
          </w:p>
        </w:tc>
        <w:tc>
          <w:tcPr>
            <w:tcW w:w="1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3"/>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20" w:type="dxa"/>
            <w:vAlign w:val="bottom"/>
            <w:gridSpan w:val="4"/>
          </w:tcPr>
          <w:p>
            <w:pPr>
              <w:ind w:left="62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 w:firstLine="456"/>
        <w:spacing w:after="0" w:line="336"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on Form S-4 to be signed on its behalf by the undersigned, thereunto duly authorized, in the City of Spokane, State of Washington, on the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February, 2005.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EMD HOLDING,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ind w:left="10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r>
      <w:tr>
        <w:trPr>
          <w:trHeight w:val="110"/>
        </w:trPr>
        <w:tc>
          <w:tcPr>
            <w:tcW w:w="420" w:type="dxa"/>
            <w:vAlign w:val="bottom"/>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4"/>
                <w:szCs w:val="14"/>
                <w:b w:val="1"/>
                <w:bCs w:val="1"/>
                <w:color w:val="auto"/>
                <w:w w:val="93"/>
              </w:rPr>
              <w:t>Name:</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86"/>
              </w:rPr>
              <w:t>Robert D. Neilson</w:t>
            </w:r>
          </w:p>
        </w:tc>
      </w:tr>
      <w:tr>
        <w:trPr>
          <w:trHeight w:val="174"/>
        </w:trPr>
        <w:tc>
          <w:tcPr>
            <w:tcW w:w="42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Director</w:t>
            </w:r>
          </w:p>
        </w:tc>
      </w:tr>
    </w:tbl>
    <w:p>
      <w:pPr>
        <w:spacing w:after="0" w:line="127" w:lineRule="exact"/>
        <w:rPr>
          <w:sz w:val="20"/>
          <w:szCs w:val="20"/>
          <w:color w:val="auto"/>
        </w:rPr>
      </w:pPr>
    </w:p>
    <w:p>
      <w:pPr>
        <w:ind w:right="54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on Form S-4 has been signed by the following persons in the capacities indicated below on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w:t>
      </w:r>
    </w:p>
    <w:p>
      <w:pPr>
        <w:spacing w:after="0" w:line="17" w:lineRule="exact"/>
        <w:rPr>
          <w:sz w:val="20"/>
          <w:szCs w:val="20"/>
          <w:color w:val="auto"/>
        </w:rPr>
      </w:pPr>
    </w:p>
    <w:p>
      <w:pPr>
        <w:ind w:left="3020"/>
        <w:spacing w:after="0"/>
        <w:tabs>
          <w:tab w:leader="none" w:pos="89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68580</wp:posOffset>
            </wp:positionV>
            <wp:extent cx="4457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68580</wp:posOffset>
            </wp:positionV>
            <wp:extent cx="240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jc w:val="center"/>
              <w:ind w:left="13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D. N</w:t>
            </w:r>
            <w:r>
              <w:rPr>
                <w:rFonts w:ascii="Arial" w:cs="Arial" w:eastAsia="Arial" w:hAnsi="Arial"/>
                <w:sz w:val="14"/>
                <w:szCs w:val="14"/>
                <w:color w:val="auto"/>
              </w:rPr>
              <w:t>EILSON</w:t>
            </w:r>
          </w:p>
        </w:tc>
        <w:tc>
          <w:tcPr>
            <w:tcW w:w="166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President and Director (Principal Executive Officer)</w:t>
            </w:r>
          </w:p>
        </w:tc>
        <w:tc>
          <w:tcPr>
            <w:tcW w:w="0" w:type="dxa"/>
            <w:vAlign w:val="bottom"/>
          </w:tcPr>
          <w:p>
            <w:pPr>
              <w:spacing w:after="0"/>
              <w:rPr>
                <w:sz w:val="1"/>
                <w:szCs w:val="1"/>
                <w:color w:val="auto"/>
              </w:rPr>
            </w:pPr>
          </w:p>
        </w:tc>
      </w:tr>
      <w:tr>
        <w:trPr>
          <w:trHeight w:val="110"/>
        </w:trPr>
        <w:tc>
          <w:tcPr>
            <w:tcW w:w="492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20" w:type="dxa"/>
            <w:vAlign w:val="bottom"/>
          </w:tcPr>
          <w:p>
            <w:pPr>
              <w:jc w:val="center"/>
              <w:ind w:left="1602"/>
              <w:spacing w:after="0"/>
              <w:rPr>
                <w:sz w:val="20"/>
                <w:szCs w:val="20"/>
                <w:color w:val="auto"/>
              </w:rPr>
            </w:pPr>
            <w:r>
              <w:rPr>
                <w:rFonts w:ascii="Arial" w:cs="Arial" w:eastAsia="Arial" w:hAnsi="Arial"/>
                <w:sz w:val="14"/>
                <w:szCs w:val="14"/>
                <w:b w:val="1"/>
                <w:bCs w:val="1"/>
                <w:color w:val="auto"/>
                <w:w w:val="88"/>
              </w:rPr>
              <w:t>Robert D. Neilson</w:t>
            </w:r>
          </w:p>
        </w:tc>
        <w:tc>
          <w:tcPr>
            <w:tcW w:w="166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920" w:type="dxa"/>
            <w:vAlign w:val="bottom"/>
          </w:tcPr>
          <w:p>
            <w:pPr>
              <w:jc w:val="center"/>
              <w:ind w:left="1302"/>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c>
          <w:tcPr>
            <w:tcW w:w="1660" w:type="dxa"/>
            <w:vAlign w:val="bottom"/>
          </w:tcPr>
          <w:p>
            <w:pPr>
              <w:spacing w:after="0"/>
              <w:rPr>
                <w:sz w:val="24"/>
                <w:szCs w:val="24"/>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w w:val="88"/>
              </w:rPr>
              <w:t>Vice President, Treasurer and Director (Principal Accounting and</w:t>
            </w:r>
          </w:p>
        </w:tc>
        <w:tc>
          <w:tcPr>
            <w:tcW w:w="0" w:type="dxa"/>
            <w:vAlign w:val="bottom"/>
          </w:tcPr>
          <w:p>
            <w:pPr>
              <w:spacing w:after="0"/>
              <w:rPr>
                <w:sz w:val="1"/>
                <w:szCs w:val="1"/>
                <w:color w:val="auto"/>
              </w:rPr>
            </w:pPr>
          </w:p>
        </w:tc>
      </w:tr>
      <w:tr>
        <w:trPr>
          <w:trHeight w:val="116"/>
        </w:trPr>
        <w:tc>
          <w:tcPr>
            <w:tcW w:w="49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4800" w:type="dxa"/>
            <w:vAlign w:val="bottom"/>
            <w:vMerge w:val="restart"/>
          </w:tcPr>
          <w:p>
            <w:pPr>
              <w:ind w:left="4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86"/>
        </w:trPr>
        <w:tc>
          <w:tcPr>
            <w:tcW w:w="4920" w:type="dxa"/>
            <w:vAlign w:val="bottom"/>
            <w:vMerge w:val="restart"/>
          </w:tcPr>
          <w:p>
            <w:pPr>
              <w:jc w:val="center"/>
              <w:ind w:left="1582"/>
              <w:spacing w:after="0"/>
              <w:rPr>
                <w:sz w:val="20"/>
                <w:szCs w:val="20"/>
                <w:color w:val="auto"/>
              </w:rPr>
            </w:pPr>
            <w:r>
              <w:rPr>
                <w:rFonts w:ascii="Arial" w:cs="Arial" w:eastAsia="Arial" w:hAnsi="Arial"/>
                <w:sz w:val="14"/>
                <w:szCs w:val="14"/>
                <w:b w:val="1"/>
                <w:bCs w:val="1"/>
                <w:color w:val="auto"/>
                <w:w w:val="88"/>
              </w:rPr>
              <w:t>Steven M. Helmbrecht</w:t>
            </w:r>
          </w:p>
        </w:tc>
        <w:tc>
          <w:tcPr>
            <w:tcW w:w="1660" w:type="dxa"/>
            <w:vAlign w:val="bottom"/>
          </w:tcPr>
          <w:p>
            <w:pPr>
              <w:spacing w:after="0"/>
              <w:rPr>
                <w:sz w:val="7"/>
                <w:szCs w:val="7"/>
                <w:color w:val="auto"/>
              </w:rPr>
            </w:pPr>
          </w:p>
        </w:tc>
        <w:tc>
          <w:tcPr>
            <w:tcW w:w="4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92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920" w:type="dxa"/>
            <w:vAlign w:val="bottom"/>
          </w:tcPr>
          <w:p>
            <w:pPr>
              <w:spacing w:after="0"/>
              <w:rPr>
                <w:sz w:val="24"/>
                <w:szCs w:val="24"/>
                <w:color w:val="auto"/>
              </w:rPr>
            </w:pPr>
          </w:p>
        </w:tc>
        <w:tc>
          <w:tcPr>
            <w:tcW w:w="6460" w:type="dxa"/>
            <w:vAlign w:val="bottom"/>
            <w:gridSpan w:val="2"/>
          </w:tcPr>
          <w:p>
            <w:pPr>
              <w:ind w:left="66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 w:firstLine="456"/>
        <w:spacing w:after="0" w:line="336"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on Form S-4 to be signed on its behalf by the undersigned, thereunto duly authorized, in the City of Spokane, State of Washington, on the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February, 2005.</w:t>
      </w:r>
    </w:p>
    <w:p>
      <w:pPr>
        <w:spacing w:after="0" w:line="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ITRON ELECTRICITY METERING,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ALCOLM</w:t>
            </w:r>
            <w:r>
              <w:rPr>
                <w:rFonts w:ascii="Arial" w:cs="Arial" w:eastAsia="Arial" w:hAnsi="Arial"/>
                <w:sz w:val="18"/>
                <w:szCs w:val="18"/>
                <w:color w:val="auto"/>
              </w:rPr>
              <w:t xml:space="preserve"> U</w:t>
            </w:r>
            <w:r>
              <w:rPr>
                <w:rFonts w:ascii="Arial" w:cs="Arial" w:eastAsia="Arial" w:hAnsi="Arial"/>
                <w:sz w:val="14"/>
                <w:szCs w:val="14"/>
                <w:color w:val="auto"/>
              </w:rPr>
              <w:t>NSWORTH</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9"/>
              </w:rPr>
              <w:t>Malcolm Unsworth</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4"/>
              </w:rPr>
              <w:t>President</w:t>
            </w:r>
          </w:p>
        </w:tc>
      </w:tr>
    </w:tbl>
    <w:p>
      <w:pPr>
        <w:spacing w:after="0" w:line="127" w:lineRule="exact"/>
        <w:rPr>
          <w:sz w:val="20"/>
          <w:szCs w:val="20"/>
          <w:color w:val="auto"/>
        </w:rPr>
      </w:pPr>
    </w:p>
    <w:p>
      <w:pPr>
        <w:ind w:right="540"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on Form S-4 has been signed by the following persons in the capacities indicated below on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6"/>
              </w:rPr>
              <w:t>Signature</w:t>
            </w:r>
          </w:p>
        </w:tc>
        <w:tc>
          <w:tcPr>
            <w:tcW w:w="16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6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2440" w:type="dxa"/>
            <w:vAlign w:val="bottom"/>
          </w:tcPr>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gridSpan w:val="3"/>
          </w:tcPr>
          <w:p>
            <w:pPr>
              <w:jc w:val="center"/>
              <w:ind w:right="6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ALCOLM</w:t>
            </w:r>
            <w:r>
              <w:rPr>
                <w:rFonts w:ascii="Arial" w:cs="Arial" w:eastAsia="Arial" w:hAnsi="Arial"/>
                <w:sz w:val="18"/>
                <w:szCs w:val="18"/>
                <w:color w:val="auto"/>
              </w:rPr>
              <w:t xml:space="preserve"> U</w:t>
            </w:r>
            <w:r>
              <w:rPr>
                <w:rFonts w:ascii="Arial" w:cs="Arial" w:eastAsia="Arial" w:hAnsi="Arial"/>
                <w:sz w:val="14"/>
                <w:szCs w:val="14"/>
                <w:color w:val="auto"/>
              </w:rPr>
              <w:t>NSWORTH</w:t>
            </w:r>
          </w:p>
        </w:tc>
        <w:tc>
          <w:tcPr>
            <w:tcW w:w="1680" w:type="dxa"/>
            <w:vAlign w:val="bottom"/>
          </w:tcPr>
          <w:p>
            <w:pPr>
              <w:spacing w:after="0"/>
              <w:rPr>
                <w:sz w:val="24"/>
                <w:szCs w:val="24"/>
                <w:color w:val="auto"/>
              </w:rPr>
            </w:pPr>
          </w:p>
        </w:tc>
        <w:tc>
          <w:tcPr>
            <w:tcW w:w="4800" w:type="dxa"/>
            <w:vAlign w:val="bottom"/>
            <w:gridSpan w:val="3"/>
          </w:tcPr>
          <w:p>
            <w:pPr>
              <w:ind w:left="200"/>
              <w:spacing w:after="0"/>
              <w:rPr>
                <w:sz w:val="20"/>
                <w:szCs w:val="20"/>
                <w:color w:val="auto"/>
              </w:rPr>
            </w:pPr>
            <w:r>
              <w:rPr>
                <w:rFonts w:ascii="Arial" w:cs="Arial" w:eastAsia="Arial" w:hAnsi="Arial"/>
                <w:sz w:val="18"/>
                <w:szCs w:val="18"/>
                <w:color w:val="auto"/>
              </w:rPr>
              <w:t>President (Principal Executive Officer)</w:t>
            </w:r>
          </w:p>
        </w:tc>
        <w:tc>
          <w:tcPr>
            <w:tcW w:w="0" w:type="dxa"/>
            <w:vAlign w:val="bottom"/>
          </w:tcPr>
          <w:p>
            <w:pPr>
              <w:spacing w:after="0"/>
              <w:rPr>
                <w:sz w:val="1"/>
                <w:szCs w:val="1"/>
                <w:color w:val="auto"/>
              </w:rPr>
            </w:pPr>
          </w:p>
        </w:tc>
      </w:tr>
      <w:tr>
        <w:trPr>
          <w:trHeight w:val="110"/>
        </w:trPr>
        <w:tc>
          <w:tcPr>
            <w:tcW w:w="244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gridSpan w:val="3"/>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2"/>
                <w:szCs w:val="22"/>
                <w:color w:val="auto"/>
              </w:rPr>
            </w:pPr>
          </w:p>
        </w:tc>
        <w:tc>
          <w:tcPr>
            <w:tcW w:w="2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Malcolm Unsworth</w:t>
            </w:r>
          </w:p>
        </w:tc>
        <w:tc>
          <w:tcPr>
            <w:tcW w:w="16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900" w:type="dxa"/>
            <w:vAlign w:val="bottom"/>
            <w:gridSpan w:val="4"/>
          </w:tcPr>
          <w:p>
            <w:pPr>
              <w:ind w:left="20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c>
          <w:tcPr>
            <w:tcW w:w="1680" w:type="dxa"/>
            <w:vAlign w:val="bottom"/>
          </w:tcPr>
          <w:p>
            <w:pPr>
              <w:spacing w:after="0"/>
              <w:rPr>
                <w:sz w:val="24"/>
                <w:szCs w:val="24"/>
                <w:color w:val="auto"/>
              </w:rPr>
            </w:pPr>
          </w:p>
        </w:tc>
        <w:tc>
          <w:tcPr>
            <w:tcW w:w="4800" w:type="dxa"/>
            <w:vAlign w:val="bottom"/>
            <w:gridSpan w:val="3"/>
          </w:tcPr>
          <w:p>
            <w:pPr>
              <w:ind w:left="200"/>
              <w:spacing w:after="0"/>
              <w:rPr>
                <w:sz w:val="20"/>
                <w:szCs w:val="20"/>
                <w:color w:val="auto"/>
              </w:rPr>
            </w:pPr>
            <w:r>
              <w:rPr>
                <w:rFonts w:ascii="Arial" w:cs="Arial" w:eastAsia="Arial" w:hAnsi="Arial"/>
                <w:sz w:val="18"/>
                <w:szCs w:val="18"/>
                <w:color w:val="auto"/>
                <w:w w:val="88"/>
              </w:rPr>
              <w:t>Vice President, Treasurer and Director (Principal Accounting and</w:t>
            </w:r>
          </w:p>
        </w:tc>
        <w:tc>
          <w:tcPr>
            <w:tcW w:w="0" w:type="dxa"/>
            <w:vAlign w:val="bottom"/>
          </w:tcPr>
          <w:p>
            <w:pPr>
              <w:spacing w:after="0"/>
              <w:rPr>
                <w:sz w:val="1"/>
                <w:szCs w:val="1"/>
                <w:color w:val="auto"/>
              </w:rPr>
            </w:pPr>
          </w:p>
        </w:tc>
      </w:tr>
      <w:tr>
        <w:trPr>
          <w:trHeight w:val="116"/>
        </w:trPr>
        <w:tc>
          <w:tcPr>
            <w:tcW w:w="2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800" w:type="dxa"/>
            <w:vAlign w:val="bottom"/>
            <w:gridSpan w:val="3"/>
            <w:vMerge w:val="restart"/>
          </w:tcPr>
          <w:p>
            <w:pPr>
              <w:ind w:left="4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24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88"/>
              </w:rPr>
              <w:t>Steven M. Helmbrecht</w:t>
            </w:r>
          </w:p>
        </w:tc>
        <w:tc>
          <w:tcPr>
            <w:tcW w:w="1680" w:type="dxa"/>
            <w:vAlign w:val="bottom"/>
          </w:tcPr>
          <w:p>
            <w:pPr>
              <w:spacing w:after="0"/>
              <w:rPr>
                <w:sz w:val="7"/>
                <w:szCs w:val="7"/>
                <w:color w:val="auto"/>
              </w:rPr>
            </w:pPr>
          </w:p>
        </w:tc>
        <w:tc>
          <w:tcPr>
            <w:tcW w:w="4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15"/>
                <w:szCs w:val="15"/>
                <w:color w:val="auto"/>
              </w:rPr>
            </w:pPr>
          </w:p>
        </w:tc>
        <w:tc>
          <w:tcPr>
            <w:tcW w:w="2460" w:type="dxa"/>
            <w:vAlign w:val="bottom"/>
            <w:gridSpan w:val="3"/>
            <w:vMerge w:val="continue"/>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440" w:type="dxa"/>
            <w:vAlign w:val="bottom"/>
          </w:tcPr>
          <w:p>
            <w:pPr>
              <w:ind w:left="2240"/>
              <w:spacing w:after="0"/>
              <w:rPr>
                <w:sz w:val="20"/>
                <w:szCs w:val="20"/>
                <w:color w:val="auto"/>
              </w:rPr>
            </w:pPr>
            <w:r>
              <w:rPr>
                <w:rFonts w:ascii="Arial" w:cs="Arial" w:eastAsia="Arial" w:hAnsi="Arial"/>
                <w:sz w:val="18"/>
                <w:szCs w:val="18"/>
                <w:color w:val="auto"/>
                <w:w w:val="94"/>
              </w:rPr>
              <w:t>/s/</w:t>
            </w:r>
          </w:p>
        </w:tc>
        <w:tc>
          <w:tcPr>
            <w:tcW w:w="2460" w:type="dxa"/>
            <w:vAlign w:val="bottom"/>
            <w:gridSpan w:val="3"/>
          </w:tcPr>
          <w:p>
            <w:pPr>
              <w:jc w:val="center"/>
              <w:ind w:right="7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D. N</w:t>
            </w:r>
            <w:r>
              <w:rPr>
                <w:rFonts w:ascii="Arial" w:cs="Arial" w:eastAsia="Arial" w:hAnsi="Arial"/>
                <w:sz w:val="14"/>
                <w:szCs w:val="14"/>
                <w:color w:val="auto"/>
                <w:w w:val="96"/>
              </w:rPr>
              <w:t>EILSON</w:t>
            </w:r>
          </w:p>
        </w:tc>
        <w:tc>
          <w:tcPr>
            <w:tcW w:w="1680" w:type="dxa"/>
            <w:vAlign w:val="bottom"/>
          </w:tcPr>
          <w:p>
            <w:pPr>
              <w:spacing w:after="0"/>
              <w:rPr>
                <w:sz w:val="24"/>
                <w:szCs w:val="24"/>
                <w:color w:val="auto"/>
              </w:rPr>
            </w:pPr>
          </w:p>
        </w:tc>
        <w:tc>
          <w:tcPr>
            <w:tcW w:w="48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44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gridSpan w:val="3"/>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2"/>
                <w:szCs w:val="22"/>
                <w:color w:val="auto"/>
              </w:rPr>
            </w:pPr>
          </w:p>
        </w:tc>
        <w:tc>
          <w:tcPr>
            <w:tcW w:w="2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Robert D. Neilson</w:t>
            </w:r>
          </w:p>
        </w:tc>
        <w:tc>
          <w:tcPr>
            <w:tcW w:w="16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80" w:type="dxa"/>
            <w:vAlign w:val="bottom"/>
            <w:gridSpan w:val="4"/>
          </w:tcPr>
          <w:p>
            <w:pPr>
              <w:ind w:left="640"/>
              <w:spacing w:after="0"/>
              <w:rPr>
                <w:sz w:val="20"/>
                <w:szCs w:val="20"/>
                <w:color w:val="auto"/>
              </w:rPr>
            </w:pPr>
            <w:r>
              <w:rPr>
                <w:rFonts w:ascii="Arial" w:cs="Arial" w:eastAsia="Arial" w:hAnsi="Arial"/>
                <w:sz w:val="18"/>
                <w:szCs w:val="18"/>
                <w:color w:val="auto"/>
              </w:rPr>
              <w:t>II-10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82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4940" w:type="dxa"/>
            <w:vAlign w:val="bottom"/>
          </w:tcPr>
          <w:p>
            <w:pPr>
              <w:spacing w:after="0"/>
              <w:rPr>
                <w:sz w:val="15"/>
                <w:szCs w:val="15"/>
                <w:color w:val="auto"/>
              </w:rPr>
            </w:pPr>
          </w:p>
        </w:tc>
        <w:tc>
          <w:tcPr>
            <w:tcW w:w="5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1"/>
              </w:rPr>
              <w:t>Agreement and Plan of Reorganization between Itron, Inc. and LineSoft Corporation dated February 14, 2002. (filed as Exhibit 2.1 to Itron,</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Inc.’s Report on Form 8-K dated March 1, 2002—File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 9,</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2002. (filed as Exhibit 2.2 to Itron, Inc.’s Report on Form 10-K dated March 27, 2003—File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2"/>
              </w:rPr>
              <w:t>Combination Agreement By and Among eMobile Data Corporation, Marc Jones, eMD Combination, Inc. and Itron, Inc. dated August 30,</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2002. (filed as Exhibit 2.3 to Itron, Inc.’s Report on Form 10-K dated March 27, 2003—File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1"/>
              </w:rPr>
              <w:t>Agreement and Plan of Merger By and Among Silicon Energy Corp., Shadow Combination, Inc. and Itron, Inc. dated January 18, 2003 as</w:t>
            </w:r>
          </w:p>
        </w:tc>
      </w:tr>
      <w:tr>
        <w:trPr>
          <w:trHeight w:val="216"/>
        </w:trPr>
        <w:tc>
          <w:tcPr>
            <w:tcW w:w="600" w:type="dxa"/>
            <w:vAlign w:val="bottom"/>
          </w:tcPr>
          <w:p>
            <w:pPr>
              <w:spacing w:after="0"/>
              <w:rPr>
                <w:sz w:val="18"/>
                <w:szCs w:val="18"/>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0"/>
              </w:rPr>
              <w:t>amended on February 27, 2003 and February 28, 2003. (filed as Exhibit 2.1 to Itron, Inc.’s Report on Form 8-K dated March 19, 2003—File</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88"/>
              </w:rPr>
              <w:t>Corrected Schedule 1.1 of First Amendment dated February 27, 2003 of the Agreement and Plan of Merger, by and among Itron, Inc., Shadow</w:t>
            </w:r>
          </w:p>
        </w:tc>
      </w:tr>
      <w:tr>
        <w:trPr>
          <w:trHeight w:val="216"/>
        </w:trPr>
        <w:tc>
          <w:tcPr>
            <w:tcW w:w="600" w:type="dxa"/>
            <w:vAlign w:val="bottom"/>
          </w:tcPr>
          <w:p>
            <w:pPr>
              <w:spacing w:after="0"/>
              <w:rPr>
                <w:sz w:val="18"/>
                <w:szCs w:val="18"/>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1"/>
              </w:rPr>
              <w:t>Combination, Inc. and Silicon Energy Corp. (filed as Exhibit 2.1.1 to Itron, Inc.’s Report on Form 8-K/A dated March 26, 2003—File No. 0-</w:t>
            </w:r>
          </w:p>
        </w:tc>
      </w:tr>
      <w:tr>
        <w:trPr>
          <w:trHeight w:val="222"/>
        </w:trPr>
        <w:tc>
          <w:tcPr>
            <w:tcW w:w="600" w:type="dxa"/>
            <w:vAlign w:val="bottom"/>
          </w:tcPr>
          <w:p>
            <w:pPr>
              <w:spacing w:after="0"/>
              <w:rPr>
                <w:sz w:val="19"/>
                <w:szCs w:val="19"/>
                <w:color w:val="auto"/>
              </w:rPr>
            </w:pPr>
          </w:p>
        </w:tc>
        <w:tc>
          <w:tcPr>
            <w:tcW w:w="4940" w:type="dxa"/>
            <w:vAlign w:val="bottom"/>
          </w:tcPr>
          <w:p>
            <w:pPr>
              <w:ind w:left="780"/>
              <w:spacing w:after="0"/>
              <w:rPr>
                <w:sz w:val="20"/>
                <w:szCs w:val="20"/>
                <w:color w:val="auto"/>
              </w:rPr>
            </w:pPr>
            <w:r>
              <w:rPr>
                <w:rFonts w:ascii="Arial" w:cs="Arial" w:eastAsia="Arial" w:hAnsi="Arial"/>
                <w:sz w:val="18"/>
                <w:szCs w:val="18"/>
                <w:color w:val="auto"/>
              </w:rPr>
              <w:t>22418)</w:t>
            </w:r>
          </w:p>
        </w:tc>
        <w:tc>
          <w:tcPr>
            <w:tcW w:w="170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89"/>
              </w:rPr>
              <w:t>Amended &amp; Restated Purchase Agreement dated July 1, 2004, by and among Itron, Inc., Itron Canada, Inc., Itron France and Schlumberger</w:t>
            </w:r>
          </w:p>
        </w:tc>
      </w:tr>
      <w:tr>
        <w:trPr>
          <w:trHeight w:val="216"/>
        </w:trPr>
        <w:tc>
          <w:tcPr>
            <w:tcW w:w="600" w:type="dxa"/>
            <w:vAlign w:val="bottom"/>
          </w:tcPr>
          <w:p>
            <w:pPr>
              <w:spacing w:after="0"/>
              <w:rPr>
                <w:sz w:val="18"/>
                <w:szCs w:val="18"/>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2"/>
              </w:rPr>
              <w:t>Electricity, Inc., Schlumberger Technology Corporation, Schlumberger Canada Limited, BVI Holdings Limited, Axalto S.A., Schlumberger</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0"/>
              </w:rPr>
              <w:t>Amended and Restated Articles of Incorporation of Itron, Inc. (filed as Exhibit 3.1 to Itron, Inc.’s Report on Form 10-K dated March 27, 2003</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Amended and Restated Bylaws of Itron, Inc. (filed as Exhibit 3.2 to Itron, Inc.’s Quarterly Report on</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Form 10-Q dated August 12, 2002—File No. 0-22418)</w:t>
            </w:r>
          </w:p>
        </w:tc>
      </w:tr>
      <w:tr>
        <w:trPr>
          <w:trHeight w:val="338"/>
        </w:trPr>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Bylaws of EMD Holding,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Articles of Incorporation of EMD Holding,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Certificate of Amendment of Schlumberger Electricity, Inc. (now Itron Electricity Metering,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Bylaws of Schlumberger Electricity, Inc. (now Itron Electricity Metering, Inc.)**</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2"/>
              </w:rPr>
              <w:t>Certificate of Incorporation of Schlumberger Electricity, Inc. (now Itron Electricity Metering, Inc.) (filed as Exhibit 3.7 to Itron, Inc.’s Report</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on Form S-4/A dated September 9, 2004—File 333-118782)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Bylaws of Itron Engineering Services,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Articles of Incorporation of Itron Spectrum Holdings, Inc. (now Itron Engineering Services,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Articles of Amendment of Itron Spectrum Holdings, Inc. changing its name to Itron Engineering Services,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Bylaws of Itron International, Inc.**</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Certificate of Incorporation of Itron International, Inc.**</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0"/>
              </w:rPr>
              <w:t>Rights Agreement between Itron, Inc. and Mellon Investor Services LLC, as Rights Agent, dated as of December 11, 2002. (filed as Exhibit</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4.1 to Itron, Inc.’s Registration of Securities on Form 8-A, filed on December 12, 2002—File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90"/>
              </w:rPr>
              <w:t>Credit Agreement, dated December 17, 2003, by and among Itron, Inc. and Bear Stearns Corporate Lending Inc. as Syndication Agent and</w:t>
            </w:r>
          </w:p>
        </w:tc>
      </w:tr>
      <w:tr>
        <w:trPr>
          <w:trHeight w:val="216"/>
        </w:trPr>
        <w:tc>
          <w:tcPr>
            <w:tcW w:w="600" w:type="dxa"/>
            <w:vAlign w:val="bottom"/>
          </w:tcPr>
          <w:p>
            <w:pPr>
              <w:spacing w:after="0"/>
              <w:rPr>
                <w:sz w:val="18"/>
                <w:szCs w:val="18"/>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89"/>
              </w:rPr>
              <w:t>Wells Fargo Bank, National Association, as Administrative Agent. (filed as Exhibit 4.1 to Itron, Inc.’s Report on Form 8-K dated July 15, 2004</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—File No. 0-22418)</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First Amendment to Credit Agreement, dated March 15, 2004, by and among Itron, Inc. and Bear Stearns Corporate Lending Inc. as Syndication</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Agent and Wells Fargo Bank, National Association, as Administrative Agent. (filed as Exhibit 4.2 to Itron, Inc.’s Report on Form 8-K dated July</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15, 2004—File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10600" w:type="dxa"/>
            <w:vAlign w:val="bottom"/>
          </w:tcPr>
          <w:p>
            <w:pPr>
              <w:ind w:left="280"/>
              <w:spacing w:after="0"/>
              <w:rPr>
                <w:sz w:val="20"/>
                <w:szCs w:val="20"/>
                <w:color w:val="auto"/>
              </w:rPr>
            </w:pPr>
            <w:r>
              <w:rPr>
                <w:rFonts w:ascii="Arial" w:cs="Arial" w:eastAsia="Arial" w:hAnsi="Arial"/>
                <w:sz w:val="18"/>
                <w:szCs w:val="18"/>
                <w:color w:val="auto"/>
                <w:w w:val="88"/>
              </w:rPr>
              <w:t>Second Amendment to Credit Agreement, dated May 14, 2004, by and among Itron, Inc. and Bear Stearns Corporate Lending Inc. as Syndication</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Agent and Wells Fargo Bank, National Association, as Administrative Agent. (filed as Exhibit 4.3 to Itron, Inc.’s Report on Form 8-K dated July</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15, 2004—File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Third Amendment to Credit Agreement, dated June 30, 2004, by and among Itron, Inc. and Bear Stearns Corporate Lending Inc. as Syndication</w:t>
            </w:r>
          </w:p>
        </w:tc>
      </w:tr>
      <w:tr>
        <w:trPr>
          <w:trHeight w:val="216"/>
        </w:trPr>
        <w:tc>
          <w:tcPr>
            <w:tcW w:w="6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Agent and Wells Fargo Bank, National Association, as Administrative Agent. (filed as Exhibit 4.4 to Itron, Inc.’s Report on Form 8-K dated July</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15, 2004—File No. 0-22418)</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10600" w:type="dxa"/>
            <w:vAlign w:val="bottom"/>
          </w:tcPr>
          <w:p>
            <w:pPr>
              <w:ind w:left="280"/>
              <w:spacing w:after="0"/>
              <w:rPr>
                <w:sz w:val="20"/>
                <w:szCs w:val="20"/>
                <w:color w:val="auto"/>
              </w:rPr>
            </w:pPr>
            <w:r>
              <w:rPr>
                <w:rFonts w:ascii="Arial" w:cs="Arial" w:eastAsia="Arial" w:hAnsi="Arial"/>
                <w:sz w:val="18"/>
                <w:szCs w:val="18"/>
                <w:color w:val="auto"/>
              </w:rPr>
              <w:t>Form of Itron, Inc.’s 7.75% Exchange Note due 2012.**</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4.7</w:t>
            </w:r>
          </w:p>
        </w:tc>
        <w:tc>
          <w:tcPr>
            <w:tcW w:w="10600" w:type="dxa"/>
            <w:vAlign w:val="bottom"/>
          </w:tcPr>
          <w:p>
            <w:pPr>
              <w:ind w:left="280"/>
              <w:spacing w:after="0"/>
              <w:rPr>
                <w:sz w:val="20"/>
                <w:szCs w:val="20"/>
                <w:color w:val="auto"/>
              </w:rPr>
            </w:pPr>
            <w:r>
              <w:rPr>
                <w:rFonts w:ascii="Arial" w:cs="Arial" w:eastAsia="Arial" w:hAnsi="Arial"/>
                <w:sz w:val="18"/>
                <w:szCs w:val="18"/>
                <w:color w:val="auto"/>
              </w:rPr>
              <w:t>Indenture relating to Itron, Inc.’s 7.75% Senior Subordinated Notes due 2002, dated as of May 10, 2004.**</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among Itron, Inc. domestic subsidiaries listed on Schedule I thereto and Bear, Stearns &amp; Co. Inc. dated May 10,</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2004. (filed as Exhibit 4.8 to Itron, Inc.’s Report on Form S-4/A dated September 9, 2004—File No. 333-118782)</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10600" w:type="dxa"/>
            <w:vAlign w:val="bottom"/>
          </w:tcPr>
          <w:p>
            <w:pPr>
              <w:ind w:left="280"/>
              <w:spacing w:after="0"/>
              <w:rPr>
                <w:sz w:val="20"/>
                <w:szCs w:val="20"/>
                <w:color w:val="auto"/>
              </w:rPr>
            </w:pPr>
            <w:r>
              <w:rPr>
                <w:rFonts w:ascii="Arial" w:cs="Arial" w:eastAsia="Arial" w:hAnsi="Arial"/>
                <w:sz w:val="18"/>
                <w:szCs w:val="18"/>
                <w:color w:val="auto"/>
              </w:rPr>
              <w:t>Opinion of Perkins Coie LLP as to the legality of the Exchange Notes issued by Itron, Inc.**</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8.1</w:t>
            </w:r>
          </w:p>
        </w:tc>
        <w:tc>
          <w:tcPr>
            <w:tcW w:w="10600" w:type="dxa"/>
            <w:vAlign w:val="bottom"/>
          </w:tcPr>
          <w:p>
            <w:pPr>
              <w:ind w:left="280"/>
              <w:spacing w:after="0"/>
              <w:rPr>
                <w:sz w:val="20"/>
                <w:szCs w:val="20"/>
                <w:color w:val="auto"/>
              </w:rPr>
            </w:pPr>
            <w:r>
              <w:rPr>
                <w:rFonts w:ascii="Arial" w:cs="Arial" w:eastAsia="Arial" w:hAnsi="Arial"/>
                <w:sz w:val="18"/>
                <w:szCs w:val="18"/>
                <w:color w:val="auto"/>
              </w:rPr>
              <w:t>Opinion of Perkins Coie LLP, special tax counsel, as to certain U.S. federal income tax matters.**</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Form of Change of Control Agreement between Itron, Inc. and certain of its executive officers. (filed as Exhibit 10.1 to Itron, Inc.’s Report on</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Form 10-K dated March 26, 2000—File No. 0-22418)</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10.2</w:t>
            </w:r>
          </w:p>
        </w:tc>
        <w:tc>
          <w:tcPr>
            <w:tcW w:w="10600" w:type="dxa"/>
            <w:vAlign w:val="bottom"/>
          </w:tcPr>
          <w:p>
            <w:pPr>
              <w:ind w:left="280"/>
              <w:spacing w:after="0"/>
              <w:rPr>
                <w:sz w:val="20"/>
                <w:szCs w:val="20"/>
                <w:color w:val="auto"/>
              </w:rPr>
            </w:pPr>
            <w:r>
              <w:rPr>
                <w:rFonts w:ascii="Arial" w:cs="Arial" w:eastAsia="Arial" w:hAnsi="Arial"/>
                <w:sz w:val="18"/>
                <w:szCs w:val="18"/>
                <w:color w:val="auto"/>
                <w:w w:val="99"/>
              </w:rPr>
              <w:t>Schedule of certain executive officers who are parties to Change of Control Agreements (see Exhibit 10.1 hereto) with Itron, Inc.**</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Amended and Restated 2000 Stock Incentive Plan. (filed as Appendix A to Itron, Inc.’s designated Proxy Statement dated April 21, 2003 for its</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meeting of shareholder’s held on May 23, 2003—File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Amended and Restated Stock Option Grant Program for Non-employee Directors under the Itron, Inc. 2000 Stock Incentive Plan. (filed as Exhibit</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10.22 to Itron, Inc.’s Report on Form 10-K dated March 28, 2002—File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Executive Deferred Compensation Plan.* (filed as Exhibit 10.12 to Itron, Inc.’s Registration Statement on Form S-1 (Registration #33-49832), as</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amended, filed on July 22, 1992)</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Form of Indemnification Agreements between Itron, Inc. and certain directors and officers. (filed as Exhibit 10.9 to Itron, Inc.’s Report on Form</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10-K dated March 26, 2000—File No. 0-22418)</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10.7</w:t>
            </w:r>
          </w:p>
        </w:tc>
        <w:tc>
          <w:tcPr>
            <w:tcW w:w="10600" w:type="dxa"/>
            <w:vAlign w:val="bottom"/>
          </w:tcPr>
          <w:p>
            <w:pPr>
              <w:ind w:left="280"/>
              <w:spacing w:after="0"/>
              <w:rPr>
                <w:sz w:val="20"/>
                <w:szCs w:val="20"/>
                <w:color w:val="auto"/>
              </w:rPr>
            </w:pPr>
            <w:r>
              <w:rPr>
                <w:rFonts w:ascii="Arial" w:cs="Arial" w:eastAsia="Arial" w:hAnsi="Arial"/>
                <w:sz w:val="18"/>
                <w:szCs w:val="18"/>
                <w:color w:val="auto"/>
                <w:w w:val="97"/>
              </w:rPr>
              <w:t>Schedule of directors and executive officers who are parties to Indemnification Agreements (see Exhibit 10.6 hereto) with Itron, Inc.**</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10.8</w:t>
            </w: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Agreement dated December 24, 2004 between Itron, Inc. and David G. Remington (filed as Exhibit 10.1 to Itron, Inc.’s Current Report on Form 8-</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K dated December 30, 2004—File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10.9</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Office Lease between Itron, Inc. and Woodville Leasing Inc. dated October 4, 1993. (filed as Exhibit 10.24 to Itron, Inc.’s Report on Form 10-K</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filed on March 30, 1994—File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10.10</w:t>
            </w: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Asset Purchase Agreement between Itron, Inc. and DataCom Information Systems, LLC (e.g. an affiliate of Duquesne Light Company) dated</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10.11</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Amended and Restated Warranty and Maintenance Agreement between Itron, Inc. and Duquesne Light Company dated May 1, 2003. (filed as</w:t>
            </w:r>
          </w:p>
        </w:tc>
      </w:tr>
      <w:tr>
        <w:trPr>
          <w:trHeight w:val="222"/>
        </w:trPr>
        <w:tc>
          <w:tcPr>
            <w:tcW w:w="6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10.13 to Itron, Inc.’s Quarterly Report on Form 10-Q dated May 9, 2003—File No. 0-22418)</w:t>
            </w:r>
          </w:p>
        </w:tc>
      </w:tr>
    </w:tbl>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8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280" w:hanging="961"/>
        <w:spacing w:after="0" w:line="268" w:lineRule="auto"/>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Contribution Agreement between Itron, Inc. and Servatron, Inc. dated May 15, 2000. (filed as Exhibit 10.22 to Itron, Inc.’s Quarterly Report on Form 10-Q dated August 14, 2000—File No. 0-22418)</w:t>
      </w:r>
    </w:p>
    <w:p>
      <w:pPr>
        <w:spacing w:after="0" w:line="78" w:lineRule="exact"/>
        <w:rPr>
          <w:sz w:val="20"/>
          <w:szCs w:val="20"/>
          <w:color w:val="auto"/>
        </w:rPr>
      </w:pPr>
    </w:p>
    <w:p>
      <w:pPr>
        <w:ind w:left="1040" w:right="100" w:hanging="961"/>
        <w:spacing w:after="0" w:line="268"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2002 Employee Stock Purchase Plan. (filed as Appendix B to Itron, Inc.’s designated Proxy Statement dated April 16, 2002 for its annual meeting of shareholders held on May 24, 2002—File No. 0-22418)</w:t>
      </w:r>
    </w:p>
    <w:p>
      <w:pPr>
        <w:spacing w:after="0" w:line="78" w:lineRule="exact"/>
        <w:rPr>
          <w:sz w:val="20"/>
          <w:szCs w:val="20"/>
          <w:color w:val="auto"/>
        </w:rPr>
      </w:pPr>
    </w:p>
    <w:p>
      <w:pPr>
        <w:jc w:val="both"/>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Credit Agreement among Itron, Inc., the lenders listed and Wells Fargo Bank, National Association dated March 4, 2003. (filed as Exhibit 4.1 to Itron, Inc.’s Report on Form 8-K dated March 19, 2003—File No. 0-22418)</w:t>
      </w:r>
    </w:p>
    <w:p>
      <w:pPr>
        <w:spacing w:after="0" w:line="78" w:lineRule="exact"/>
        <w:rPr>
          <w:sz w:val="20"/>
          <w:szCs w:val="20"/>
          <w:color w:val="auto"/>
        </w:rPr>
      </w:pPr>
    </w:p>
    <w:p>
      <w:pPr>
        <w:jc w:val="both"/>
        <w:ind w:left="1040" w:right="220" w:hanging="961"/>
        <w:spacing w:after="0" w:line="259"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First Amendment to Credit Agreement dated March 20, 2003 and entered into by and among Itron, Inc., the lenders listed, LaSalle Bank, N.A., KeyBank N.A. and Wells Fargo Bank, N.A., and is made with reference to the Credit Agreement dated March 4, 2003. (filed as Exhibit 10.18 to Itron, Inc.’s Quarterly Report on Form 10-Q dated May 9, 2003—File No. 0-22418)</w:t>
      </w:r>
    </w:p>
    <w:p>
      <w:pPr>
        <w:spacing w:after="0" w:line="86" w:lineRule="exact"/>
        <w:rPr>
          <w:sz w:val="20"/>
          <w:szCs w:val="20"/>
          <w:color w:val="auto"/>
        </w:rPr>
      </w:pPr>
    </w:p>
    <w:p>
      <w:pPr>
        <w:ind w:left="1040" w:hanging="961"/>
        <w:spacing w:after="0" w:line="259" w:lineRule="auto"/>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Second Amendment to Credit Agreement dated October 23, 2003 and entered into by and among Itron, Inc., the lenders listed, LaSalle Bank, N.A., KeyBank N.A. and Wells Fargo Bank, N.A., and is made with reference to the Credit Agreement dated March 4, 2003. (filed as Exhibit 10.19 to Itron, Inc.’s Quarterly Report on Form 10-Q dated November 13, 2003—File No. 0-22418)</w:t>
      </w:r>
    </w:p>
    <w:p>
      <w:pPr>
        <w:spacing w:after="0" w:line="86" w:lineRule="exact"/>
        <w:rPr>
          <w:sz w:val="20"/>
          <w:szCs w:val="20"/>
          <w:color w:val="auto"/>
        </w:rPr>
      </w:pPr>
    </w:p>
    <w:p>
      <w:pPr>
        <w:ind w:left="1040" w:right="60" w:hanging="961"/>
        <w:spacing w:after="0" w:line="259"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Credit Agreement among Itron, Inc., several lenders from time to time parties hereto, Bear Stearns Corporate Lending, Inc. and Wells Fargo Bank, National Association dated December 17, 2003. (filed as Exhibit 10.17 to Itron, Inc.’s Annual Report on Form 10-K dated March 12, 2004—File No. 0-22418)</w:t>
      </w:r>
    </w:p>
    <w:p>
      <w:pPr>
        <w:spacing w:after="0" w:line="86"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Interest Rate Swap Transaction Agreement among Itron, Inc. and U.S. Bank National Association dated September 29, 2004 (filed as Exhibit 10.1 to Itron. Inc.’s Current Report on Form 8-K dated October 1, 2004—File 0-22418)</w:t>
      </w:r>
    </w:p>
    <w:p>
      <w:pPr>
        <w:spacing w:after="0" w:line="78" w:lineRule="exact"/>
        <w:rPr>
          <w:sz w:val="20"/>
          <w:szCs w:val="20"/>
          <w:color w:val="auto"/>
        </w:rPr>
      </w:pPr>
    </w:p>
    <w:p>
      <w:pPr>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Rate Cap Transaction Agreement among Itron, Inc. and KeyBank National Association dated September 29, 2004 (filed as Exhibit 10.2 to Itron, Inc.’s Current Report on Form 8-K dated October 1, 2004—File No. 0-22418)</w:t>
      </w:r>
    </w:p>
    <w:p>
      <w:pPr>
        <w:spacing w:after="0" w:line="78"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 Computation of Ratios.</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 Deloitte &amp; Touche LLP.</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Independent Registered Public Accounting Firm — PricewaterhouseCoopers LLP.</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Perkins Coie, LLP. (included in Exhibit 5.1 and Exhibit 8.1)</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(contained on signature page)**</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Deutsche Bank Trust Company Americas to act as trustee under the indenture.**</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Letter of Transmittal.**</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Form of Notice of Guaranteed Delivery.**</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Form of Letter to Depository Trust Company Participants.**</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Letter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right="6700" w:firstLine="8"/>
        <w:spacing w:after="0" w:line="305" w:lineRule="auto"/>
        <w:tabs>
          <w:tab w:leader="none" w:pos="44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 Previously filed on Form S-4 dated September 3, 2004.</w:t>
      </w: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To be filed by amendment.</w:t>
      </w:r>
    </w:p>
    <w:p>
      <w:pPr>
        <w:sectPr>
          <w:pgSz w:w="11900" w:h="16838" w:orient="portrait"/>
          <w:cols w:equalWidth="0" w:num="1">
            <w:col w:w="11400"/>
          </w:cols>
          <w:pgMar w:left="240" w:top="459" w:right="2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Exhibit 12.1</w:t>
            </w:r>
          </w:p>
        </w:tc>
        <w:tc>
          <w:tcPr>
            <w:tcW w:w="0" w:type="dxa"/>
            <w:vAlign w:val="bottom"/>
          </w:tcPr>
          <w:p>
            <w:pPr>
              <w:spacing w:after="0"/>
              <w:rPr>
                <w:sz w:val="1"/>
                <w:szCs w:val="1"/>
                <w:color w:val="auto"/>
              </w:rPr>
            </w:pPr>
          </w:p>
        </w:tc>
      </w:tr>
      <w:tr>
        <w:trPr>
          <w:trHeight w:val="28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8"/>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620" w:type="dxa"/>
            <w:vAlign w:val="bottom"/>
          </w:tcPr>
          <w:p>
            <w:pPr>
              <w:jc w:val="right"/>
              <w:ind w:right="14"/>
              <w:spacing w:after="0"/>
              <w:rPr>
                <w:sz w:val="20"/>
                <w:szCs w:val="20"/>
                <w:color w:val="auto"/>
              </w:rPr>
            </w:pPr>
            <w:r>
              <w:rPr>
                <w:rFonts w:ascii="Arial" w:cs="Arial" w:eastAsia="Arial" w:hAnsi="Arial"/>
                <w:sz w:val="14"/>
                <w:szCs w:val="14"/>
                <w:b w:val="1"/>
                <w:bCs w:val="1"/>
                <w:color w:val="auto"/>
              </w:rPr>
              <w:t>9/30/04</w:t>
            </w:r>
          </w:p>
        </w:tc>
        <w:tc>
          <w:tcPr>
            <w:tcW w:w="120" w:type="dxa"/>
            <w:vAlign w:val="bottom"/>
          </w:tcPr>
          <w:p>
            <w:pPr>
              <w:spacing w:after="0"/>
              <w:rPr>
                <w:sz w:val="22"/>
                <w:szCs w:val="22"/>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8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2000</w:t>
            </w:r>
          </w:p>
        </w:tc>
        <w:tc>
          <w:tcPr>
            <w:tcW w:w="60" w:type="dxa"/>
            <w:vAlign w:val="bottom"/>
          </w:tcPr>
          <w:p>
            <w:pPr>
              <w:spacing w:after="0"/>
              <w:rPr>
                <w:sz w:val="22"/>
                <w:szCs w:val="22"/>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4"/>
              </w:rPr>
              <w:t>(dollars in thousands, except ratios)</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Pre-tax income (loss)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2,736</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$ 17,899</w:t>
            </w:r>
          </w:p>
        </w:tc>
        <w:tc>
          <w:tcPr>
            <w:tcW w:w="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$ 18,859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$ 21,366</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8,538</w:t>
            </w:r>
          </w:p>
        </w:tc>
        <w:tc>
          <w:tcPr>
            <w:tcW w:w="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 (94,636)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equity in affiliates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(94,036)</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2"/>
                <w:szCs w:val="22"/>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Interest portion of rent expense</w:t>
            </w:r>
          </w:p>
        </w:tc>
        <w:tc>
          <w:tcPr>
            <w:tcW w:w="62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 Fixed charges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2"/>
                <w:szCs w:val="22"/>
                <w:color w:val="auto"/>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13,702</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(86,502)</w:t>
            </w: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Ratios: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line="218" w:lineRule="exact"/>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2"/>
                <w:szCs w:val="22"/>
                <w:color w:val="auto"/>
                <w:vertAlign w:val="superscript"/>
              </w:rPr>
              <w:t>(b/a)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Deficit of earnings to fixed charges</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660" w:type="dxa"/>
            <w:vAlign w:val="bottom"/>
            <w:gridSpan w:val="2"/>
          </w:tcPr>
          <w:p>
            <w:pPr>
              <w:ind w:left="420"/>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(94,036)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420" w:hanging="452"/>
        <w:spacing w:after="0" w:line="254"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expense, gross includes amortization of prepaid debt fees and accretion of debt discount.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taxes plus fixed charges.</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consent to the incorporation by reference in this Amendment No. 2 to Registration Statement No. 333-118782 on Form S-4 of our report dated March 8, 2004 (August 26, 2004 as to Notes 21 and 22; February 4, 2005 as to Note 19 and the effects of Note 23), which expresses an unqualified opinion and includes explanatory paragraphs relating to the change in the method of accounting for goodwill and other intangible assets in 2002 and restatement of the statements of operations for each of the three years in the period ended December 31, 2003 as described in Note 23, relating to the financial statements and financial statement schedule of Itron, Inc. appearing in the Amended Annual Report on Form 10-K/A of Itron, Inc. for the year ended December 31, 2003, and to the reference to us under the heading “Experts” in the Prospectus, which is part of this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S-4 Amendment No. 2 of Itron, Inc. of our report dated February 27, 2004 relating to the combined financial statements of the Electricity Products Business of Schlumberger Limited, which contains an explanatory paragraph relating to certain assumptions and allocations to form the basis of presentation of the combined financial statements, which appears in such Registration Statement. We also consent to the reference to us under the heading of “Experts” in such Registration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509"/>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1)"/>
      <w:numFmt w:val="decimal"/>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lvl w:ilvl="1">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1)"/>
      <w:numFmt w:val="decimal"/>
      <w:start w:val="1"/>
    </w:lvl>
    <w:lvl w:ilvl="1">
      <w:lvlJc w:val="left"/>
      <w:lvlText w:val="(%2)"/>
      <w:numFmt w:val="lowerLetter"/>
      <w:start w:val="1"/>
    </w:lvl>
  </w:abstractNum>
  <w:abstractNum w:abstractNumId="30">
    <w:nsid w:val="11447B73"/>
    <w:multiLevelType w:val="hybridMultilevel"/>
    <w:lvl w:ilvl="0">
      <w:lvlJc w:val="left"/>
      <w:lvlText w:val="(%1)"/>
      <w:numFmt w:val="decimal"/>
      <w:start w:val="1"/>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1)"/>
      <w:numFmt w:val="decimal"/>
      <w:start w:val="1"/>
    </w:lvl>
  </w:abstractNum>
  <w:abstractNum w:abstractNumId="36">
    <w:nsid w:val="68EB2F63"/>
    <w:multiLevelType w:val="hybridMultilevel"/>
    <w:lvl w:ilvl="0">
      <w:lvlJc w:val="left"/>
      <w:lvlText w:val="(%1)"/>
      <w:numFmt w:val="decimal"/>
      <w:start w:val="1"/>
    </w:lvl>
    <w:lvl w:ilvl="1">
      <w:lvlJc w:val="left"/>
      <w:lvlText w:val="(%2)"/>
      <w:numFmt w:val="lowerLetter"/>
      <w:start w:val="1"/>
    </w:lvl>
  </w:abstractNum>
  <w:abstractNum w:abstractNumId="37">
    <w:nsid w:val="4962813B"/>
    <w:multiLevelType w:val="hybridMultilevel"/>
    <w:lvl w:ilvl="0">
      <w:lvlJc w:val="left"/>
      <w:lvlText w:val="(%1)"/>
      <w:numFmt w:val="lowerLetter"/>
      <w:start w:val="2"/>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1)"/>
      <w:numFmt w:val="decimal"/>
      <w:start w:val="1"/>
    </w:lvl>
    <w:lvl w:ilvl="1">
      <w:lvlJc w:val="left"/>
      <w:lvlText w:val="(%2)"/>
      <w:numFmt w:val="lowerLetter"/>
      <w:start w:val="1"/>
    </w:lvl>
  </w:abstractNum>
  <w:abstractNum w:abstractNumId="42">
    <w:nsid w:val="1A27709E"/>
    <w:multiLevelType w:val="hybridMultilevel"/>
    <w:lvl w:ilvl="0">
      <w:lvlJc w:val="left"/>
      <w:lvlText w:val="(%1)"/>
      <w:numFmt w:val="decimal"/>
      <w:start w:val="1"/>
    </w:lvl>
  </w:abstractNum>
  <w:abstractNum w:abstractNumId="43">
    <w:nsid w:val="71EA1109"/>
    <w:multiLevelType w:val="hybridMultilevel"/>
    <w:lvl w:ilvl="0">
      <w:lvlJc w:val="left"/>
      <w:lvlText w:val="(%1)"/>
      <w:numFmt w:val="decimal"/>
      <w:start w:val="4"/>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1)"/>
      <w:numFmt w:val="decimal"/>
      <w:start w:val="2"/>
    </w:lvl>
    <w:lvl w:ilvl="1">
      <w:lvlJc w:val="left"/>
      <w:lvlText w:val="(%2)"/>
      <w:numFmt w:val="lowerLetter"/>
      <w:start w:val="1"/>
    </w:lvl>
  </w:abstractNum>
  <w:abstractNum w:abstractNumId="46">
    <w:nsid w:val="6EB5BD4"/>
    <w:multiLevelType w:val="hybridMultilevel"/>
    <w:lvl w:ilvl="0">
      <w:lvlJc w:val="left"/>
      <w:lvlText w:val="(%1)"/>
      <w:numFmt w:val="decimal"/>
      <w:start w:val="7"/>
    </w:lvl>
    <w:lvl w:ilvl="1">
      <w:lvlJc w:val="left"/>
      <w:lvlText w:val="(%2)"/>
      <w:numFmt w:val="lowerLetter"/>
      <w:start w:val="1"/>
    </w:lvl>
  </w:abstractNum>
  <w:abstractNum w:abstractNumId="47">
    <w:nsid w:val="6F6DD9AC"/>
    <w:multiLevelType w:val="hybridMultilevel"/>
    <w:lvl w:ilvl="0">
      <w:lvlJc w:val="left"/>
      <w:lvlText w:val="(%1)"/>
      <w:numFmt w:val="decimal"/>
      <w:start w:val="8"/>
    </w:lvl>
  </w:abstractNum>
  <w:abstractNum w:abstractNumId="48">
    <w:nsid w:val="94211F2"/>
    <w:multiLevelType w:val="hybridMultilevel"/>
    <w:lvl w:ilvl="0">
      <w:lvlJc w:val="left"/>
      <w:lvlText w:val="(%1)"/>
      <w:numFmt w:val="decimal"/>
      <w:start w:val="10"/>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3"/>
    </w:lvl>
    <w:lvl w:ilvl="1">
      <w:lvlJc w:val="left"/>
      <w:lvlText w:val="(%2)"/>
      <w:numFmt w:val="lowerLetter"/>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1)"/>
      <w:numFmt w:val="decimal"/>
      <w:start w:val="1"/>
    </w:lvl>
    <w:lvl w:ilvl="1">
      <w:lvlJc w:val="left"/>
      <w:lvlText w:val="(%2)"/>
      <w:numFmt w:val="lowerLetter"/>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1"/>
    </w:lvl>
    <w:lvl w:ilvl="1">
      <w:lvlJc w:val="left"/>
      <w:lvlText w:val="(%2)"/>
      <w:numFmt w:val="lowerLetter"/>
      <w:start w:val="1"/>
    </w:lvl>
  </w:abstractNum>
  <w:abstractNum w:abstractNumId="57">
    <w:nsid w:val="2DF6D648"/>
    <w:multiLevelType w:val="hybridMultilevel"/>
    <w:lvl w:ilvl="0">
      <w:lvlJc w:val="left"/>
      <w:lvlText w:val="(%1)"/>
      <w:numFmt w:val="decimal"/>
      <w:start w:val="1"/>
    </w:lvl>
  </w:abstractNum>
  <w:abstractNum w:abstractNumId="58">
    <w:nsid w:val="46B7D447"/>
    <w:multiLevelType w:val="hybridMultilevel"/>
    <w:lvl w:ilvl="0">
      <w:lvlJc w:val="left"/>
      <w:lvlText w:val="(%1)"/>
      <w:numFmt w:val="decimal"/>
      <w:start w:val="1"/>
    </w:lvl>
  </w:abstractNum>
  <w:abstractNum w:abstractNumId="59">
    <w:nsid w:val="4A2AC315"/>
    <w:multiLevelType w:val="hybridMultilevel"/>
    <w:lvl w:ilvl="0">
      <w:lvlJc w:val="left"/>
      <w:lvlText w:val="(%1)"/>
      <w:numFmt w:val="decimal"/>
      <w:start w:val="1"/>
    </w:lvl>
  </w:abstractNum>
  <w:abstractNum w:abstractNumId="60">
    <w:nsid w:val="39EE015C"/>
    <w:multiLevelType w:val="hybridMultilevel"/>
    <w:lvl w:ilvl="0">
      <w:lvlJc w:val="left"/>
      <w:lvlText w:val="(%1)"/>
      <w:numFmt w:val="decimal"/>
      <w:start w:val="5"/>
    </w:lvl>
    <w:lvl w:ilvl="1">
      <w:lvlJc w:val="left"/>
      <w:lvlText w:val="(%2)"/>
      <w:numFmt w:val="lowerLetter"/>
      <w:start w:val="1"/>
    </w:lvl>
  </w:abstractNum>
  <w:abstractNum w:abstractNumId="61">
    <w:nsid w:val="57FC4FBB"/>
    <w:multiLevelType w:val="hybridMultilevel"/>
    <w:lvl w:ilvl="0">
      <w:lvlJc w:val="left"/>
      <w:lvlText w:val="(%1)"/>
      <w:numFmt w:val="decimal"/>
      <w:start w:val="6"/>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1"/>
    </w:lvl>
  </w:abstractNum>
  <w:abstractNum w:abstractNumId="64">
    <w:nsid w:val="60EF0119"/>
    <w:multiLevelType w:val="hybridMultilevel"/>
    <w:lvl w:ilvl="0">
      <w:lvlJc w:val="left"/>
      <w:lvlText w:val="(%1)"/>
      <w:numFmt w:val="decimal"/>
      <w:start w:val="2"/>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decimal"/>
      <w:start w:val="7"/>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decimal"/>
      <w:start w:val="5"/>
    </w:lvl>
  </w:abstractNum>
  <w:abstractNum w:abstractNumId="70">
    <w:nsid w:val="50801EE1"/>
    <w:multiLevelType w:val="hybridMultilevel"/>
    <w:lvl w:ilvl="0">
      <w:lvlJc w:val="left"/>
      <w:lvlText w:val="(%1)"/>
      <w:numFmt w:val="decimal"/>
      <w:start w:val="1"/>
    </w:lvl>
    <w:lvl w:ilvl="1">
      <w:lvlJc w:val="left"/>
      <w:lvlText w:val="(%2)"/>
      <w:numFmt w:val="lowerLetter"/>
      <w:start w:val="1"/>
    </w:lvl>
  </w:abstractNum>
  <w:abstractNum w:abstractNumId="71">
    <w:nsid w:val="488AC1A"/>
    <w:multiLevelType w:val="hybridMultilevel"/>
    <w:lvl w:ilvl="0">
      <w:lvlJc w:val="left"/>
      <w:lvlText w:val="(%1)"/>
      <w:numFmt w:val="decimal"/>
      <w:start w:val="1"/>
    </w:lvl>
    <w:lvl w:ilvl="1">
      <w:lvlJc w:val="left"/>
      <w:lvlText w:val="(%2)"/>
      <w:numFmt w:val="lowerLetter"/>
      <w:start w:val="1"/>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1)"/>
      <w:numFmt w:val="decimal"/>
      <w:start w:val="1"/>
    </w:lvl>
  </w:abstractNum>
  <w:abstractNum w:abstractNumId="74">
    <w:nsid w:val="7672BD23"/>
    <w:multiLevelType w:val="hybridMultilevel"/>
    <w:lvl w:ilvl="0">
      <w:lvlJc w:val="left"/>
      <w:lvlText w:val="(%1)"/>
      <w:numFmt w:val="decimal"/>
      <w:start w:val="2"/>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1"/>
    </w:lvl>
  </w:abstractNum>
  <w:abstractNum w:abstractNumId="77">
    <w:nsid w:val="7D5E18F8"/>
    <w:multiLevelType w:val="hybridMultilevel"/>
    <w:lvl w:ilvl="0">
      <w:lvlJc w:val="left"/>
      <w:lvlText w:val="(%1)"/>
      <w:numFmt w:val="decimal"/>
      <w:start w:val="1"/>
    </w:lvl>
  </w:abstractNum>
  <w:abstractNum w:abstractNumId="78">
    <w:nsid w:val="5F3534A4"/>
    <w:multiLevelType w:val="hybridMultilevel"/>
    <w:lvl w:ilvl="0">
      <w:lvlJc w:val="left"/>
      <w:lvlText w:val="(%1)"/>
      <w:numFmt w:val="decimal"/>
      <w:start w:val="1"/>
    </w:lvl>
  </w:abstractNum>
  <w:abstractNum w:abstractNumId="79">
    <w:nsid w:val="73A1821B"/>
    <w:multiLevelType w:val="hybridMultilevel"/>
    <w:lvl w:ilvl="0">
      <w:lvlJc w:val="left"/>
      <w:lvlText w:val="(%1)"/>
      <w:numFmt w:val="decimal"/>
      <w:start w:val="1"/>
    </w:lvl>
  </w:abstractNum>
  <w:abstractNum w:abstractNumId="80">
    <w:nsid w:val="7DE67713"/>
    <w:multiLevelType w:val="hybridMultilevel"/>
    <w:lvl w:ilvl="0">
      <w:lvlJc w:val="left"/>
      <w:lvlText w:val="(%1)"/>
      <w:numFmt w:val="decimal"/>
      <w:start w:val="1"/>
    </w:lvl>
  </w:abstractNum>
  <w:abstractNum w:abstractNumId="81">
    <w:nsid w:val="555C55B5"/>
    <w:multiLevelType w:val="hybridMultilevel"/>
    <w:lvl w:ilvl="0">
      <w:lvlJc w:val="left"/>
      <w:lvlText w:val="(%1)"/>
      <w:numFmt w:val="decimal"/>
      <w:start w:val="6"/>
    </w:lvl>
  </w:abstractNum>
  <w:abstractNum w:abstractNumId="82">
    <w:nsid w:val="3FA62ACA"/>
    <w:multiLevelType w:val="hybridMultilevel"/>
    <w:lvl w:ilvl="0">
      <w:lvlJc w:val="left"/>
      <w:lvlText w:val="(%1)"/>
      <w:numFmt w:val="decimal"/>
      <w:start w:val="1"/>
    </w:lvl>
  </w:abstractNum>
  <w:abstractNum w:abstractNumId="83">
    <w:nsid w:val="14FCE74E"/>
    <w:multiLevelType w:val="hybridMultilevel"/>
    <w:lvl w:ilvl="0">
      <w:lvlJc w:val="left"/>
      <w:lvlText w:val="(%1)"/>
      <w:numFmt w:val="decimal"/>
      <w:start w:val="1"/>
    </w:lvl>
  </w:abstractNum>
  <w:abstractNum w:abstractNumId="84">
    <w:nsid w:val="6A3DD3E8"/>
    <w:multiLevelType w:val="hybridMultilevel"/>
    <w:lvl w:ilvl="0">
      <w:lvlJc w:val="left"/>
      <w:lvlText w:val="(%1)"/>
      <w:numFmt w:val="decimal"/>
      <w:start w:val="1"/>
    </w:lvl>
  </w:abstractNum>
  <w:abstractNum w:abstractNumId="85">
    <w:nsid w:val="71C91298"/>
    <w:multiLevelType w:val="hybridMultilevel"/>
    <w:lvl w:ilvl="0">
      <w:lvlJc w:val="left"/>
      <w:lvlText w:val="(%1)"/>
      <w:numFmt w:val="decimal"/>
      <w:start w:val="1"/>
    </w:lvl>
  </w:abstractNum>
  <w:abstractNum w:abstractNumId="86">
    <w:nsid w:val="9DAF632"/>
    <w:multiLevelType w:val="hybridMultilevel"/>
    <w:lvl w:ilvl="0">
      <w:lvlJc w:val="left"/>
      <w:lvlText w:val="(%1)"/>
      <w:numFmt w:val="decimal"/>
      <w:start w:val="1"/>
    </w:lvl>
  </w:abstractNum>
  <w:abstractNum w:abstractNumId="87">
    <w:nsid w:val="53299938"/>
    <w:multiLevelType w:val="hybridMultilevel"/>
    <w:lvl w:ilvl="0">
      <w:lvlJc w:val="left"/>
      <w:lvlText w:val="(%1)"/>
      <w:numFmt w:val="decimal"/>
      <w:start w:val="1"/>
    </w:lvl>
  </w:abstractNum>
  <w:abstractNum w:abstractNumId="88">
    <w:nsid w:val="1FBFE8E0"/>
    <w:multiLevelType w:val="hybridMultilevel"/>
    <w:lvl w:ilvl="0">
      <w:lvlJc w:val="left"/>
      <w:lvlText w:val="(%1)"/>
      <w:numFmt w:val="decimal"/>
      <w:start w:val="1"/>
    </w:lvl>
  </w:abstractNum>
  <w:abstractNum w:abstractNumId="89">
    <w:nsid w:val="5092CA79"/>
    <w:multiLevelType w:val="hybridMultilevel"/>
    <w:lvl w:ilvl="0">
      <w:lvlJc w:val="left"/>
      <w:lvlText w:val="(%1)"/>
      <w:numFmt w:val="decimal"/>
      <w:start w:val="1"/>
    </w:lvl>
  </w:abstractNum>
  <w:abstractNum w:abstractNumId="90">
    <w:nsid w:val="1D545C4D"/>
    <w:multiLevelType w:val="hybridMultilevel"/>
    <w:lvl w:ilvl="0">
      <w:lvlJc w:val="left"/>
      <w:lvlText w:val="(%1)"/>
      <w:numFmt w:val="decimal"/>
      <w:start w:val="1"/>
    </w:lvl>
  </w:abstractNum>
  <w:abstractNum w:abstractNumId="91">
    <w:nsid w:val="59ADEA3D"/>
    <w:multiLevelType w:val="hybridMultilevel"/>
    <w:lvl w:ilvl="0">
      <w:lvlJc w:val="left"/>
      <w:lvlText w:val="(%1)"/>
      <w:numFmt w:val="decimal"/>
      <w:start w:val="1"/>
    </w:lvl>
  </w:abstractNum>
  <w:abstractNum w:abstractNumId="92">
    <w:nsid w:val="288F1A34"/>
    <w:multiLevelType w:val="hybridMultilevel"/>
    <w:lvl w:ilvl="0">
      <w:lvlJc w:val="left"/>
      <w:lvlText w:val="(%1)"/>
      <w:numFmt w:val="decimal"/>
      <w:start w:val="1"/>
    </w:lvl>
  </w:abstractNum>
  <w:abstractNum w:abstractNumId="93">
    <w:nsid w:val="2A155DBC"/>
    <w:multiLevelType w:val="hybridMultilevel"/>
    <w:lvl w:ilvl="0">
      <w:lvlJc w:val="left"/>
      <w:lvlText w:val="(%1)"/>
      <w:numFmt w:val="decimal"/>
      <w:start w:val="1"/>
    </w:lvl>
  </w:abstractNum>
  <w:abstractNum w:abstractNumId="94">
    <w:nsid w:val="1D9F6E5F"/>
    <w:multiLevelType w:val="hybridMultilevel"/>
    <w:lvl w:ilvl="0">
      <w:lvlJc w:val="left"/>
      <w:lvlText w:val="(%1)"/>
      <w:numFmt w:val="decimal"/>
      <w:start w:val="3"/>
    </w:lvl>
  </w:abstractNum>
  <w:abstractNum w:abstractNumId="95">
    <w:nsid w:val="97E1B4E"/>
    <w:multiLevelType w:val="hybridMultilevel"/>
    <w:lvl w:ilvl="0">
      <w:lvlJc w:val="left"/>
      <w:lvlText w:val="%1"/>
      <w:numFmt w:val="lowerLetter"/>
      <w:start w:val="1"/>
    </w:lvl>
    <w:lvl w:ilvl="1">
      <w:lvlJc w:val="left"/>
      <w:lvlText w:val="(%2)"/>
      <w:numFmt w:val="decimal"/>
      <w:start w:val="1"/>
    </w:lvl>
  </w:abstractNum>
  <w:abstractNum w:abstractNumId="96">
    <w:nsid w:val="51088277"/>
    <w:multiLevelType w:val="hybridMultilevel"/>
    <w:lvl w:ilvl="0">
      <w:lvlJc w:val="left"/>
      <w:lvlText w:val="(%1)"/>
      <w:numFmt w:val="lowerLetter"/>
      <w:start w:val="2"/>
    </w:lvl>
    <w:lvl w:ilvl="1">
      <w:lvlJc w:val="left"/>
      <w:lvlText w:val="(%2)"/>
      <w:numFmt w:val="decimal"/>
      <w:start w:val="2"/>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1)"/>
      <w:numFmt w:val="decimal"/>
      <w:start w:val="1"/>
    </w:lvl>
    <w:lvl w:ilvl="1">
      <w:lvlJc w:val="left"/>
      <w:lvlText w:val="(%2)"/>
      <w:numFmt w:val="lowerLetter"/>
      <w:start w:val="1"/>
    </w:lvl>
  </w:abstractNum>
  <w:abstractNum w:abstractNumId="99">
    <w:nsid w:val="415E286C"/>
    <w:multiLevelType w:val="hybridMultilevel"/>
    <w:lvl w:ilvl="0">
      <w:lvlJc w:val="left"/>
      <w:lvlText w:val="(%1)"/>
      <w:numFmt w:val="decimal"/>
      <w:start w:val="5"/>
    </w:lvl>
  </w:abstractNum>
  <w:abstractNum w:abstractNumId="100">
    <w:nsid w:val="7C58FD05"/>
    <w:multiLevelType w:val="hybridMultilevel"/>
    <w:lvl w:ilvl="0">
      <w:lvlJc w:val="left"/>
      <w:lvlText w:val="(%1)"/>
      <w:numFmt w:val="decimal"/>
      <w:start w:val="1"/>
    </w:lvl>
  </w:abstractNum>
  <w:abstractNum w:abstractNumId="101">
    <w:nsid w:val="23D86AAC"/>
    <w:multiLevelType w:val="hybridMultilevel"/>
    <w:lvl w:ilvl="0">
      <w:lvlJc w:val="left"/>
      <w:lvlText w:val="(%1)"/>
      <w:numFmt w:val="decimal"/>
      <w:start w:val="1"/>
    </w:lvl>
  </w:abstractNum>
  <w:abstractNum w:abstractNumId="102">
    <w:nsid w:val="45E6D486"/>
    <w:multiLevelType w:val="hybridMultilevel"/>
    <w:lvl w:ilvl="0">
      <w:lvlJc w:val="left"/>
      <w:lvlText w:val="(%1)"/>
      <w:numFmt w:val="decimal"/>
      <w:start w:val="9"/>
    </w:lvl>
    <w:lvl w:ilvl="1">
      <w:lvlJc w:val="left"/>
      <w:lvlText w:val="(%2)"/>
      <w:numFmt w:val="lowerLetter"/>
      <w:start w:val="1"/>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1)"/>
      <w:numFmt w:val="decimal"/>
      <w:start w:val="1"/>
    </w:lvl>
  </w:abstractNum>
  <w:abstractNum w:abstractNumId="105">
    <w:nsid w:val="3C5991AA"/>
    <w:multiLevelType w:val="hybridMultilevel"/>
    <w:lvl w:ilvl="0">
      <w:lvlJc w:val="left"/>
      <w:lvlText w:val="(%1)"/>
      <w:numFmt w:val="decimal"/>
      <w:start w:val="1"/>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1)"/>
      <w:numFmt w:val="decimal"/>
      <w:start w:val="2"/>
    </w:lvl>
  </w:abstractNum>
  <w:abstractNum w:abstractNumId="108">
    <w:nsid w:val="39B7AAA2"/>
    <w:multiLevelType w:val="hybridMultilevel"/>
    <w:lvl w:ilvl="0">
      <w:lvlJc w:val="left"/>
      <w:lvlText w:val="(%1)"/>
      <w:numFmt w:val="decimal"/>
      <w:start w:val="1"/>
    </w:lvl>
  </w:abstractNum>
  <w:abstractNum w:abstractNumId="109">
    <w:nsid w:val="2B0D8DBE"/>
    <w:multiLevelType w:val="hybridMultilevel"/>
    <w:lvl w:ilvl="0">
      <w:lvlJc w:val="left"/>
      <w:lvlText w:val="(%1)"/>
      <w:numFmt w:val="decimal"/>
      <w:start w:val="8"/>
    </w:lvl>
  </w:abstractNum>
  <w:abstractNum w:abstractNumId="110">
    <w:nsid w:val="6C80EC70"/>
    <w:multiLevelType w:val="hybridMultilevel"/>
    <w:lvl w:ilvl="0">
      <w:lvlJc w:val="left"/>
      <w:lvlText w:val="(%1)"/>
      <w:numFmt w:val="lowerRoman"/>
      <w:start w:val="1"/>
    </w:lvl>
  </w:abstractNum>
  <w:abstractNum w:abstractNumId="111">
    <w:nsid w:val="379E21B5"/>
    <w:multiLevelType w:val="hybridMultilevel"/>
    <w:lvl w:ilvl="0">
      <w:lvlJc w:val="left"/>
      <w:lvlText w:val="(%1)"/>
      <w:numFmt w:val="lowerRoman"/>
      <w:start w:val="2"/>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1)"/>
      <w:numFmt w:val="decimal"/>
      <w:start w:val="509"/>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2019-12-13T15:24:36Z</dcterms:created>
  <dcterms:modified xsi:type="dcterms:W3CDTF">2019-12-13T15:24:36Z</dcterms:modified>
</cp:coreProperties>
</file>