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right="300"/>
        <w:spacing w:after="0" w:line="342" w:lineRule="auto"/>
        <w:rPr>
          <w:sz w:val="20"/>
          <w:szCs w:val="20"/>
          <w:color w:val="auto"/>
        </w:rPr>
      </w:pPr>
      <w:r>
        <w:rPr>
          <w:rFonts w:ascii="Arial" w:cs="Arial" w:eastAsia="Arial" w:hAnsi="Arial"/>
          <w:sz w:val="16"/>
          <w:szCs w:val="16"/>
          <w:color w:val="auto"/>
        </w:rPr>
        <w:t>On February 28, 2017, Itron, Inc. (the Company) issued a press release announcing its financial results for the three months and full year ended December 31, 2016. A copy of this press release and accompanying financial statements are attached as Exhibit 99.1.</w:t>
      </w:r>
    </w:p>
    <w:p>
      <w:pPr>
        <w:spacing w:after="0" w:line="14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40" w:lineRule="exact"/>
        <w:rPr>
          <w:sz w:val="20"/>
          <w:szCs w:val="20"/>
          <w:color w:val="auto"/>
        </w:rPr>
      </w:pPr>
    </w:p>
    <w:p>
      <w:pPr>
        <w:ind w:left="1160" w:hanging="544"/>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5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28, 2017.</w:t>
      </w:r>
    </w:p>
    <w:p>
      <w:pPr>
        <w:spacing w:after="0" w:line="23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information presented in this Current Report on Form 8-K may contain forward-looking statements within in the meaning of the Private Securities Litigation Reform Act of 1995. These statements relate to our expectations about our business, financial performance and restructuring activities.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2015 and other reports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13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6120" w:type="dxa"/>
            <w:vAlign w:val="bottom"/>
            <w:gridSpan w:val="2"/>
          </w:tcPr>
          <w:p>
            <w:pPr>
              <w:ind w:left="2140"/>
              <w:spacing w:after="0"/>
              <w:rPr>
                <w:sz w:val="20"/>
                <w:szCs w:val="20"/>
                <w:color w:val="auto"/>
              </w:rPr>
            </w:pPr>
            <w:r>
              <w:rPr>
                <w:rFonts w:ascii="Arial" w:cs="Arial" w:eastAsia="Arial" w:hAnsi="Arial"/>
                <w:sz w:val="18"/>
                <w:szCs w:val="18"/>
                <w:color w:val="auto"/>
              </w:rPr>
              <w:t>ITRON, INC.</w:t>
            </w:r>
          </w:p>
        </w:tc>
        <w:tc>
          <w:tcPr>
            <w:tcW w:w="1140" w:type="dxa"/>
            <w:vAlign w:val="bottom"/>
          </w:tcPr>
          <w:p>
            <w:pPr>
              <w:spacing w:after="0"/>
              <w:rPr>
                <w:sz w:val="20"/>
                <w:szCs w:val="20"/>
                <w:color w:val="auto"/>
              </w:rPr>
            </w:pPr>
          </w:p>
        </w:tc>
      </w:tr>
      <w:tr>
        <w:trPr>
          <w:trHeight w:val="493"/>
        </w:trPr>
        <w:tc>
          <w:tcPr>
            <w:tcW w:w="4160" w:type="dxa"/>
            <w:vAlign w:val="bottom"/>
          </w:tcPr>
          <w:p>
            <w:pPr>
              <w:spacing w:after="0"/>
              <w:rPr>
                <w:sz w:val="20"/>
                <w:szCs w:val="20"/>
                <w:color w:val="auto"/>
              </w:rPr>
            </w:pPr>
            <w:r>
              <w:rPr>
                <w:rFonts w:ascii="Arial" w:cs="Arial" w:eastAsia="Arial" w:hAnsi="Arial"/>
                <w:sz w:val="18"/>
                <w:szCs w:val="18"/>
                <w:color w:val="auto"/>
              </w:rPr>
              <w:t>Dated:   February 28, 2017</w:t>
            </w:r>
          </w:p>
        </w:tc>
        <w:tc>
          <w:tcPr>
            <w:tcW w:w="6120" w:type="dxa"/>
            <w:vAlign w:val="bottom"/>
            <w:gridSpan w:val="2"/>
          </w:tcPr>
          <w:p>
            <w:pPr>
              <w:ind w:left="2140"/>
              <w:spacing w:after="0"/>
              <w:rPr>
                <w:sz w:val="20"/>
                <w:szCs w:val="20"/>
                <w:color w:val="auto"/>
              </w:rPr>
            </w:pPr>
            <w:r>
              <w:rPr>
                <w:rFonts w:ascii="Arial" w:cs="Arial" w:eastAsia="Arial" w:hAnsi="Arial"/>
                <w:sz w:val="18"/>
                <w:szCs w:val="18"/>
                <w:color w:val="auto"/>
              </w:rPr>
              <w:t>By: /s/ W. Mark Schmitz</w:t>
            </w:r>
          </w:p>
        </w:tc>
        <w:tc>
          <w:tcPr>
            <w:tcW w:w="1140" w:type="dxa"/>
            <w:vAlign w:val="bottom"/>
          </w:tcPr>
          <w:p>
            <w:pPr>
              <w:spacing w:after="0"/>
              <w:rPr>
                <w:sz w:val="24"/>
                <w:szCs w:val="24"/>
                <w:color w:val="auto"/>
              </w:rPr>
            </w:pPr>
          </w:p>
        </w:tc>
      </w:tr>
      <w:tr>
        <w:trPr>
          <w:trHeight w:val="20"/>
        </w:trPr>
        <w:tc>
          <w:tcPr>
            <w:tcW w:w="4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4160" w:type="dxa"/>
            <w:vAlign w:val="bottom"/>
          </w:tcPr>
          <w:p>
            <w:pPr>
              <w:spacing w:after="0"/>
              <w:rPr>
                <w:sz w:val="20"/>
                <w:szCs w:val="20"/>
                <w:color w:val="auto"/>
              </w:rPr>
            </w:pPr>
          </w:p>
        </w:tc>
        <w:tc>
          <w:tcPr>
            <w:tcW w:w="6120" w:type="dxa"/>
            <w:vAlign w:val="bottom"/>
            <w:gridSpan w:val="2"/>
          </w:tcPr>
          <w:p>
            <w:pPr>
              <w:ind w:left="2140"/>
              <w:spacing w:after="0"/>
              <w:rPr>
                <w:sz w:val="20"/>
                <w:szCs w:val="20"/>
                <w:color w:val="auto"/>
              </w:rPr>
            </w:pPr>
            <w:r>
              <w:rPr>
                <w:rFonts w:ascii="Arial" w:cs="Arial" w:eastAsia="Arial" w:hAnsi="Arial"/>
                <w:sz w:val="18"/>
                <w:szCs w:val="18"/>
                <w:color w:val="auto"/>
              </w:rPr>
              <w:t>W. Mark Schmitz</w:t>
            </w:r>
          </w:p>
        </w:tc>
        <w:tc>
          <w:tcPr>
            <w:tcW w:w="1140" w:type="dxa"/>
            <w:vAlign w:val="bottom"/>
          </w:tcPr>
          <w:p>
            <w:pPr>
              <w:spacing w:after="0"/>
              <w:rPr>
                <w:sz w:val="20"/>
                <w:szCs w:val="20"/>
                <w:color w:val="auto"/>
              </w:rPr>
            </w:pPr>
          </w:p>
        </w:tc>
      </w:tr>
      <w:tr>
        <w:trPr>
          <w:trHeight w:val="242"/>
        </w:trPr>
        <w:tc>
          <w:tcPr>
            <w:tcW w:w="4160" w:type="dxa"/>
            <w:vAlign w:val="bottom"/>
          </w:tcPr>
          <w:p>
            <w:pPr>
              <w:spacing w:after="0"/>
              <w:rPr>
                <w:sz w:val="21"/>
                <w:szCs w:val="21"/>
                <w:color w:val="auto"/>
              </w:rPr>
            </w:pPr>
          </w:p>
        </w:tc>
        <w:tc>
          <w:tcPr>
            <w:tcW w:w="6120" w:type="dxa"/>
            <w:vAlign w:val="bottom"/>
            <w:gridSpan w:val="2"/>
          </w:tcPr>
          <w:p>
            <w:pPr>
              <w:ind w:left="2140"/>
              <w:spacing w:after="0"/>
              <w:rPr>
                <w:sz w:val="20"/>
                <w:szCs w:val="20"/>
                <w:color w:val="auto"/>
              </w:rPr>
            </w:pPr>
            <w:r>
              <w:rPr>
                <w:rFonts w:ascii="Arial" w:cs="Arial" w:eastAsia="Arial" w:hAnsi="Arial"/>
                <w:sz w:val="18"/>
                <w:szCs w:val="18"/>
                <w:color w:val="auto"/>
                <w:w w:val="95"/>
              </w:rPr>
              <w:t>Executive Vice President and Chief Financial Officer</w:t>
            </w:r>
          </w:p>
        </w:tc>
        <w:tc>
          <w:tcPr>
            <w:tcW w:w="1140" w:type="dxa"/>
            <w:vAlign w:val="bottom"/>
          </w:tcPr>
          <w:p>
            <w:pPr>
              <w:spacing w:after="0"/>
              <w:rPr>
                <w:sz w:val="21"/>
                <w:szCs w:val="21"/>
                <w:color w:val="auto"/>
              </w:rPr>
            </w:pPr>
          </w:p>
        </w:tc>
      </w:tr>
      <w:tr>
        <w:trPr>
          <w:trHeight w:val="149"/>
        </w:trPr>
        <w:tc>
          <w:tcPr>
            <w:tcW w:w="4160" w:type="dxa"/>
            <w:vAlign w:val="bottom"/>
            <w:tcBorders>
              <w:bottom w:val="single" w:sz="8" w:color="9A9A9A"/>
            </w:tcBorders>
          </w:tcPr>
          <w:p>
            <w:pPr>
              <w:spacing w:after="0"/>
              <w:rPr>
                <w:sz w:val="12"/>
                <w:szCs w:val="12"/>
                <w:color w:val="auto"/>
              </w:rPr>
            </w:pPr>
          </w:p>
        </w:tc>
        <w:tc>
          <w:tcPr>
            <w:tcW w:w="2500" w:type="dxa"/>
            <w:vAlign w:val="bottom"/>
            <w:tcBorders>
              <w:bottom w:val="single" w:sz="8" w:color="9A9A9A"/>
            </w:tcBorders>
          </w:tcPr>
          <w:p>
            <w:pPr>
              <w:spacing w:after="0"/>
              <w:rPr>
                <w:sz w:val="12"/>
                <w:szCs w:val="12"/>
                <w:color w:val="auto"/>
              </w:rPr>
            </w:pPr>
          </w:p>
        </w:tc>
        <w:tc>
          <w:tcPr>
            <w:tcW w:w="3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r>
      <w:tr>
        <w:trPr>
          <w:trHeight w:val="21"/>
        </w:trPr>
        <w:tc>
          <w:tcPr>
            <w:tcW w:w="4160" w:type="dxa"/>
            <w:vAlign w:val="bottom"/>
            <w:tcBorders>
              <w:bottom w:val="single" w:sz="8" w:color="EEEEEE"/>
            </w:tcBorders>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36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28, 2017.</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Reports Fourth Quarter and Full Year 2016 Financial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Announces $50 Million Share Repurchase Authorization</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LIBERTY LAKE, Wash.--(BUSINESS WIRE)--February 28, 2017--Itron, Inc. (NASDAQ:ITRI) announced today financial results for its fourth quarter and full year ended Dec. 31, 2016. Highlights include:</w:t>
      </w:r>
    </w:p>
    <w:p>
      <w:pPr>
        <w:spacing w:after="0" w:line="173" w:lineRule="exact"/>
        <w:rPr>
          <w:sz w:val="20"/>
          <w:szCs w:val="20"/>
          <w:color w:val="auto"/>
        </w:rPr>
      </w:pPr>
    </w:p>
    <w:p>
      <w:pPr>
        <w:ind w:left="540" w:right="3420"/>
        <w:spacing w:after="0" w:line="384" w:lineRule="auto"/>
        <w:rPr>
          <w:sz w:val="20"/>
          <w:szCs w:val="20"/>
          <w:color w:val="auto"/>
        </w:rPr>
      </w:pPr>
      <w:r>
        <w:rPr>
          <w:rFonts w:ascii="Arial" w:cs="Arial" w:eastAsia="Arial" w:hAnsi="Arial"/>
          <w:sz w:val="21"/>
          <w:szCs w:val="21"/>
          <w:color w:val="auto"/>
        </w:rPr>
        <w:t>Quarterly and full year revenues of $495.7 million and $2.0 billion; Quarterly and full year gross margin of 31.6 percent and 32.8 percent; Quarterly and full year GAAP net income of $11.6 million and $31.8 million; Quarterly and full year GAAP diluted earnings per share of 30 cents and 82 cents; and Quarterly and full year non-GAAP diluted earnings per share of 68 cents and $2.54.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-1165225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-925195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-685165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-444500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-204470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“Itron’s fourth quarter results reflect a strong finish to a year of significant improvement in financial and operational performance,” said Philip Mezey, Itron’s president and chief executive officer. “Highlights from the quarter include improved earnings and robust revenue growth in the Electricity segment driven by growth in smart solutions. Adjusted EBITDA increased by more than 50 percent to $54 million driven by our focus on predictability, profitability and growth. This level of EBITDA equates to 11 percent of revenues, demonstrating that we are making progress toward our mid-teens goal. In addition, the board's authorization of a new share repurchase program reflects confidence in Itron’s profitable growth initiatives, financial flexibility and long-term business outlook."</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Fourth Quarter Consolidated Financial Results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Total revenue was $495.7 million in the fourth quarter of 2016 compared with $496.4 million in the fourth quarter of 2015. Foreign currency exchange rates unfavorably affected revenue by $7 million compared with the prior year. In addition, strong revenue growth in the Electricity segment, which grew 13 percent, offset decreases in the Gas and Water segments.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206"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Gross margin was 31.6 percent compared with the prior year period margin of 30.7 percent. The improvement in gross margin was driven by favorable product mix and reduced warranty expense, partially offset by increased variable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Expenses</w:t>
      </w:r>
    </w:p>
    <w:p>
      <w:pPr>
        <w:spacing w:after="0" w:line="20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Operating expenses were $125.9 million compared with $136.0 million in 2015. The decrease was due primarily to lower legal costs and reduced headcount in general and administrative departments, which was partially offset by higher variable compensation and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Operating Income, Net Income, Earnings per Share</w:t>
      </w:r>
    </w:p>
    <w:p>
      <w:pPr>
        <w:spacing w:after="0" w:line="207"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Operating income improved to $30.8 million compared with operating income of $16.4 million in 2015. Non-GAAP operating income improved to $44.7 million compared with $25.9 million in 2015.</w:t>
      </w:r>
    </w:p>
    <w:p>
      <w:pPr>
        <w:spacing w:after="0" w:line="173"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Net income for the quarter was $11.6 million, or 30 cents per diluted share, compared with net income of $9.0 million, or 23 cents per diluted share, in 2015. Non-GAAP net income for the quarter was $26.4 million, or 68 cents per diluted share, compared with $17.4 million, or 45 cents per diluted share, in 2015.</w:t>
      </w:r>
    </w:p>
    <w:p>
      <w:pPr>
        <w:spacing w:after="0" w:line="186"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The increases in GAAP and non-GAAP operating income were driven by improved gross margin and lower operating expenses. GAAP and non-GAAP net income and earnings per share reflect the company’s increased operating income partially offset by a higher effective tax rate. The increased tax rate was due to the mix of taxable income by jurisdiction and discrete items.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Quarter and Full Year Cash Flow</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Cash provided by operating activities was $34.0 million in the fourth quarter of 2016 compared with $53.2 million in 2015. Non-GAAP free cash flow was $21.0 million in the fourth quarter compared with $42.6 million in the prior year. The decreases in quarterly cash from operations and free cash flow over the prior year were primarily driven by timing of accounts payable, timing of remittances on certain large contracts and a $2.4 million increase in capital expenditures.</w:t>
      </w:r>
    </w:p>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For the full year, cash from operating activities totaled $115.8 million in 2016 compared with $73.4 million in 2015. Free cash flow was $72.3 million in 2016 compared with $29.4 million in 2015. The increases in cash from operations and free cash flow over the prior year were primarily driven by increased profitability and reduced inventory, partially offset by the timing of remittances on certain large contracts. Capital expenditures were flat year-over-year at approximately $44 million.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Bookings in the quarter totaled $653 million. Total backlog was $1.7 billion and 12-month backlog was $761 million at 2016 year end, compared with $1.6 billion and $836 million at 2015 year end,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212"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On Feb. 23, 2017, the board of directors authorized a new program to repurchase up to $50 million of Itron common stock over a 12-month period beginning Feb. 23, 2017. Repurchases under the program will be made in the open market in accordance with applicable securities laws.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 – Full Year 2017</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2017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$1.9 and $2.0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$2.80 and $3.10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 w:name="page7"/>
    <w:bookmarkEnd w:id="6"/>
    <w:p>
      <w:pPr>
        <w:ind w:right="20"/>
        <w:spacing w:after="0" w:line="248" w:lineRule="auto"/>
        <w:rPr>
          <w:sz w:val="20"/>
          <w:szCs w:val="20"/>
          <w:color w:val="auto"/>
        </w:rPr>
      </w:pPr>
      <w:r>
        <w:rPr>
          <w:rFonts w:ascii="Arial" w:cs="Arial" w:eastAsia="Arial" w:hAnsi="Arial"/>
          <w:sz w:val="21"/>
          <w:szCs w:val="21"/>
          <w:color w:val="auto"/>
        </w:rPr>
        <w:t>This guidance assumes foreign currency exchange rates remain consistent with current levels on average in 2017, average fully diluted shares outstanding of approximately 39.5 million for the year and a non-GAAP effective tax rate for the year of approximately 35 percent. A reconciliation of forward-looking non-GAAP diluted EPS to the GAAP diluted EPS has not been provided because we are unable to predict with reasonable certainty the potential amount or timing of restructuring and acquisition-related expenses and their related tax effects without unreasonable effort. These items are uncertain, depend on various factors, and could have a material impact on GAAP results for the guidance period.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 xml:space="preserve">Itron will host a conference call to discuss the financial results and guidance contained in this release at 5 p.m. EST on Feb. 28, 2017.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21"/>
          <w:szCs w:val="21"/>
          <w:u w:val="single" w:color="auto"/>
          <w:color w:val="auto"/>
        </w:rPr>
        <w:t>http://investors.itron.com/events.cfm</w:t>
      </w:r>
      <w:r>
        <w:rPr>
          <w:rFonts w:ascii="Arial" w:cs="Arial" w:eastAsia="Arial" w:hAnsi="Arial"/>
          <w:sz w:val="21"/>
          <w:szCs w:val="21"/>
          <w:color w:val="auto"/>
        </w:rPr>
        <w:t xml:space="preserve">. A replay of the audio webcast will be made available for one year at </w:t>
      </w:r>
      <w:r>
        <w:rPr>
          <w:rFonts w:ascii="Arial" w:cs="Arial" w:eastAsia="Arial" w:hAnsi="Arial"/>
          <w:sz w:val="21"/>
          <w:szCs w:val="21"/>
          <w:u w:val="single" w:color="auto"/>
          <w:color w:val="auto"/>
        </w:rPr>
        <w:t>http://investors.itron.com/events.cfm</w:t>
      </w:r>
      <w:r>
        <w:rPr>
          <w:rFonts w:ascii="Arial" w:cs="Arial" w:eastAsia="Arial" w:hAnsi="Arial"/>
          <w:sz w:val="21"/>
          <w:szCs w:val="21"/>
          <w:color w:val="auto"/>
        </w:rPr>
        <w:t>. A telephone replay of the conference call will be available through March 5, 2017. To access the telephone replay, dial 888-203-1112 (Domestic) or 719-457-0820 (International) and enter passcode 8093200.</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96" w:lineRule="exact"/>
        <w:rPr>
          <w:sz w:val="20"/>
          <w:szCs w:val="20"/>
          <w:color w:val="auto"/>
        </w:rPr>
      </w:pPr>
    </w:p>
    <w:p>
      <w:pPr>
        <w:ind w:right="520"/>
        <w:spacing w:after="0" w:line="222" w:lineRule="auto"/>
        <w:rPr>
          <w:sz w:val="20"/>
          <w:szCs w:val="20"/>
          <w:color w:val="auto"/>
        </w:rPr>
      </w:pPr>
      <w:r>
        <w:rPr>
          <w:rFonts w:ascii="Arial" w:cs="Arial" w:eastAsia="Arial" w:hAnsi="Arial"/>
          <w:sz w:val="20"/>
          <w:szCs w:val="20"/>
          <w:color w:val="auto"/>
        </w:rPr>
        <w:t>Itron</w:t>
      </w:r>
      <w:r>
        <w:rPr>
          <w:rFonts w:ascii="Arial" w:cs="Arial" w:eastAsia="Arial" w:hAnsi="Arial"/>
          <w:sz w:val="33"/>
          <w:szCs w:val="33"/>
          <w:color w:val="auto"/>
          <w:vertAlign w:val="superscript"/>
        </w:rPr>
        <w:t>®</w:t>
      </w:r>
      <w:r>
        <w:rPr>
          <w:rFonts w:ascii="Arial" w:cs="Arial" w:eastAsia="Arial" w:hAnsi="Arial"/>
          <w:sz w:val="20"/>
          <w:szCs w:val="20"/>
          <w:color w:val="auto"/>
        </w:rPr>
        <w:t xml:space="preserve"> is a registered trademark of Itron, Inc. All third party trademarks are property of their respective owners and any usage herein does not suggest or imply any relationship between Itron and the third party unless expressly stated.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cash flows and restructuring activities including headcount reductions and other cost savings initiatives.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2015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40" w:type="dxa"/>
            <w:vAlign w:val="bottom"/>
          </w:tcPr>
          <w:p>
            <w:pPr>
              <w:spacing w:after="0"/>
              <w:rPr>
                <w:sz w:val="15"/>
                <w:szCs w:val="15"/>
                <w:color w:val="auto"/>
              </w:rPr>
            </w:pPr>
          </w:p>
        </w:tc>
        <w:tc>
          <w:tcPr>
            <w:tcW w:w="284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8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w w:val="99"/>
              </w:rPr>
              <w:t>Twelve Months Ended December 31,</w:t>
            </w:r>
          </w:p>
        </w:tc>
        <w:tc>
          <w:tcPr>
            <w:tcW w:w="0" w:type="dxa"/>
            <w:vAlign w:val="bottom"/>
          </w:tcPr>
          <w:p>
            <w:pPr>
              <w:spacing w:after="0"/>
              <w:rPr>
                <w:sz w:val="1"/>
                <w:szCs w:val="1"/>
                <w:color w:val="auto"/>
              </w:rPr>
            </w:pPr>
          </w:p>
        </w:tc>
      </w:tr>
      <w:tr>
        <w:trPr>
          <w:trHeight w:val="174"/>
        </w:trPr>
        <w:tc>
          <w:tcPr>
            <w:tcW w:w="4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4800" w:type="dxa"/>
            <w:vAlign w:val="bottom"/>
          </w:tcPr>
          <w:p>
            <w:pPr>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495,713</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496,448</w:t>
            </w:r>
          </w:p>
        </w:tc>
        <w:tc>
          <w:tcPr>
            <w:tcW w:w="100" w:type="dxa"/>
            <w:vAlign w:val="bottom"/>
          </w:tcPr>
          <w:p>
            <w:pPr>
              <w:spacing w:after="0"/>
              <w:rPr>
                <w:sz w:val="14"/>
                <w:szCs w:val="14"/>
                <w:color w:val="auto"/>
              </w:rPr>
            </w:pP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2,013,186</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1,883,533</w:t>
            </w:r>
          </w:p>
        </w:tc>
        <w:tc>
          <w:tcPr>
            <w:tcW w:w="0" w:type="dxa"/>
            <w:vAlign w:val="bottom"/>
          </w:tcPr>
          <w:p>
            <w:pPr>
              <w:spacing w:after="0"/>
              <w:rPr>
                <w:sz w:val="1"/>
                <w:szCs w:val="1"/>
                <w:color w:val="auto"/>
              </w:rPr>
            </w:pPr>
          </w:p>
        </w:tc>
      </w:tr>
      <w:tr>
        <w:trPr>
          <w:trHeight w:val="181"/>
        </w:trPr>
        <w:tc>
          <w:tcPr>
            <w:tcW w:w="4800" w:type="dxa"/>
            <w:vAlign w:val="bottom"/>
          </w:tcPr>
          <w:p>
            <w:pPr>
              <w:spacing w:after="0"/>
              <w:rPr>
                <w:sz w:val="20"/>
                <w:szCs w:val="20"/>
                <w:color w:val="auto"/>
              </w:rPr>
            </w:pPr>
            <w:r>
              <w:rPr>
                <w:rFonts w:ascii="Arial" w:cs="Arial" w:eastAsia="Arial" w:hAnsi="Arial"/>
                <w:sz w:val="14"/>
                <w:szCs w:val="14"/>
                <w:color w:val="auto"/>
              </w:rPr>
              <w:t>Cost of revenues</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339,050</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344,029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1,352,866</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1,326,848</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20"/>
                <w:szCs w:val="20"/>
                <w:color w:val="auto"/>
              </w:rPr>
            </w:pPr>
            <w:r>
              <w:rPr>
                <w:rFonts w:ascii="Arial" w:cs="Arial" w:eastAsia="Arial" w:hAnsi="Arial"/>
                <w:sz w:val="14"/>
                <w:szCs w:val="14"/>
                <w:color w:val="auto"/>
              </w:rPr>
              <w:t>Gross profit</w:t>
            </w:r>
          </w:p>
        </w:tc>
        <w:tc>
          <w:tcPr>
            <w:tcW w:w="3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156,663</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152,419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660,320</w:t>
            </w:r>
          </w:p>
        </w:tc>
        <w:tc>
          <w:tcPr>
            <w:tcW w:w="4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556,685</w:t>
            </w:r>
          </w:p>
        </w:tc>
        <w:tc>
          <w:tcPr>
            <w:tcW w:w="0" w:type="dxa"/>
            <w:vAlign w:val="bottom"/>
          </w:tcPr>
          <w:p>
            <w:pPr>
              <w:spacing w:after="0"/>
              <w:rPr>
                <w:sz w:val="1"/>
                <w:szCs w:val="1"/>
                <w:color w:val="auto"/>
              </w:rPr>
            </w:pPr>
          </w:p>
        </w:tc>
      </w:tr>
      <w:tr>
        <w:trPr>
          <w:trHeight w:val="339"/>
        </w:trPr>
        <w:tc>
          <w:tcPr>
            <w:tcW w:w="480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00" w:type="dxa"/>
            <w:vAlign w:val="bottom"/>
          </w:tcPr>
          <w:p>
            <w:pPr>
              <w:ind w:left="10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39,846</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38,078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158,883</w:t>
            </w:r>
          </w:p>
        </w:tc>
        <w:tc>
          <w:tcPr>
            <w:tcW w:w="4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161,380</w:t>
            </w:r>
          </w:p>
        </w:tc>
        <w:tc>
          <w:tcPr>
            <w:tcW w:w="0" w:type="dxa"/>
            <w:vAlign w:val="bottom"/>
          </w:tcPr>
          <w:p>
            <w:pPr>
              <w:spacing w:after="0"/>
              <w:rPr>
                <w:sz w:val="1"/>
                <w:szCs w:val="1"/>
                <w:color w:val="auto"/>
              </w:rPr>
            </w:pPr>
          </w:p>
        </w:tc>
      </w:tr>
      <w:tr>
        <w:trPr>
          <w:trHeight w:val="176"/>
        </w:trPr>
        <w:tc>
          <w:tcPr>
            <w:tcW w:w="4800" w:type="dxa"/>
            <w:vAlign w:val="bottom"/>
          </w:tcPr>
          <w:p>
            <w:pPr>
              <w:ind w:left="10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40,123</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35,935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168,209</w:t>
            </w:r>
          </w:p>
        </w:tc>
        <w:tc>
          <w:tcPr>
            <w:tcW w:w="4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162,334</w:t>
            </w:r>
          </w:p>
        </w:tc>
        <w:tc>
          <w:tcPr>
            <w:tcW w:w="0" w:type="dxa"/>
            <w:vAlign w:val="bottom"/>
          </w:tcPr>
          <w:p>
            <w:pPr>
              <w:spacing w:after="0"/>
              <w:rPr>
                <w:sz w:val="1"/>
                <w:szCs w:val="1"/>
                <w:color w:val="auto"/>
              </w:rPr>
            </w:pPr>
          </w:p>
        </w:tc>
      </w:tr>
      <w:tr>
        <w:trPr>
          <w:trHeight w:val="176"/>
        </w:trPr>
        <w:tc>
          <w:tcPr>
            <w:tcW w:w="480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32,034</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52,520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162,815</w:t>
            </w:r>
          </w:p>
        </w:tc>
        <w:tc>
          <w:tcPr>
            <w:tcW w:w="4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155,715</w:t>
            </w:r>
          </w:p>
        </w:tc>
        <w:tc>
          <w:tcPr>
            <w:tcW w:w="0" w:type="dxa"/>
            <w:vAlign w:val="bottom"/>
          </w:tcPr>
          <w:p>
            <w:pPr>
              <w:spacing w:after="0"/>
              <w:rPr>
                <w:sz w:val="1"/>
                <w:szCs w:val="1"/>
                <w:color w:val="auto"/>
              </w:rPr>
            </w:pPr>
          </w:p>
        </w:tc>
      </w:tr>
      <w:tr>
        <w:trPr>
          <w:trHeight w:val="176"/>
        </w:trPr>
        <w:tc>
          <w:tcPr>
            <w:tcW w:w="4800" w:type="dxa"/>
            <w:vAlign w:val="bottom"/>
          </w:tcPr>
          <w:p>
            <w:pPr>
              <w:ind w:left="10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6,110</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7,943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25,112</w:t>
            </w:r>
          </w:p>
        </w:tc>
        <w:tc>
          <w:tcPr>
            <w:tcW w:w="4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31,673</w:t>
            </w:r>
          </w:p>
        </w:tc>
        <w:tc>
          <w:tcPr>
            <w:tcW w:w="0" w:type="dxa"/>
            <w:vAlign w:val="bottom"/>
          </w:tcPr>
          <w:p>
            <w:pPr>
              <w:spacing w:after="0"/>
              <w:rPr>
                <w:sz w:val="1"/>
                <w:szCs w:val="1"/>
                <w:color w:val="auto"/>
              </w:rPr>
            </w:pPr>
          </w:p>
        </w:tc>
      </w:tr>
      <w:tr>
        <w:trPr>
          <w:trHeight w:val="181"/>
        </w:trPr>
        <w:tc>
          <w:tcPr>
            <w:tcW w:w="4800" w:type="dxa"/>
            <w:vAlign w:val="bottom"/>
          </w:tcPr>
          <w:p>
            <w:pPr>
              <w:ind w:left="100"/>
              <w:spacing w:after="0"/>
              <w:rPr>
                <w:sz w:val="20"/>
                <w:szCs w:val="20"/>
                <w:color w:val="auto"/>
              </w:rPr>
            </w:pPr>
            <w:r>
              <w:rPr>
                <w:rFonts w:ascii="Arial" w:cs="Arial" w:eastAsia="Arial" w:hAnsi="Arial"/>
                <w:sz w:val="14"/>
                <w:szCs w:val="14"/>
                <w:color w:val="auto"/>
              </w:rPr>
              <w:t>Restructuring</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7,796</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49,090</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(7,263)</w:t>
            </w:r>
          </w:p>
        </w:tc>
        <w:tc>
          <w:tcPr>
            <w:tcW w:w="0" w:type="dxa"/>
            <w:vAlign w:val="bottom"/>
          </w:tcPr>
          <w:p>
            <w:pPr>
              <w:spacing w:after="0"/>
              <w:rPr>
                <w:sz w:val="1"/>
                <w:szCs w:val="1"/>
                <w:color w:val="auto"/>
              </w:rPr>
            </w:pPr>
          </w:p>
        </w:tc>
      </w:tr>
      <w:tr>
        <w:trPr>
          <w:trHeight w:val="169"/>
        </w:trPr>
        <w:tc>
          <w:tcPr>
            <w:tcW w:w="4800" w:type="dxa"/>
            <w:vAlign w:val="bottom"/>
          </w:tcPr>
          <w:p>
            <w:pPr>
              <w:ind w:left="26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125,909</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136,041</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564,109</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503,839</w:t>
            </w:r>
          </w:p>
        </w:tc>
        <w:tc>
          <w:tcPr>
            <w:tcW w:w="0" w:type="dxa"/>
            <w:vAlign w:val="bottom"/>
          </w:tcPr>
          <w:p>
            <w:pPr>
              <w:spacing w:after="0"/>
              <w:rPr>
                <w:sz w:val="1"/>
                <w:szCs w:val="1"/>
                <w:color w:val="auto"/>
              </w:rPr>
            </w:pPr>
          </w:p>
        </w:tc>
      </w:tr>
      <w:tr>
        <w:trPr>
          <w:trHeight w:val="339"/>
        </w:trPr>
        <w:tc>
          <w:tcPr>
            <w:tcW w:w="4800" w:type="dxa"/>
            <w:vAlign w:val="bottom"/>
          </w:tcPr>
          <w:p>
            <w:pPr>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30,754</w:t>
            </w:r>
          </w:p>
        </w:tc>
        <w:tc>
          <w:tcPr>
            <w:tcW w:w="42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16,378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96,211</w:t>
            </w:r>
          </w:p>
        </w:tc>
        <w:tc>
          <w:tcPr>
            <w:tcW w:w="440" w:type="dxa"/>
            <w:vAlign w:val="bottom"/>
          </w:tcPr>
          <w:p>
            <w:pPr>
              <w:spacing w:after="0"/>
              <w:rPr>
                <w:sz w:val="24"/>
                <w:szCs w:val="2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52,846</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0" w:type="dxa"/>
            <w:vAlign w:val="bottom"/>
          </w:tcPr>
          <w:p>
            <w:pPr>
              <w:ind w:left="10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271</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865</w:t>
            </w:r>
          </w:p>
        </w:tc>
        <w:tc>
          <w:tcPr>
            <w:tcW w:w="4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76"/>
        </w:trPr>
        <w:tc>
          <w:tcPr>
            <w:tcW w:w="480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(2,604)</w:t>
            </w:r>
          </w:p>
        </w:tc>
        <w:tc>
          <w:tcPr>
            <w:tcW w:w="4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(2,953)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(10,948)</w:t>
            </w:r>
          </w:p>
        </w:tc>
        <w:tc>
          <w:tcPr>
            <w:tcW w:w="44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(12,289)</w:t>
            </w:r>
          </w:p>
        </w:tc>
        <w:tc>
          <w:tcPr>
            <w:tcW w:w="0" w:type="dxa"/>
            <w:vAlign w:val="bottom"/>
          </w:tcPr>
          <w:p>
            <w:pPr>
              <w:spacing w:after="0"/>
              <w:rPr>
                <w:sz w:val="1"/>
                <w:szCs w:val="1"/>
                <w:color w:val="auto"/>
              </w:rPr>
            </w:pPr>
          </w:p>
        </w:tc>
      </w:tr>
      <w:tr>
        <w:trPr>
          <w:trHeight w:val="181"/>
        </w:trPr>
        <w:tc>
          <w:tcPr>
            <w:tcW w:w="4800" w:type="dxa"/>
            <w:vAlign w:val="bottom"/>
          </w:tcPr>
          <w:p>
            <w:pPr>
              <w:ind w:left="10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(1,501)</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(4,216)</w:t>
            </w:r>
          </w:p>
        </w:tc>
        <w:tc>
          <w:tcPr>
            <w:tcW w:w="0" w:type="dxa"/>
            <w:vAlign w:val="bottom"/>
          </w:tcPr>
          <w:p>
            <w:pPr>
              <w:spacing w:after="0"/>
              <w:rPr>
                <w:sz w:val="1"/>
                <w:szCs w:val="1"/>
                <w:color w:val="auto"/>
              </w:rPr>
            </w:pPr>
          </w:p>
        </w:tc>
      </w:tr>
      <w:tr>
        <w:trPr>
          <w:trHeight w:val="169"/>
        </w:trPr>
        <w:tc>
          <w:tcPr>
            <w:tcW w:w="4800" w:type="dxa"/>
            <w:vAlign w:val="bottom"/>
          </w:tcPr>
          <w:p>
            <w:pPr>
              <w:ind w:left="260"/>
              <w:spacing w:after="0"/>
              <w:rPr>
                <w:sz w:val="20"/>
                <w:szCs w:val="20"/>
                <w:color w:val="auto"/>
              </w:rPr>
            </w:pPr>
            <w:r>
              <w:rPr>
                <w:rFonts w:ascii="Arial" w:cs="Arial" w:eastAsia="Arial" w:hAnsi="Arial"/>
                <w:sz w:val="14"/>
                <w:szCs w:val="14"/>
                <w:color w:val="auto"/>
              </w:rPr>
              <w:t>Total other income (expense)</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(2,760)</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(3,845)</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(11,584)</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(15,744)</w:t>
            </w:r>
          </w:p>
        </w:tc>
        <w:tc>
          <w:tcPr>
            <w:tcW w:w="0" w:type="dxa"/>
            <w:vAlign w:val="bottom"/>
          </w:tcPr>
          <w:p>
            <w:pPr>
              <w:spacing w:after="0"/>
              <w:rPr>
                <w:sz w:val="1"/>
                <w:szCs w:val="1"/>
                <w:color w:val="auto"/>
              </w:rPr>
            </w:pPr>
          </w:p>
        </w:tc>
      </w:tr>
      <w:tr>
        <w:trPr>
          <w:trHeight w:val="339"/>
        </w:trPr>
        <w:tc>
          <w:tcPr>
            <w:tcW w:w="48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4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27,994</w:t>
            </w:r>
          </w:p>
        </w:tc>
        <w:tc>
          <w:tcPr>
            <w:tcW w:w="42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12,533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84,627</w:t>
            </w:r>
          </w:p>
        </w:tc>
        <w:tc>
          <w:tcPr>
            <w:tcW w:w="440" w:type="dxa"/>
            <w:vAlign w:val="bottom"/>
          </w:tcPr>
          <w:p>
            <w:pPr>
              <w:spacing w:after="0"/>
              <w:rPr>
                <w:sz w:val="24"/>
                <w:szCs w:val="2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37,102</w:t>
            </w:r>
          </w:p>
        </w:tc>
        <w:tc>
          <w:tcPr>
            <w:tcW w:w="0" w:type="dxa"/>
            <w:vAlign w:val="bottom"/>
          </w:tcPr>
          <w:p>
            <w:pPr>
              <w:spacing w:after="0"/>
              <w:rPr>
                <w:sz w:val="1"/>
                <w:szCs w:val="1"/>
                <w:color w:val="auto"/>
              </w:rPr>
            </w:pPr>
          </w:p>
        </w:tc>
      </w:tr>
      <w:tr>
        <w:trPr>
          <w:trHeight w:val="181"/>
        </w:trPr>
        <w:tc>
          <w:tcPr>
            <w:tcW w:w="4800" w:type="dxa"/>
            <w:vAlign w:val="bottom"/>
          </w:tcPr>
          <w:p>
            <w:pPr>
              <w:spacing w:after="0"/>
              <w:rPr>
                <w:sz w:val="20"/>
                <w:szCs w:val="20"/>
                <w:color w:val="auto"/>
              </w:rPr>
            </w:pPr>
            <w:r>
              <w:rPr>
                <w:rFonts w:ascii="Arial" w:cs="Arial" w:eastAsia="Arial" w:hAnsi="Arial"/>
                <w:sz w:val="14"/>
                <w:szCs w:val="14"/>
                <w:color w:val="auto"/>
              </w:rPr>
              <w:t>Income tax provision</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(15,325)</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(49,574)</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(22,099)</w:t>
            </w:r>
          </w:p>
        </w:tc>
        <w:tc>
          <w:tcPr>
            <w:tcW w:w="0" w:type="dxa"/>
            <w:vAlign w:val="bottom"/>
          </w:tcPr>
          <w:p>
            <w:pPr>
              <w:spacing w:after="0"/>
              <w:rPr>
                <w:sz w:val="1"/>
                <w:szCs w:val="1"/>
                <w:color w:val="auto"/>
              </w:rPr>
            </w:pPr>
          </w:p>
        </w:tc>
      </w:tr>
      <w:tr>
        <w:trPr>
          <w:trHeight w:val="164"/>
        </w:trPr>
        <w:tc>
          <w:tcPr>
            <w:tcW w:w="4800" w:type="dxa"/>
            <w:vAlign w:val="bottom"/>
          </w:tcPr>
          <w:p>
            <w:pPr>
              <w:spacing w:after="0"/>
              <w:rPr>
                <w:sz w:val="20"/>
                <w:szCs w:val="20"/>
                <w:color w:val="auto"/>
              </w:rPr>
            </w:pPr>
            <w:r>
              <w:rPr>
                <w:rFonts w:ascii="Arial" w:cs="Arial" w:eastAsia="Arial" w:hAnsi="Arial"/>
                <w:sz w:val="14"/>
                <w:szCs w:val="14"/>
                <w:color w:val="auto"/>
              </w:rPr>
              <w:t>Net income</w:t>
            </w:r>
          </w:p>
        </w:tc>
        <w:tc>
          <w:tcPr>
            <w:tcW w:w="34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12,669</w:t>
            </w:r>
          </w:p>
        </w:tc>
        <w:tc>
          <w:tcPr>
            <w:tcW w:w="42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9,494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35,053</w:t>
            </w:r>
          </w:p>
        </w:tc>
        <w:tc>
          <w:tcPr>
            <w:tcW w:w="44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15,003</w:t>
            </w:r>
          </w:p>
        </w:tc>
        <w:tc>
          <w:tcPr>
            <w:tcW w:w="0" w:type="dxa"/>
            <w:vAlign w:val="bottom"/>
          </w:tcPr>
          <w:p>
            <w:pPr>
              <w:spacing w:after="0"/>
              <w:rPr>
                <w:sz w:val="1"/>
                <w:szCs w:val="1"/>
                <w:color w:val="auto"/>
              </w:rPr>
            </w:pPr>
          </w:p>
        </w:tc>
      </w:tr>
      <w:tr>
        <w:trPr>
          <w:trHeight w:val="181"/>
        </w:trPr>
        <w:tc>
          <w:tcPr>
            <w:tcW w:w="4800" w:type="dxa"/>
            <w:vAlign w:val="bottom"/>
          </w:tcPr>
          <w:p>
            <w:pPr>
              <w:ind w:left="100"/>
              <w:spacing w:after="0"/>
              <w:rPr>
                <w:sz w:val="20"/>
                <w:szCs w:val="20"/>
                <w:color w:val="auto"/>
              </w:rPr>
            </w:pPr>
            <w:r>
              <w:rPr>
                <w:rFonts w:ascii="Arial" w:cs="Arial" w:eastAsia="Arial" w:hAnsi="Arial"/>
                <w:sz w:val="14"/>
                <w:szCs w:val="14"/>
                <w:color w:val="auto"/>
              </w:rPr>
              <w:t>Net income attributable to noncontrolling interests</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1,020</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3,283</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69"/>
        </w:trPr>
        <w:tc>
          <w:tcPr>
            <w:tcW w:w="4800" w:type="dxa"/>
            <w:vAlign w:val="bottom"/>
          </w:tcPr>
          <w:p>
            <w:pPr>
              <w:spacing w:after="0"/>
              <w:rPr>
                <w:sz w:val="20"/>
                <w:szCs w:val="20"/>
                <w:color w:val="auto"/>
              </w:rPr>
            </w:pPr>
            <w:r>
              <w:rPr>
                <w:rFonts w:ascii="Arial" w:cs="Arial" w:eastAsia="Arial" w:hAnsi="Arial"/>
                <w:sz w:val="14"/>
                <w:szCs w:val="14"/>
                <w:color w:val="auto"/>
              </w:rPr>
              <w:t>Net income attributable to Itron, Inc.</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11,649</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8,986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31,770</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12,678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80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0.30</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0.83</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34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0.30</w:t>
            </w:r>
          </w:p>
        </w:tc>
        <w:tc>
          <w:tcPr>
            <w:tcW w:w="42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0.23</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0.82</w:t>
            </w:r>
          </w:p>
        </w:tc>
        <w:tc>
          <w:tcPr>
            <w:tcW w:w="440" w:type="dxa"/>
            <w:vAlign w:val="bottom"/>
            <w:tcBorders>
              <w:top w:val="single" w:sz="8" w:color="auto"/>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80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4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38,283</w:t>
            </w:r>
          </w:p>
        </w:tc>
        <w:tc>
          <w:tcPr>
            <w:tcW w:w="42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37,912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38,207</w:t>
            </w:r>
          </w:p>
        </w:tc>
        <w:tc>
          <w:tcPr>
            <w:tcW w:w="440" w:type="dxa"/>
            <w:vAlign w:val="bottom"/>
          </w:tcPr>
          <w:p>
            <w:pPr>
              <w:spacing w:after="0"/>
              <w:rPr>
                <w:sz w:val="24"/>
                <w:szCs w:val="2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38,224</w:t>
            </w:r>
          </w:p>
        </w:tc>
        <w:tc>
          <w:tcPr>
            <w:tcW w:w="0" w:type="dxa"/>
            <w:vAlign w:val="bottom"/>
          </w:tcPr>
          <w:p>
            <w:pPr>
              <w:spacing w:after="0"/>
              <w:rPr>
                <w:sz w:val="1"/>
                <w:szCs w:val="1"/>
                <w:color w:val="auto"/>
              </w:rPr>
            </w:pP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39,028</w:t>
            </w:r>
          </w:p>
        </w:tc>
        <w:tc>
          <w:tcPr>
            <w:tcW w:w="420" w:type="dxa"/>
            <w:vAlign w:val="bottom"/>
          </w:tcPr>
          <w:p>
            <w:pPr>
              <w:spacing w:after="0"/>
              <w:rPr>
                <w:sz w:val="15"/>
                <w:szCs w:val="15"/>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38,256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38,643</w:t>
            </w:r>
          </w:p>
        </w:tc>
        <w:tc>
          <w:tcPr>
            <w:tcW w:w="44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38,506</w:t>
            </w:r>
          </w:p>
        </w:tc>
        <w:tc>
          <w:tcPr>
            <w:tcW w:w="0" w:type="dxa"/>
            <w:vAlign w:val="bottom"/>
          </w:tcPr>
          <w:p>
            <w:pPr>
              <w:spacing w:after="0"/>
              <w:rPr>
                <w:sz w:val="1"/>
                <w:szCs w:val="1"/>
                <w:color w:val="auto"/>
              </w:rPr>
            </w:pPr>
          </w:p>
        </w:tc>
      </w:tr>
      <w:tr>
        <w:trPr>
          <w:trHeight w:val="309"/>
        </w:trPr>
        <w:tc>
          <w:tcPr>
            <w:tcW w:w="4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8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10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w w:val="96"/>
              </w:rPr>
              <w:t>Three Months Ended December 31,</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40" w:type="dxa"/>
            <w:vAlign w:val="bottom"/>
            <w:gridSpan w:val="3"/>
            <w:vMerge w:val="restart"/>
          </w:tcPr>
          <w:p>
            <w:pPr>
              <w:jc w:val="right"/>
              <w:ind w:right="84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310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1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w w:val="96"/>
              </w:rPr>
              <w:t>2016</w:t>
            </w: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33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1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245,589</w:t>
            </w:r>
          </w:p>
        </w:tc>
        <w:tc>
          <w:tcPr>
            <w:tcW w:w="120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217,307</w:t>
            </w:r>
          </w:p>
        </w:tc>
        <w:tc>
          <w:tcPr>
            <w:tcW w:w="68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938,374</w:t>
            </w: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820,306</w:t>
            </w:r>
          </w:p>
        </w:tc>
        <w:tc>
          <w:tcPr>
            <w:tcW w:w="0" w:type="dxa"/>
            <w:vAlign w:val="bottom"/>
          </w:tcPr>
          <w:p>
            <w:pPr>
              <w:spacing w:after="0"/>
              <w:rPr>
                <w:sz w:val="1"/>
                <w:szCs w:val="1"/>
                <w:color w:val="auto"/>
              </w:rPr>
            </w:pPr>
          </w:p>
        </w:tc>
      </w:tr>
      <w:tr>
        <w:trPr>
          <w:trHeight w:val="176"/>
        </w:trPr>
        <w:tc>
          <w:tcPr>
            <w:tcW w:w="3340" w:type="dxa"/>
            <w:vAlign w:val="bottom"/>
          </w:tcPr>
          <w:p>
            <w:pPr>
              <w:ind w:left="220"/>
              <w:spacing w:after="0"/>
              <w:rPr>
                <w:sz w:val="20"/>
                <w:szCs w:val="20"/>
                <w:color w:val="auto"/>
              </w:rPr>
            </w:pPr>
            <w:r>
              <w:rPr>
                <w:rFonts w:ascii="Arial" w:cs="Arial" w:eastAsia="Arial" w:hAnsi="Arial"/>
                <w:sz w:val="14"/>
                <w:szCs w:val="14"/>
                <w:color w:val="auto"/>
              </w:rPr>
              <w:t>Gas</w:t>
            </w:r>
          </w:p>
        </w:tc>
        <w:tc>
          <w:tcPr>
            <w:tcW w:w="11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135,769</w:t>
            </w:r>
          </w:p>
        </w:tc>
        <w:tc>
          <w:tcPr>
            <w:tcW w:w="120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142,706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569,476</w:t>
            </w:r>
          </w:p>
        </w:tc>
        <w:tc>
          <w:tcPr>
            <w:tcW w:w="540" w:type="dxa"/>
            <w:vAlign w:val="bottom"/>
          </w:tcPr>
          <w:p>
            <w:pPr>
              <w:spacing w:after="0"/>
              <w:rPr>
                <w:sz w:val="15"/>
                <w:szCs w:val="15"/>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543,805</w:t>
            </w:r>
          </w:p>
        </w:tc>
        <w:tc>
          <w:tcPr>
            <w:tcW w:w="0" w:type="dxa"/>
            <w:vAlign w:val="bottom"/>
          </w:tcPr>
          <w:p>
            <w:pPr>
              <w:spacing w:after="0"/>
              <w:rPr>
                <w:sz w:val="1"/>
                <w:szCs w:val="1"/>
                <w:color w:val="auto"/>
              </w:rPr>
            </w:pPr>
          </w:p>
        </w:tc>
      </w:tr>
      <w:tr>
        <w:trPr>
          <w:trHeight w:val="181"/>
        </w:trPr>
        <w:tc>
          <w:tcPr>
            <w:tcW w:w="3340" w:type="dxa"/>
            <w:vAlign w:val="bottom"/>
          </w:tcPr>
          <w:p>
            <w:pPr>
              <w:ind w:left="220"/>
              <w:spacing w:after="0"/>
              <w:rPr>
                <w:sz w:val="20"/>
                <w:szCs w:val="20"/>
                <w:color w:val="auto"/>
              </w:rPr>
            </w:pPr>
            <w:r>
              <w:rPr>
                <w:rFonts w:ascii="Arial" w:cs="Arial" w:eastAsia="Arial" w:hAnsi="Arial"/>
                <w:sz w:val="14"/>
                <w:szCs w:val="14"/>
                <w:color w:val="auto"/>
              </w:rPr>
              <w:t>Water</w:t>
            </w: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114,355</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136,435</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505,336</w:t>
            </w:r>
          </w:p>
        </w:tc>
        <w:tc>
          <w:tcPr>
            <w:tcW w:w="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519,422</w:t>
            </w:r>
          </w:p>
        </w:tc>
        <w:tc>
          <w:tcPr>
            <w:tcW w:w="0" w:type="dxa"/>
            <w:vAlign w:val="bottom"/>
          </w:tcPr>
          <w:p>
            <w:pPr>
              <w:spacing w:after="0"/>
              <w:rPr>
                <w:sz w:val="1"/>
                <w:szCs w:val="1"/>
                <w:color w:val="auto"/>
              </w:rPr>
            </w:pPr>
          </w:p>
        </w:tc>
      </w:tr>
      <w:tr>
        <w:trPr>
          <w:trHeight w:val="169"/>
        </w:trPr>
        <w:tc>
          <w:tcPr>
            <w:tcW w:w="3340" w:type="dxa"/>
            <w:vAlign w:val="bottom"/>
          </w:tcPr>
          <w:p>
            <w:pPr>
              <w:ind w:left="1060"/>
              <w:spacing w:after="0"/>
              <w:rPr>
                <w:sz w:val="20"/>
                <w:szCs w:val="20"/>
                <w:color w:val="auto"/>
              </w:rPr>
            </w:pPr>
            <w:r>
              <w:rPr>
                <w:rFonts w:ascii="Arial" w:cs="Arial" w:eastAsia="Arial" w:hAnsi="Arial"/>
                <w:sz w:val="14"/>
                <w:szCs w:val="14"/>
                <w:color w:val="auto"/>
              </w:rPr>
              <w:t>Total Company</w:t>
            </w:r>
          </w:p>
        </w:tc>
        <w:tc>
          <w:tcPr>
            <w:tcW w:w="114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495,713</w:t>
            </w:r>
          </w:p>
        </w:tc>
        <w:tc>
          <w:tcPr>
            <w:tcW w:w="12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496,448</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2,013,186</w:t>
            </w:r>
          </w:p>
        </w:tc>
        <w:tc>
          <w:tcPr>
            <w:tcW w:w="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1,883,533</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1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71,837</w:t>
            </w:r>
          </w:p>
        </w:tc>
        <w:tc>
          <w:tcPr>
            <w:tcW w:w="120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62,116</w:t>
            </w:r>
          </w:p>
        </w:tc>
        <w:tc>
          <w:tcPr>
            <w:tcW w:w="68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282,677</w:t>
            </w: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225,446</w:t>
            </w:r>
          </w:p>
        </w:tc>
        <w:tc>
          <w:tcPr>
            <w:tcW w:w="0" w:type="dxa"/>
            <w:vAlign w:val="bottom"/>
          </w:tcPr>
          <w:p>
            <w:pPr>
              <w:spacing w:after="0"/>
              <w:rPr>
                <w:sz w:val="1"/>
                <w:szCs w:val="1"/>
                <w:color w:val="auto"/>
              </w:rPr>
            </w:pPr>
          </w:p>
        </w:tc>
      </w:tr>
      <w:tr>
        <w:trPr>
          <w:trHeight w:val="176"/>
        </w:trPr>
        <w:tc>
          <w:tcPr>
            <w:tcW w:w="3340" w:type="dxa"/>
            <w:vAlign w:val="bottom"/>
          </w:tcPr>
          <w:p>
            <w:pPr>
              <w:ind w:left="220"/>
              <w:spacing w:after="0"/>
              <w:rPr>
                <w:sz w:val="20"/>
                <w:szCs w:val="20"/>
                <w:color w:val="auto"/>
              </w:rPr>
            </w:pPr>
            <w:r>
              <w:rPr>
                <w:rFonts w:ascii="Arial" w:cs="Arial" w:eastAsia="Arial" w:hAnsi="Arial"/>
                <w:sz w:val="14"/>
                <w:szCs w:val="14"/>
                <w:color w:val="auto"/>
              </w:rPr>
              <w:t>Gas</w:t>
            </w:r>
          </w:p>
        </w:tc>
        <w:tc>
          <w:tcPr>
            <w:tcW w:w="11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46,907</w:t>
            </w:r>
          </w:p>
        </w:tc>
        <w:tc>
          <w:tcPr>
            <w:tcW w:w="120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50,705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205,063</w:t>
            </w:r>
          </w:p>
        </w:tc>
        <w:tc>
          <w:tcPr>
            <w:tcW w:w="540" w:type="dxa"/>
            <w:vAlign w:val="bottom"/>
          </w:tcPr>
          <w:p>
            <w:pPr>
              <w:spacing w:after="0"/>
              <w:rPr>
                <w:sz w:val="15"/>
                <w:szCs w:val="15"/>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185,559</w:t>
            </w:r>
          </w:p>
        </w:tc>
        <w:tc>
          <w:tcPr>
            <w:tcW w:w="0" w:type="dxa"/>
            <w:vAlign w:val="bottom"/>
          </w:tcPr>
          <w:p>
            <w:pPr>
              <w:spacing w:after="0"/>
              <w:rPr>
                <w:sz w:val="1"/>
                <w:szCs w:val="1"/>
                <w:color w:val="auto"/>
              </w:rPr>
            </w:pPr>
          </w:p>
        </w:tc>
      </w:tr>
      <w:tr>
        <w:trPr>
          <w:trHeight w:val="181"/>
        </w:trPr>
        <w:tc>
          <w:tcPr>
            <w:tcW w:w="3340" w:type="dxa"/>
            <w:vAlign w:val="bottom"/>
          </w:tcPr>
          <w:p>
            <w:pPr>
              <w:ind w:left="220"/>
              <w:spacing w:after="0"/>
              <w:rPr>
                <w:sz w:val="20"/>
                <w:szCs w:val="20"/>
                <w:color w:val="auto"/>
              </w:rPr>
            </w:pPr>
            <w:r>
              <w:rPr>
                <w:rFonts w:ascii="Arial" w:cs="Arial" w:eastAsia="Arial" w:hAnsi="Arial"/>
                <w:sz w:val="14"/>
                <w:szCs w:val="14"/>
                <w:color w:val="auto"/>
              </w:rPr>
              <w:t>Water</w:t>
            </w: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37,919</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39,598</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172,580</w:t>
            </w:r>
          </w:p>
        </w:tc>
        <w:tc>
          <w:tcPr>
            <w:tcW w:w="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145,680</w:t>
            </w:r>
          </w:p>
        </w:tc>
        <w:tc>
          <w:tcPr>
            <w:tcW w:w="0" w:type="dxa"/>
            <w:vAlign w:val="bottom"/>
          </w:tcPr>
          <w:p>
            <w:pPr>
              <w:spacing w:after="0"/>
              <w:rPr>
                <w:sz w:val="1"/>
                <w:szCs w:val="1"/>
                <w:color w:val="auto"/>
              </w:rPr>
            </w:pPr>
          </w:p>
        </w:tc>
      </w:tr>
      <w:tr>
        <w:trPr>
          <w:trHeight w:val="169"/>
        </w:trPr>
        <w:tc>
          <w:tcPr>
            <w:tcW w:w="3340" w:type="dxa"/>
            <w:vAlign w:val="bottom"/>
          </w:tcPr>
          <w:p>
            <w:pPr>
              <w:ind w:left="1060"/>
              <w:spacing w:after="0"/>
              <w:rPr>
                <w:sz w:val="20"/>
                <w:szCs w:val="20"/>
                <w:color w:val="auto"/>
              </w:rPr>
            </w:pPr>
            <w:r>
              <w:rPr>
                <w:rFonts w:ascii="Arial" w:cs="Arial" w:eastAsia="Arial" w:hAnsi="Arial"/>
                <w:sz w:val="14"/>
                <w:szCs w:val="14"/>
                <w:color w:val="auto"/>
              </w:rPr>
              <w:t>Total Company</w:t>
            </w:r>
          </w:p>
        </w:tc>
        <w:tc>
          <w:tcPr>
            <w:tcW w:w="114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156,663</w:t>
            </w:r>
          </w:p>
        </w:tc>
        <w:tc>
          <w:tcPr>
            <w:tcW w:w="12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152,419</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660,320</w:t>
            </w:r>
          </w:p>
        </w:tc>
        <w:tc>
          <w:tcPr>
            <w:tcW w:w="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556,685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1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17,195</w:t>
            </w:r>
          </w:p>
        </w:tc>
        <w:tc>
          <w:tcPr>
            <w:tcW w:w="120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16,146</w:t>
            </w:r>
          </w:p>
        </w:tc>
        <w:tc>
          <w:tcPr>
            <w:tcW w:w="68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68,287</w:t>
            </w: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31,104</w:t>
            </w:r>
          </w:p>
        </w:tc>
        <w:tc>
          <w:tcPr>
            <w:tcW w:w="0" w:type="dxa"/>
            <w:vAlign w:val="bottom"/>
          </w:tcPr>
          <w:p>
            <w:pPr>
              <w:spacing w:after="0"/>
              <w:rPr>
                <w:sz w:val="1"/>
                <w:szCs w:val="1"/>
                <w:color w:val="auto"/>
              </w:rPr>
            </w:pPr>
          </w:p>
        </w:tc>
      </w:tr>
      <w:tr>
        <w:trPr>
          <w:trHeight w:val="176"/>
        </w:trPr>
        <w:tc>
          <w:tcPr>
            <w:tcW w:w="3340" w:type="dxa"/>
            <w:vAlign w:val="bottom"/>
          </w:tcPr>
          <w:p>
            <w:pPr>
              <w:ind w:left="220"/>
              <w:spacing w:after="0"/>
              <w:rPr>
                <w:sz w:val="20"/>
                <w:szCs w:val="20"/>
                <w:color w:val="auto"/>
              </w:rPr>
            </w:pPr>
            <w:r>
              <w:rPr>
                <w:rFonts w:ascii="Arial" w:cs="Arial" w:eastAsia="Arial" w:hAnsi="Arial"/>
                <w:sz w:val="14"/>
                <w:szCs w:val="14"/>
                <w:color w:val="auto"/>
              </w:rPr>
              <w:t>Gas</w:t>
            </w:r>
          </w:p>
        </w:tc>
        <w:tc>
          <w:tcPr>
            <w:tcW w:w="11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18,002</w:t>
            </w:r>
          </w:p>
        </w:tc>
        <w:tc>
          <w:tcPr>
            <w:tcW w:w="120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22,485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66,813</w:t>
            </w:r>
          </w:p>
        </w:tc>
        <w:tc>
          <w:tcPr>
            <w:tcW w:w="540" w:type="dxa"/>
            <w:vAlign w:val="bottom"/>
          </w:tcPr>
          <w:p>
            <w:pPr>
              <w:spacing w:after="0"/>
              <w:rPr>
                <w:sz w:val="15"/>
                <w:szCs w:val="15"/>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67,471</w:t>
            </w:r>
          </w:p>
        </w:tc>
        <w:tc>
          <w:tcPr>
            <w:tcW w:w="0" w:type="dxa"/>
            <w:vAlign w:val="bottom"/>
          </w:tcPr>
          <w:p>
            <w:pPr>
              <w:spacing w:after="0"/>
              <w:rPr>
                <w:sz w:val="1"/>
                <w:szCs w:val="1"/>
                <w:color w:val="auto"/>
              </w:rPr>
            </w:pPr>
          </w:p>
        </w:tc>
      </w:tr>
      <w:tr>
        <w:trPr>
          <w:trHeight w:val="176"/>
        </w:trPr>
        <w:tc>
          <w:tcPr>
            <w:tcW w:w="3340" w:type="dxa"/>
            <w:vAlign w:val="bottom"/>
          </w:tcPr>
          <w:p>
            <w:pPr>
              <w:ind w:left="220"/>
              <w:spacing w:after="0"/>
              <w:rPr>
                <w:sz w:val="20"/>
                <w:szCs w:val="20"/>
                <w:color w:val="auto"/>
              </w:rPr>
            </w:pPr>
            <w:r>
              <w:rPr>
                <w:rFonts w:ascii="Arial" w:cs="Arial" w:eastAsia="Arial" w:hAnsi="Arial"/>
                <w:sz w:val="14"/>
                <w:szCs w:val="14"/>
                <w:color w:val="auto"/>
              </w:rPr>
              <w:t>Water</w:t>
            </w:r>
          </w:p>
        </w:tc>
        <w:tc>
          <w:tcPr>
            <w:tcW w:w="11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8,559</w:t>
            </w:r>
          </w:p>
        </w:tc>
        <w:tc>
          <w:tcPr>
            <w:tcW w:w="120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8,449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37,266</w:t>
            </w:r>
          </w:p>
        </w:tc>
        <w:tc>
          <w:tcPr>
            <w:tcW w:w="540" w:type="dxa"/>
            <w:vAlign w:val="bottom"/>
          </w:tcPr>
          <w:p>
            <w:pPr>
              <w:spacing w:after="0"/>
              <w:rPr>
                <w:sz w:val="15"/>
                <w:szCs w:val="15"/>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19,864</w:t>
            </w:r>
          </w:p>
        </w:tc>
        <w:tc>
          <w:tcPr>
            <w:tcW w:w="0" w:type="dxa"/>
            <w:vAlign w:val="bottom"/>
          </w:tcPr>
          <w:p>
            <w:pPr>
              <w:spacing w:after="0"/>
              <w:rPr>
                <w:sz w:val="1"/>
                <w:szCs w:val="1"/>
                <w:color w:val="auto"/>
              </w:rPr>
            </w:pPr>
          </w:p>
        </w:tc>
      </w:tr>
      <w:tr>
        <w:trPr>
          <w:trHeight w:val="181"/>
        </w:trPr>
        <w:tc>
          <w:tcPr>
            <w:tcW w:w="334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(13,002)</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(30,702)</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(76,155)</w:t>
            </w:r>
          </w:p>
        </w:tc>
        <w:tc>
          <w:tcPr>
            <w:tcW w:w="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(65,593)</w:t>
            </w:r>
          </w:p>
        </w:tc>
        <w:tc>
          <w:tcPr>
            <w:tcW w:w="0" w:type="dxa"/>
            <w:vAlign w:val="bottom"/>
          </w:tcPr>
          <w:p>
            <w:pPr>
              <w:spacing w:after="0"/>
              <w:rPr>
                <w:sz w:val="1"/>
                <w:szCs w:val="1"/>
                <w:color w:val="auto"/>
              </w:rPr>
            </w:pPr>
          </w:p>
        </w:tc>
      </w:tr>
      <w:tr>
        <w:trPr>
          <w:trHeight w:val="169"/>
        </w:trPr>
        <w:tc>
          <w:tcPr>
            <w:tcW w:w="3340" w:type="dxa"/>
            <w:vAlign w:val="bottom"/>
          </w:tcPr>
          <w:p>
            <w:pPr>
              <w:ind w:left="1060"/>
              <w:spacing w:after="0"/>
              <w:rPr>
                <w:sz w:val="20"/>
                <w:szCs w:val="20"/>
                <w:color w:val="auto"/>
              </w:rPr>
            </w:pPr>
            <w:r>
              <w:rPr>
                <w:rFonts w:ascii="Arial" w:cs="Arial" w:eastAsia="Arial" w:hAnsi="Arial"/>
                <w:sz w:val="14"/>
                <w:szCs w:val="14"/>
                <w:color w:val="auto"/>
              </w:rPr>
              <w:t>Total Company</w:t>
            </w:r>
          </w:p>
        </w:tc>
        <w:tc>
          <w:tcPr>
            <w:tcW w:w="114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30,754</w:t>
            </w:r>
          </w:p>
        </w:tc>
        <w:tc>
          <w:tcPr>
            <w:tcW w:w="12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16,378</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96,211</w:t>
            </w:r>
          </w:p>
        </w:tc>
        <w:tc>
          <w:tcPr>
            <w:tcW w:w="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52,846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METER AND MODULE SUMMARY</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340" w:type="dxa"/>
            <w:vAlign w:val="bottom"/>
          </w:tcPr>
          <w:p>
            <w:pPr>
              <w:spacing w:after="0"/>
              <w:rPr>
                <w:sz w:val="20"/>
                <w:szCs w:val="20"/>
                <w:color w:val="auto"/>
              </w:rPr>
            </w:pPr>
            <w:r>
              <w:rPr>
                <w:rFonts w:ascii="Arial" w:cs="Arial" w:eastAsia="Arial" w:hAnsi="Arial"/>
                <w:sz w:val="14"/>
                <w:szCs w:val="14"/>
                <w:color w:val="auto"/>
              </w:rPr>
              <w:t>(Units in thousands)</w:t>
            </w:r>
          </w:p>
        </w:tc>
        <w:tc>
          <w:tcPr>
            <w:tcW w:w="310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w w:val="96"/>
              </w:rPr>
              <w:t>Three Months Ended December 31,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gridSpan w:val="3"/>
            <w:vMerge w:val="restart"/>
          </w:tcPr>
          <w:p>
            <w:pPr>
              <w:jc w:val="right"/>
              <w:ind w:right="84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310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1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w w:val="96"/>
              </w:rPr>
              <w:t>2016</w:t>
            </w: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334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20"/>
              <w:spacing w:after="0"/>
              <w:rPr>
                <w:sz w:val="20"/>
                <w:szCs w:val="20"/>
                <w:color w:val="auto"/>
              </w:rPr>
            </w:pPr>
            <w:r>
              <w:rPr>
                <w:rFonts w:ascii="Arial" w:cs="Arial" w:eastAsia="Arial" w:hAnsi="Arial"/>
                <w:sz w:val="14"/>
                <w:szCs w:val="14"/>
                <w:color w:val="auto"/>
              </w:rPr>
              <w:t>Standard</w:t>
            </w:r>
          </w:p>
        </w:tc>
        <w:tc>
          <w:tcPr>
            <w:tcW w:w="11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3,520</w:t>
            </w:r>
          </w:p>
        </w:tc>
        <w:tc>
          <w:tcPr>
            <w:tcW w:w="120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4,020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15,540</w:t>
            </w:r>
          </w:p>
        </w:tc>
        <w:tc>
          <w:tcPr>
            <w:tcW w:w="540" w:type="dxa"/>
            <w:vAlign w:val="bottom"/>
          </w:tcPr>
          <w:p>
            <w:pPr>
              <w:spacing w:after="0"/>
              <w:rPr>
                <w:sz w:val="15"/>
                <w:szCs w:val="15"/>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17,560</w:t>
            </w:r>
          </w:p>
        </w:tc>
        <w:tc>
          <w:tcPr>
            <w:tcW w:w="0" w:type="dxa"/>
            <w:vAlign w:val="bottom"/>
          </w:tcPr>
          <w:p>
            <w:pPr>
              <w:spacing w:after="0"/>
              <w:rPr>
                <w:sz w:val="1"/>
                <w:szCs w:val="1"/>
                <w:color w:val="auto"/>
              </w:rPr>
            </w:pPr>
          </w:p>
        </w:tc>
      </w:tr>
      <w:tr>
        <w:trPr>
          <w:trHeight w:val="181"/>
        </w:trPr>
        <w:tc>
          <w:tcPr>
            <w:tcW w:w="3340" w:type="dxa"/>
            <w:vAlign w:val="bottom"/>
          </w:tcPr>
          <w:p>
            <w:pPr>
              <w:ind w:left="220"/>
              <w:spacing w:after="0"/>
              <w:rPr>
                <w:sz w:val="20"/>
                <w:szCs w:val="20"/>
                <w:color w:val="auto"/>
              </w:rPr>
            </w:pPr>
            <w:r>
              <w:rPr>
                <w:rFonts w:ascii="Arial" w:cs="Arial" w:eastAsia="Arial" w:hAnsi="Arial"/>
                <w:sz w:val="14"/>
                <w:szCs w:val="14"/>
                <w:color w:val="auto"/>
              </w:rPr>
              <w:t>Advanced and Smart</w:t>
            </w: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2,440</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9,340</w:t>
            </w:r>
          </w:p>
        </w:tc>
        <w:tc>
          <w:tcPr>
            <w:tcW w:w="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7,290</w:t>
            </w:r>
          </w:p>
        </w:tc>
        <w:tc>
          <w:tcPr>
            <w:tcW w:w="0" w:type="dxa"/>
            <w:vAlign w:val="bottom"/>
          </w:tcPr>
          <w:p>
            <w:pPr>
              <w:spacing w:after="0"/>
              <w:rPr>
                <w:sz w:val="1"/>
                <w:szCs w:val="1"/>
                <w:color w:val="auto"/>
              </w:rPr>
            </w:pPr>
          </w:p>
        </w:tc>
      </w:tr>
      <w:tr>
        <w:trPr>
          <w:trHeight w:val="169"/>
        </w:trPr>
        <w:tc>
          <w:tcPr>
            <w:tcW w:w="3340" w:type="dxa"/>
            <w:vAlign w:val="bottom"/>
          </w:tcPr>
          <w:p>
            <w:pPr>
              <w:ind w:left="1060"/>
              <w:spacing w:after="0"/>
              <w:rPr>
                <w:sz w:val="20"/>
                <w:szCs w:val="20"/>
                <w:color w:val="auto"/>
              </w:rPr>
            </w:pPr>
            <w:r>
              <w:rPr>
                <w:rFonts w:ascii="Arial" w:cs="Arial" w:eastAsia="Arial" w:hAnsi="Arial"/>
                <w:sz w:val="14"/>
                <w:szCs w:val="14"/>
                <w:color w:val="auto"/>
              </w:rPr>
              <w:t>Total meters</w:t>
            </w:r>
          </w:p>
        </w:tc>
        <w:tc>
          <w:tcPr>
            <w:tcW w:w="1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5,960</w:t>
            </w:r>
          </w:p>
        </w:tc>
        <w:tc>
          <w:tcPr>
            <w:tcW w:w="1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5,980</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24,880</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24,850</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40" w:type="dxa"/>
            <w:vAlign w:val="bottom"/>
          </w:tcPr>
          <w:p>
            <w:pPr>
              <w:ind w:left="1060"/>
              <w:spacing w:after="0"/>
              <w:rPr>
                <w:sz w:val="20"/>
                <w:szCs w:val="20"/>
                <w:color w:val="auto"/>
              </w:rPr>
            </w:pPr>
            <w:r>
              <w:rPr>
                <w:rFonts w:ascii="Arial" w:cs="Arial" w:eastAsia="Arial" w:hAnsi="Arial"/>
                <w:sz w:val="14"/>
                <w:szCs w:val="14"/>
                <w:color w:val="auto"/>
              </w:rPr>
              <w:t>Advanced and Smart</w:t>
            </w:r>
          </w:p>
        </w:tc>
        <w:tc>
          <w:tcPr>
            <w:tcW w:w="1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1,510</w:t>
            </w:r>
          </w:p>
        </w:tc>
        <w:tc>
          <w:tcPr>
            <w:tcW w:w="1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5,980</w:t>
            </w:r>
          </w:p>
        </w:tc>
        <w:tc>
          <w:tcPr>
            <w:tcW w:w="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5,840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3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December 31, 2016</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6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74"/>
        </w:trPr>
        <w:tc>
          <w:tcPr>
            <w:tcW w:w="596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960" w:type="dxa"/>
            <w:vAlign w:val="bottom"/>
          </w:tcPr>
          <w:p>
            <w:pPr>
              <w:ind w:left="2640"/>
              <w:spacing w:after="0"/>
              <w:rPr>
                <w:sz w:val="20"/>
                <w:szCs w:val="20"/>
                <w:color w:val="auto"/>
              </w:rPr>
            </w:pPr>
            <w:r>
              <w:rPr>
                <w:rFonts w:ascii="Arial" w:cs="Arial" w:eastAsia="Arial" w:hAnsi="Arial"/>
                <w:sz w:val="14"/>
                <w:szCs w:val="14"/>
                <w:b w:val="1"/>
                <w:bCs w:val="1"/>
                <w:color w:val="auto"/>
              </w:rPr>
              <w:t>ASSETS</w:t>
            </w: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Current assets</w:t>
            </w:r>
          </w:p>
        </w:tc>
        <w:tc>
          <w:tcPr>
            <w:tcW w:w="1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1980" w:type="dxa"/>
            <w:vAlign w:val="bottom"/>
          </w:tcPr>
          <w:p>
            <w:pPr>
              <w:jc w:val="right"/>
              <w:ind w:right="16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133,565</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131,018</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Accounts receivable, net</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351,506</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330,895</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163,049</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190,465</w:t>
            </w:r>
          </w:p>
        </w:tc>
        <w:tc>
          <w:tcPr>
            <w:tcW w:w="0" w:type="dxa"/>
            <w:vAlign w:val="bottom"/>
          </w:tcPr>
          <w:p>
            <w:pPr>
              <w:spacing w:after="0"/>
              <w:rPr>
                <w:sz w:val="1"/>
                <w:szCs w:val="1"/>
                <w:color w:val="auto"/>
              </w:rPr>
            </w:pPr>
          </w:p>
        </w:tc>
      </w:tr>
      <w:tr>
        <w:trPr>
          <w:trHeight w:val="181"/>
        </w:trPr>
        <w:tc>
          <w:tcPr>
            <w:tcW w:w="5960" w:type="dxa"/>
            <w:vAlign w:val="bottom"/>
          </w:tcPr>
          <w:p>
            <w:pPr>
              <w:ind w:left="160"/>
              <w:spacing w:after="0"/>
              <w:rPr>
                <w:sz w:val="20"/>
                <w:szCs w:val="20"/>
                <w:color w:val="auto"/>
              </w:rPr>
            </w:pPr>
            <w:r>
              <w:rPr>
                <w:rFonts w:ascii="Arial" w:cs="Arial" w:eastAsia="Arial" w:hAnsi="Arial"/>
                <w:sz w:val="14"/>
                <w:szCs w:val="14"/>
                <w:color w:val="auto"/>
              </w:rPr>
              <w:t>Other current assets</w:t>
            </w:r>
          </w:p>
        </w:tc>
        <w:tc>
          <w:tcPr>
            <w:tcW w:w="19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84,346</w:t>
            </w: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106,562</w:t>
            </w:r>
          </w:p>
        </w:tc>
        <w:tc>
          <w:tcPr>
            <w:tcW w:w="0" w:type="dxa"/>
            <w:vAlign w:val="bottom"/>
          </w:tcPr>
          <w:p>
            <w:pPr>
              <w:spacing w:after="0"/>
              <w:rPr>
                <w:sz w:val="1"/>
                <w:szCs w:val="1"/>
                <w:color w:val="auto"/>
              </w:rPr>
            </w:pPr>
          </w:p>
        </w:tc>
      </w:tr>
      <w:tr>
        <w:trPr>
          <w:trHeight w:val="176"/>
        </w:trPr>
        <w:tc>
          <w:tcPr>
            <w:tcW w:w="596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732,466</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758,940</w:t>
            </w:r>
          </w:p>
        </w:tc>
        <w:tc>
          <w:tcPr>
            <w:tcW w:w="0" w:type="dxa"/>
            <w:vAlign w:val="bottom"/>
          </w:tcPr>
          <w:p>
            <w:pPr>
              <w:spacing w:after="0"/>
              <w:rPr>
                <w:sz w:val="1"/>
                <w:szCs w:val="1"/>
                <w:color w:val="auto"/>
              </w:rPr>
            </w:pPr>
          </w:p>
        </w:tc>
      </w:tr>
      <w:tr>
        <w:trPr>
          <w:trHeight w:val="339"/>
        </w:trPr>
        <w:tc>
          <w:tcPr>
            <w:tcW w:w="596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98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176,458</w:t>
            </w:r>
          </w:p>
        </w:tc>
        <w:tc>
          <w:tcPr>
            <w:tcW w:w="460" w:type="dxa"/>
            <w:vAlign w:val="bottom"/>
          </w:tcPr>
          <w:p>
            <w:pPr>
              <w:spacing w:after="0"/>
              <w:rPr>
                <w:sz w:val="24"/>
                <w:szCs w:val="24"/>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190,256</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94,113</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109,387</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Other long-term assets</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50,129</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51,679</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Intangible assets, net</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72,151</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101,932</w:t>
            </w: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Arial" w:cs="Arial" w:eastAsia="Arial" w:hAnsi="Arial"/>
                <w:sz w:val="14"/>
                <w:szCs w:val="14"/>
                <w:color w:val="auto"/>
              </w:rPr>
              <w:t>Goodwill</w:t>
            </w:r>
          </w:p>
        </w:tc>
        <w:tc>
          <w:tcPr>
            <w:tcW w:w="19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452,494</w:t>
            </w: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468,122</w:t>
            </w:r>
          </w:p>
        </w:tc>
        <w:tc>
          <w:tcPr>
            <w:tcW w:w="0" w:type="dxa"/>
            <w:vAlign w:val="bottom"/>
          </w:tcPr>
          <w:p>
            <w:pPr>
              <w:spacing w:after="0"/>
              <w:rPr>
                <w:sz w:val="1"/>
                <w:szCs w:val="1"/>
                <w:color w:val="auto"/>
              </w:rPr>
            </w:pPr>
          </w:p>
        </w:tc>
      </w:tr>
      <w:tr>
        <w:trPr>
          <w:trHeight w:val="169"/>
        </w:trPr>
        <w:tc>
          <w:tcPr>
            <w:tcW w:w="596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980" w:type="dxa"/>
            <w:vAlign w:val="bottom"/>
            <w:tcBorders>
              <w:bottom w:val="single" w:sz="8" w:color="auto"/>
            </w:tcBorders>
          </w:tcPr>
          <w:p>
            <w:pPr>
              <w:jc w:val="right"/>
              <w:ind w:right="16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1,577,811</w:t>
            </w:r>
          </w:p>
        </w:tc>
        <w:tc>
          <w:tcPr>
            <w:tcW w:w="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1,680,316</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LIABILITIES AND EQUITY</w:t>
            </w:r>
          </w:p>
        </w:tc>
        <w:tc>
          <w:tcPr>
            <w:tcW w:w="1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96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Current liabilities</w:t>
            </w:r>
          </w:p>
        </w:tc>
        <w:tc>
          <w:tcPr>
            <w:tcW w:w="1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1980" w:type="dxa"/>
            <w:vAlign w:val="bottom"/>
          </w:tcPr>
          <w:p>
            <w:pPr>
              <w:jc w:val="right"/>
              <w:ind w:right="16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172,711</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185,827</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Other current liabilities</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43,625</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78,630</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Wages and benefits payable</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82,346</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76,980</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Taxes payable</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10,451</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14,859</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Current portion of debt</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14,063</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11,250</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Current portion of warranty</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24,874</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36,927</w:t>
            </w:r>
          </w:p>
        </w:tc>
        <w:tc>
          <w:tcPr>
            <w:tcW w:w="0" w:type="dxa"/>
            <w:vAlign w:val="bottom"/>
          </w:tcPr>
          <w:p>
            <w:pPr>
              <w:spacing w:after="0"/>
              <w:rPr>
                <w:sz w:val="1"/>
                <w:szCs w:val="1"/>
                <w:color w:val="auto"/>
              </w:rPr>
            </w:pPr>
          </w:p>
        </w:tc>
      </w:tr>
      <w:tr>
        <w:trPr>
          <w:trHeight w:val="181"/>
        </w:trPr>
        <w:tc>
          <w:tcPr>
            <w:tcW w:w="5960" w:type="dxa"/>
            <w:vAlign w:val="bottom"/>
          </w:tcPr>
          <w:p>
            <w:pPr>
              <w:ind w:left="160"/>
              <w:spacing w:after="0"/>
              <w:rPr>
                <w:sz w:val="20"/>
                <w:szCs w:val="20"/>
                <w:color w:val="auto"/>
              </w:rPr>
            </w:pPr>
            <w:r>
              <w:rPr>
                <w:rFonts w:ascii="Arial" w:cs="Arial" w:eastAsia="Arial" w:hAnsi="Arial"/>
                <w:sz w:val="14"/>
                <w:szCs w:val="14"/>
                <w:color w:val="auto"/>
              </w:rPr>
              <w:t>Unearned revenue</w:t>
            </w:r>
          </w:p>
        </w:tc>
        <w:tc>
          <w:tcPr>
            <w:tcW w:w="19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64,976</w:t>
            </w: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73,301</w:t>
            </w:r>
          </w:p>
        </w:tc>
        <w:tc>
          <w:tcPr>
            <w:tcW w:w="0" w:type="dxa"/>
            <w:vAlign w:val="bottom"/>
          </w:tcPr>
          <w:p>
            <w:pPr>
              <w:spacing w:after="0"/>
              <w:rPr>
                <w:sz w:val="1"/>
                <w:szCs w:val="1"/>
                <w:color w:val="auto"/>
              </w:rPr>
            </w:pPr>
          </w:p>
        </w:tc>
      </w:tr>
      <w:tr>
        <w:trPr>
          <w:trHeight w:val="176"/>
        </w:trPr>
        <w:tc>
          <w:tcPr>
            <w:tcW w:w="596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413,046</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477,774</w:t>
            </w:r>
          </w:p>
        </w:tc>
        <w:tc>
          <w:tcPr>
            <w:tcW w:w="0" w:type="dxa"/>
            <w:vAlign w:val="bottom"/>
          </w:tcPr>
          <w:p>
            <w:pPr>
              <w:spacing w:after="0"/>
              <w:rPr>
                <w:sz w:val="1"/>
                <w:szCs w:val="1"/>
                <w:color w:val="auto"/>
              </w:rPr>
            </w:pPr>
          </w:p>
        </w:tc>
      </w:tr>
      <w:tr>
        <w:trPr>
          <w:trHeight w:val="339"/>
        </w:trPr>
        <w:tc>
          <w:tcPr>
            <w:tcW w:w="5960" w:type="dxa"/>
            <w:vAlign w:val="bottom"/>
          </w:tcPr>
          <w:p>
            <w:pPr>
              <w:spacing w:after="0"/>
              <w:rPr>
                <w:sz w:val="20"/>
                <w:szCs w:val="20"/>
                <w:color w:val="auto"/>
              </w:rPr>
            </w:pPr>
            <w:r>
              <w:rPr>
                <w:rFonts w:ascii="Arial" w:cs="Arial" w:eastAsia="Arial" w:hAnsi="Arial"/>
                <w:sz w:val="14"/>
                <w:szCs w:val="14"/>
                <w:color w:val="auto"/>
              </w:rPr>
              <w:t>Long-term debt</w:t>
            </w:r>
          </w:p>
        </w:tc>
        <w:tc>
          <w:tcPr>
            <w:tcW w:w="198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290,460</w:t>
            </w:r>
          </w:p>
        </w:tc>
        <w:tc>
          <w:tcPr>
            <w:tcW w:w="460" w:type="dxa"/>
            <w:vAlign w:val="bottom"/>
          </w:tcPr>
          <w:p>
            <w:pPr>
              <w:spacing w:after="0"/>
              <w:rPr>
                <w:sz w:val="24"/>
                <w:szCs w:val="24"/>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358,915</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Long-term warranty</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18,428</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17,585</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Pension benefit obligation</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84,498</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85,971</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3,073</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181"/>
        </w:trPr>
        <w:tc>
          <w:tcPr>
            <w:tcW w:w="596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19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117,953</w:t>
            </w: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115,645</w:t>
            </w:r>
          </w:p>
        </w:tc>
        <w:tc>
          <w:tcPr>
            <w:tcW w:w="0" w:type="dxa"/>
            <w:vAlign w:val="bottom"/>
          </w:tcPr>
          <w:p>
            <w:pPr>
              <w:spacing w:after="0"/>
              <w:rPr>
                <w:sz w:val="1"/>
                <w:szCs w:val="1"/>
                <w:color w:val="auto"/>
              </w:rPr>
            </w:pPr>
          </w:p>
        </w:tc>
      </w:tr>
      <w:tr>
        <w:trPr>
          <w:trHeight w:val="176"/>
        </w:trPr>
        <w:tc>
          <w:tcPr>
            <w:tcW w:w="5960" w:type="dxa"/>
            <w:vAlign w:val="bottom"/>
          </w:tcPr>
          <w:p>
            <w:pPr>
              <w:ind w:left="300"/>
              <w:spacing w:after="0"/>
              <w:rPr>
                <w:sz w:val="20"/>
                <w:szCs w:val="20"/>
                <w:color w:val="auto"/>
              </w:rPr>
            </w:pPr>
            <w:r>
              <w:rPr>
                <w:rFonts w:ascii="Arial" w:cs="Arial" w:eastAsia="Arial" w:hAnsi="Arial"/>
                <w:sz w:val="14"/>
                <w:szCs w:val="14"/>
                <w:color w:val="auto"/>
              </w:rPr>
              <w:t>Total liabilities</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927,458</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1,057,613</w:t>
            </w:r>
          </w:p>
        </w:tc>
        <w:tc>
          <w:tcPr>
            <w:tcW w:w="0" w:type="dxa"/>
            <w:vAlign w:val="bottom"/>
          </w:tcPr>
          <w:p>
            <w:pPr>
              <w:spacing w:after="0"/>
              <w:rPr>
                <w:sz w:val="1"/>
                <w:szCs w:val="1"/>
                <w:color w:val="auto"/>
              </w:rPr>
            </w:pPr>
          </w:p>
        </w:tc>
      </w:tr>
      <w:tr>
        <w:trPr>
          <w:trHeight w:val="339"/>
        </w:trPr>
        <w:tc>
          <w:tcPr>
            <w:tcW w:w="5960" w:type="dxa"/>
            <w:vAlign w:val="bottom"/>
          </w:tcPr>
          <w:p>
            <w:pPr>
              <w:spacing w:after="0"/>
              <w:rPr>
                <w:sz w:val="20"/>
                <w:szCs w:val="20"/>
                <w:color w:val="auto"/>
              </w:rPr>
            </w:pPr>
            <w:r>
              <w:rPr>
                <w:rFonts w:ascii="Arial" w:cs="Arial" w:eastAsia="Arial" w:hAnsi="Arial"/>
                <w:sz w:val="14"/>
                <w:szCs w:val="14"/>
                <w:color w:val="auto"/>
              </w:rPr>
              <w:t>Equity</w:t>
            </w: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Preferred stock</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198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1,270,467</w:t>
            </w:r>
          </w:p>
        </w:tc>
        <w:tc>
          <w:tcPr>
            <w:tcW w:w="460" w:type="dxa"/>
            <w:vAlign w:val="bottom"/>
          </w:tcPr>
          <w:p>
            <w:pPr>
              <w:spacing w:after="0"/>
              <w:rPr>
                <w:sz w:val="15"/>
                <w:szCs w:val="15"/>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1,246,671</w:t>
            </w:r>
          </w:p>
        </w:tc>
        <w:tc>
          <w:tcPr>
            <w:tcW w:w="0" w:type="dxa"/>
            <w:vAlign w:val="bottom"/>
          </w:tcPr>
          <w:p>
            <w:pPr>
              <w:spacing w:after="0"/>
              <w:rPr>
                <w:sz w:val="1"/>
                <w:szCs w:val="1"/>
                <w:color w:val="auto"/>
              </w:rPr>
            </w:pPr>
          </w:p>
        </w:tc>
      </w:tr>
      <w:tr>
        <w:trPr>
          <w:trHeight w:val="176"/>
        </w:trPr>
        <w:tc>
          <w:tcPr>
            <w:tcW w:w="5960" w:type="dxa"/>
            <w:vAlign w:val="bottom"/>
          </w:tcPr>
          <w:p>
            <w:pPr>
              <w:ind w:left="160"/>
              <w:spacing w:after="0"/>
              <w:rPr>
                <w:sz w:val="20"/>
                <w:szCs w:val="20"/>
                <w:color w:val="auto"/>
              </w:rPr>
            </w:pPr>
            <w:r>
              <w:rPr>
                <w:rFonts w:ascii="Arial" w:cs="Arial" w:eastAsia="Arial" w:hAnsi="Arial"/>
                <w:sz w:val="14"/>
                <w:szCs w:val="14"/>
                <w:color w:val="auto"/>
              </w:rPr>
              <w:t>Accumulated other comprehensive loss, net</w:t>
            </w:r>
          </w:p>
        </w:tc>
        <w:tc>
          <w:tcPr>
            <w:tcW w:w="19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(229,327)</w:t>
            </w:r>
          </w:p>
        </w:tc>
        <w:tc>
          <w:tcPr>
            <w:tcW w:w="460" w:type="dxa"/>
            <w:vAlign w:val="bottom"/>
          </w:tcPr>
          <w:p>
            <w:pPr>
              <w:spacing w:after="0"/>
              <w:rPr>
                <w:sz w:val="15"/>
                <w:szCs w:val="15"/>
                <w:color w:val="auto"/>
              </w:rPr>
            </w:pPr>
          </w:p>
        </w:tc>
        <w:tc>
          <w:tcPr>
            <w:tcW w:w="2160" w:type="dxa"/>
            <w:vAlign w:val="bottom"/>
          </w:tcPr>
          <w:p>
            <w:pPr>
              <w:jc w:val="right"/>
              <w:ind w:right="168"/>
              <w:spacing w:after="0"/>
              <w:rPr>
                <w:sz w:val="20"/>
                <w:szCs w:val="20"/>
                <w:color w:val="auto"/>
              </w:rPr>
            </w:pPr>
            <w:r>
              <w:rPr>
                <w:rFonts w:ascii="Arial" w:cs="Arial" w:eastAsia="Arial" w:hAnsi="Arial"/>
                <w:sz w:val="14"/>
                <w:szCs w:val="14"/>
                <w:color w:val="auto"/>
              </w:rPr>
              <w:t>(200,607)</w:t>
            </w:r>
          </w:p>
        </w:tc>
        <w:tc>
          <w:tcPr>
            <w:tcW w:w="0" w:type="dxa"/>
            <w:vAlign w:val="bottom"/>
          </w:tcPr>
          <w:p>
            <w:pPr>
              <w:spacing w:after="0"/>
              <w:rPr>
                <w:sz w:val="1"/>
                <w:szCs w:val="1"/>
                <w:color w:val="auto"/>
              </w:rPr>
            </w:pPr>
          </w:p>
        </w:tc>
      </w:tr>
      <w:tr>
        <w:trPr>
          <w:trHeight w:val="181"/>
        </w:trPr>
        <w:tc>
          <w:tcPr>
            <w:tcW w:w="5960" w:type="dxa"/>
            <w:vAlign w:val="bottom"/>
          </w:tcPr>
          <w:p>
            <w:pPr>
              <w:ind w:left="160"/>
              <w:spacing w:after="0"/>
              <w:rPr>
                <w:sz w:val="20"/>
                <w:szCs w:val="20"/>
                <w:color w:val="auto"/>
              </w:rPr>
            </w:pPr>
            <w:r>
              <w:rPr>
                <w:rFonts w:ascii="Arial" w:cs="Arial" w:eastAsia="Arial" w:hAnsi="Arial"/>
                <w:sz w:val="14"/>
                <w:szCs w:val="14"/>
                <w:color w:val="auto"/>
              </w:rPr>
              <w:t>Accumulated deficit</w:t>
            </w:r>
          </w:p>
        </w:tc>
        <w:tc>
          <w:tcPr>
            <w:tcW w:w="19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(409,536)</w:t>
            </w: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(441,306)</w:t>
            </w:r>
          </w:p>
        </w:tc>
        <w:tc>
          <w:tcPr>
            <w:tcW w:w="0" w:type="dxa"/>
            <w:vAlign w:val="bottom"/>
          </w:tcPr>
          <w:p>
            <w:pPr>
              <w:spacing w:after="0"/>
              <w:rPr>
                <w:sz w:val="1"/>
                <w:szCs w:val="1"/>
                <w:color w:val="auto"/>
              </w:rPr>
            </w:pPr>
          </w:p>
        </w:tc>
      </w:tr>
      <w:tr>
        <w:trPr>
          <w:trHeight w:val="164"/>
        </w:trPr>
        <w:tc>
          <w:tcPr>
            <w:tcW w:w="5960" w:type="dxa"/>
            <w:vAlign w:val="bottom"/>
          </w:tcPr>
          <w:p>
            <w:pPr>
              <w:ind w:left="300"/>
              <w:spacing w:after="0"/>
              <w:rPr>
                <w:sz w:val="20"/>
                <w:szCs w:val="20"/>
                <w:color w:val="auto"/>
              </w:rPr>
            </w:pPr>
            <w:r>
              <w:rPr>
                <w:rFonts w:ascii="Arial" w:cs="Arial" w:eastAsia="Arial" w:hAnsi="Arial"/>
                <w:sz w:val="14"/>
                <w:szCs w:val="14"/>
                <w:color w:val="auto"/>
              </w:rPr>
              <w:t>Total Itron, Inc. shareholders' equity</w:t>
            </w:r>
          </w:p>
        </w:tc>
        <w:tc>
          <w:tcPr>
            <w:tcW w:w="19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631,604</w:t>
            </w:r>
          </w:p>
        </w:tc>
        <w:tc>
          <w:tcPr>
            <w:tcW w:w="460" w:type="dxa"/>
            <w:vAlign w:val="bottom"/>
          </w:tcPr>
          <w:p>
            <w:pPr>
              <w:spacing w:after="0"/>
              <w:rPr>
                <w:sz w:val="14"/>
                <w:szCs w:val="14"/>
                <w:color w:val="auto"/>
              </w:rPr>
            </w:pPr>
          </w:p>
        </w:tc>
        <w:tc>
          <w:tcPr>
            <w:tcW w:w="2160" w:type="dxa"/>
            <w:vAlign w:val="bottom"/>
          </w:tcPr>
          <w:p>
            <w:pPr>
              <w:jc w:val="right"/>
              <w:ind w:right="208"/>
              <w:spacing w:after="0"/>
              <w:rPr>
                <w:sz w:val="20"/>
                <w:szCs w:val="20"/>
                <w:color w:val="auto"/>
              </w:rPr>
            </w:pPr>
            <w:r>
              <w:rPr>
                <w:rFonts w:ascii="Arial" w:cs="Arial" w:eastAsia="Arial" w:hAnsi="Arial"/>
                <w:sz w:val="14"/>
                <w:szCs w:val="14"/>
                <w:color w:val="auto"/>
              </w:rPr>
              <w:t>604,758</w:t>
            </w:r>
          </w:p>
        </w:tc>
        <w:tc>
          <w:tcPr>
            <w:tcW w:w="0" w:type="dxa"/>
            <w:vAlign w:val="bottom"/>
          </w:tcPr>
          <w:p>
            <w:pPr>
              <w:spacing w:after="0"/>
              <w:rPr>
                <w:sz w:val="1"/>
                <w:szCs w:val="1"/>
                <w:color w:val="auto"/>
              </w:rPr>
            </w:pPr>
          </w:p>
        </w:tc>
      </w:tr>
      <w:tr>
        <w:trPr>
          <w:trHeight w:val="181"/>
        </w:trPr>
        <w:tc>
          <w:tcPr>
            <w:tcW w:w="596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19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18,749</w:t>
            </w: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17,945</w:t>
            </w:r>
          </w:p>
        </w:tc>
        <w:tc>
          <w:tcPr>
            <w:tcW w:w="0" w:type="dxa"/>
            <w:vAlign w:val="bottom"/>
          </w:tcPr>
          <w:p>
            <w:pPr>
              <w:spacing w:after="0"/>
              <w:rPr>
                <w:sz w:val="1"/>
                <w:szCs w:val="1"/>
                <w:color w:val="auto"/>
              </w:rPr>
            </w:pPr>
          </w:p>
        </w:tc>
      </w:tr>
      <w:tr>
        <w:trPr>
          <w:trHeight w:val="169"/>
        </w:trPr>
        <w:tc>
          <w:tcPr>
            <w:tcW w:w="5960" w:type="dxa"/>
            <w:vAlign w:val="bottom"/>
          </w:tcPr>
          <w:p>
            <w:pPr>
              <w:ind w:left="300"/>
              <w:spacing w:after="0"/>
              <w:rPr>
                <w:sz w:val="20"/>
                <w:szCs w:val="20"/>
                <w:color w:val="auto"/>
              </w:rPr>
            </w:pPr>
            <w:r>
              <w:rPr>
                <w:rFonts w:ascii="Arial" w:cs="Arial" w:eastAsia="Arial" w:hAnsi="Arial"/>
                <w:sz w:val="14"/>
                <w:szCs w:val="14"/>
                <w:color w:val="auto"/>
              </w:rPr>
              <w:t>Total equity</w:t>
            </w:r>
          </w:p>
        </w:tc>
        <w:tc>
          <w:tcPr>
            <w:tcW w:w="19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650,353</w:t>
            </w:r>
          </w:p>
        </w:tc>
        <w:tc>
          <w:tcPr>
            <w:tcW w:w="4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622,703</w:t>
            </w:r>
          </w:p>
        </w:tc>
        <w:tc>
          <w:tcPr>
            <w:tcW w:w="0" w:type="dxa"/>
            <w:vAlign w:val="bottom"/>
          </w:tcPr>
          <w:p>
            <w:pPr>
              <w:spacing w:after="0"/>
              <w:rPr>
                <w:sz w:val="1"/>
                <w:szCs w:val="1"/>
                <w:color w:val="auto"/>
              </w:rPr>
            </w:pPr>
          </w:p>
        </w:tc>
      </w:tr>
      <w:tr>
        <w:trPr>
          <w:trHeight w:val="169"/>
        </w:trPr>
        <w:tc>
          <w:tcPr>
            <w:tcW w:w="5960" w:type="dxa"/>
            <w:vAlign w:val="bottom"/>
          </w:tcPr>
          <w:p>
            <w:pPr>
              <w:ind w:left="300"/>
              <w:spacing w:after="0"/>
              <w:rPr>
                <w:sz w:val="20"/>
                <w:szCs w:val="20"/>
                <w:color w:val="auto"/>
              </w:rPr>
            </w:pPr>
            <w:r>
              <w:rPr>
                <w:rFonts w:ascii="Arial" w:cs="Arial" w:eastAsia="Arial" w:hAnsi="Arial"/>
                <w:sz w:val="14"/>
                <w:szCs w:val="14"/>
                <w:color w:val="auto"/>
              </w:rPr>
              <w:t>Total liabilities and equity</w:t>
            </w:r>
          </w:p>
        </w:tc>
        <w:tc>
          <w:tcPr>
            <w:tcW w:w="1980" w:type="dxa"/>
            <w:vAlign w:val="bottom"/>
            <w:tcBorders>
              <w:bottom w:val="single" w:sz="8" w:color="auto"/>
            </w:tcBorders>
          </w:tcPr>
          <w:p>
            <w:pPr>
              <w:jc w:val="right"/>
              <w:ind w:right="16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1,577,811</w:t>
            </w:r>
          </w:p>
        </w:tc>
        <w:tc>
          <w:tcPr>
            <w:tcW w:w="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1,680,316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21" w:lineRule="exact"/>
        <w:rPr>
          <w:sz w:val="20"/>
          <w:szCs w:val="20"/>
          <w:color w:val="auto"/>
        </w:rPr>
      </w:pPr>
    </w:p>
    <w:p>
      <w:pPr>
        <w:ind w:left="8240"/>
        <w:spacing w:after="0"/>
        <w:rPr>
          <w:sz w:val="20"/>
          <w:szCs w:val="20"/>
          <w:color w:val="auto"/>
        </w:rPr>
      </w:pPr>
      <w:r>
        <w:rPr>
          <w:rFonts w:ascii="Arial" w:cs="Arial" w:eastAsia="Arial" w:hAnsi="Arial"/>
          <w:sz w:val="13"/>
          <w:szCs w:val="13"/>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15875</wp:posOffset>
            </wp:positionV>
            <wp:extent cx="25984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 w:lineRule="exact"/>
        <w:rPr>
          <w:sz w:val="20"/>
          <w:szCs w:val="20"/>
          <w:color w:val="auto"/>
        </w:rPr>
      </w:pPr>
    </w:p>
    <w:p>
      <w:pPr>
        <w:jc w:val="both"/>
        <w:ind w:left="8200"/>
        <w:spacing w:after="0"/>
        <w:tabs>
          <w:tab w:leader="none" w:pos="10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15240</wp:posOffset>
            </wp:positionV>
            <wp:extent cx="25984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Repurchase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provided by (used in) financing activities</w:t>
      </w:r>
    </w:p>
    <w:p>
      <w:pPr>
        <w:spacing w:after="0" w:line="190" w:lineRule="exact"/>
        <w:rPr>
          <w:sz w:val="20"/>
          <w:szCs w:val="20"/>
          <w:color w:val="auto"/>
        </w:rPr>
      </w:pPr>
    </w:p>
    <w:p>
      <w:pPr>
        <w:ind w:right="2600"/>
        <w:spacing w:after="0" w:line="276" w:lineRule="auto"/>
        <w:rPr>
          <w:sz w:val="20"/>
          <w:szCs w:val="20"/>
          <w:color w:val="auto"/>
        </w:rPr>
      </w:pPr>
      <w:r>
        <w:rPr>
          <w:rFonts w:ascii="Arial" w:cs="Arial" w:eastAsia="Arial" w:hAnsi="Arial"/>
          <w:sz w:val="14"/>
          <w:szCs w:val="14"/>
          <w:color w:val="auto"/>
        </w:rPr>
        <w:t>Effect of foreign exchange rate changes on cash and cash equivalents Increase in cash and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35,053</w:t>
            </w:r>
          </w:p>
        </w:tc>
        <w:tc>
          <w:tcPr>
            <w:tcW w:w="8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15,003</w:t>
            </w:r>
          </w:p>
        </w:tc>
      </w:tr>
      <w:tr>
        <w:trPr>
          <w:trHeight w:val="344"/>
        </w:trPr>
        <w:tc>
          <w:tcPr>
            <w:tcW w:w="80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68,318</w:t>
            </w:r>
          </w:p>
        </w:tc>
        <w:tc>
          <w:tcPr>
            <w:tcW w:w="80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75,993</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18,035</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14,089</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1,076</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2,128</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13,790</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1,488</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7,188</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976</w:t>
            </w:r>
          </w:p>
        </w:tc>
      </w:tr>
      <w:tr>
        <w:trPr>
          <w:trHeight w:val="182"/>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4,309</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2,003</w:t>
            </w:r>
          </w:p>
        </w:tc>
      </w:tr>
      <w:tr>
        <w:trPr>
          <w:trHeight w:val="344"/>
        </w:trPr>
        <w:tc>
          <w:tcPr>
            <w:tcW w:w="80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(27,162)</w:t>
            </w:r>
          </w:p>
        </w:tc>
        <w:tc>
          <w:tcPr>
            <w:tcW w:w="80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(9,009)</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22,343</w:t>
            </w:r>
          </w:p>
        </w:tc>
        <w:tc>
          <w:tcPr>
            <w:tcW w:w="80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(52,737)</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20,705</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12,512</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(339)</w:t>
            </w:r>
          </w:p>
        </w:tc>
        <w:tc>
          <w:tcPr>
            <w:tcW w:w="80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(3,721)</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(37,312)</w:t>
            </w:r>
          </w:p>
        </w:tc>
        <w:tc>
          <w:tcPr>
            <w:tcW w:w="80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(7,060)</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7,808</w:t>
            </w:r>
          </w:p>
        </w:tc>
        <w:tc>
          <w:tcPr>
            <w:tcW w:w="80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(10,866)</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(25,810)</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11,943</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(10,246)</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20,161</w:t>
            </w:r>
          </w:p>
        </w:tc>
      </w:tr>
      <w:tr>
        <w:trPr>
          <w:trHeight w:val="181"/>
        </w:trPr>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18,086</w:t>
            </w:r>
          </w:p>
        </w:tc>
        <w:tc>
          <w:tcPr>
            <w:tcW w:w="8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447</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115,842</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73,350</w:t>
            </w:r>
          </w:p>
        </w:tc>
      </w:tr>
      <w:tr>
        <w:trPr>
          <w:trHeight w:val="515"/>
        </w:trPr>
        <w:tc>
          <w:tcPr>
            <w:tcW w:w="80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(43,543)</w:t>
            </w:r>
          </w:p>
        </w:tc>
        <w:tc>
          <w:tcPr>
            <w:tcW w:w="80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(43,918)</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(951)</w:t>
            </w:r>
          </w:p>
        </w:tc>
        <w:tc>
          <w:tcPr>
            <w:tcW w:w="80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(5,754)</w:t>
            </w:r>
          </w:p>
        </w:tc>
      </w:tr>
      <w:tr>
        <w:trPr>
          <w:trHeight w:val="181"/>
        </w:trPr>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(3,034)</w:t>
            </w:r>
          </w:p>
        </w:tc>
        <w:tc>
          <w:tcPr>
            <w:tcW w:w="8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721</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(47,528)</w:t>
            </w:r>
          </w:p>
        </w:tc>
        <w:tc>
          <w:tcPr>
            <w:tcW w:w="80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(48,951)</w:t>
            </w:r>
          </w:p>
        </w:tc>
      </w:tr>
      <w:tr>
        <w:trPr>
          <w:trHeight w:val="515"/>
        </w:trPr>
        <w:tc>
          <w:tcPr>
            <w:tcW w:w="80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15,877</w:t>
            </w:r>
          </w:p>
        </w:tc>
        <w:tc>
          <w:tcPr>
            <w:tcW w:w="80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113,467</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(79,119)</w:t>
            </w:r>
          </w:p>
        </w:tc>
        <w:tc>
          <w:tcPr>
            <w:tcW w:w="80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(62,998)</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2,891</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2,663</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(38,283)</w:t>
            </w:r>
          </w:p>
        </w:tc>
      </w:tr>
      <w:tr>
        <w:trPr>
          <w:trHeight w:val="181"/>
        </w:trPr>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(2,672)</w:t>
            </w:r>
          </w:p>
        </w:tc>
        <w:tc>
          <w:tcPr>
            <w:tcW w:w="8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(7,109)</w:t>
            </w:r>
          </w:p>
        </w:tc>
      </w:tr>
      <w:tr>
        <w:trPr>
          <w:trHeight w:val="176"/>
        </w:trPr>
        <w:tc>
          <w:tcPr>
            <w:tcW w:w="80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(63,023)</w:t>
            </w:r>
          </w:p>
        </w:tc>
        <w:tc>
          <w:tcPr>
            <w:tcW w:w="800" w:type="dxa"/>
            <w:vAlign w:val="bottom"/>
          </w:tcPr>
          <w:p>
            <w:pPr>
              <w:spacing w:after="0"/>
              <w:rPr>
                <w:sz w:val="15"/>
                <w:szCs w:val="15"/>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7,740</w:t>
            </w:r>
          </w:p>
        </w:tc>
      </w:tr>
      <w:tr>
        <w:trPr>
          <w:trHeight w:val="344"/>
        </w:trPr>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(2,744)</w:t>
            </w:r>
          </w:p>
        </w:tc>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(13,492)</w:t>
            </w:r>
          </w:p>
        </w:tc>
      </w:tr>
      <w:tr>
        <w:trPr>
          <w:trHeight w:val="164"/>
        </w:trPr>
        <w:tc>
          <w:tcPr>
            <w:tcW w:w="8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2,547</w:t>
            </w:r>
          </w:p>
        </w:tc>
        <w:tc>
          <w:tcPr>
            <w:tcW w:w="80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18,647</w:t>
            </w:r>
          </w:p>
        </w:tc>
      </w:tr>
      <w:tr>
        <w:trPr>
          <w:trHeight w:val="181"/>
        </w:trPr>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131,018</w:t>
            </w:r>
          </w:p>
        </w:tc>
        <w:tc>
          <w:tcPr>
            <w:tcW w:w="8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112,371</w:t>
            </w:r>
          </w:p>
        </w:tc>
      </w:tr>
      <w:tr>
        <w:trPr>
          <w:trHeight w:val="169"/>
        </w:trPr>
        <w:tc>
          <w:tcPr>
            <w:tcW w:w="8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133,565</w:t>
            </w:r>
          </w:p>
        </w:tc>
        <w:tc>
          <w:tcPr>
            <w:tcW w:w="8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131,018</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00" w:space="720"/>
            <w:col w:w="4100"/>
          </w:cols>
          <w:pgMar w:left="240" w:top="306" w:right="239" w:bottom="1440" w:gutter="0" w:footer="0" w:header="0"/>
          <w:type w:val="continuous"/>
        </w:sectPr>
      </w:pPr>
    </w:p>
    <w:bookmarkStart w:id="12" w:name="page13"/>
    <w:bookmarkEnd w:id="12"/>
    <w:p>
      <w:pPr>
        <w:jc w:val="center"/>
        <w:ind w:right="-39"/>
        <w:spacing w:after="0"/>
        <w:rPr>
          <w:sz w:val="20"/>
          <w:szCs w:val="20"/>
          <w:color w:val="auto"/>
        </w:rPr>
      </w:pPr>
      <w:r>
        <w:rPr>
          <w:rFonts w:ascii="Arial" w:cs="Arial" w:eastAsia="Arial" w:hAnsi="Arial"/>
          <w:sz w:val="22"/>
          <w:szCs w:val="22"/>
          <w:b w:val="1"/>
          <w:bCs w:val="1"/>
          <w:color w:val="auto"/>
        </w:rPr>
        <w:t>Itron,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About Non-GAAP Financial Measures</w:t>
      </w:r>
    </w:p>
    <w:p>
      <w:pPr>
        <w:spacing w:after="0" w:line="188"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In addition, management analyzes revenue growth and operational results on a constant currency basis to assess how our business performed excluding the effect of foreign currency rate fluctuations. Our executive compensation plans exclude non-cash charges related to amortization of intangibles and certain discrete cash and non-cash charges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0" w:lineRule="exact"/>
        <w:rPr>
          <w:sz w:val="20"/>
          <w:szCs w:val="20"/>
          <w:color w:val="auto"/>
        </w:rPr>
      </w:pP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Non-GAAP operating expenses and non-GAAP operating income – We define non-GAAP operating expenses as operating expenses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3" w:name="page14"/>
    <w:bookmarkEnd w:id="13"/>
    <w:p>
      <w:pPr>
        <w:ind w:right="100"/>
        <w:spacing w:after="0" w:line="274" w:lineRule="auto"/>
        <w:rPr>
          <w:sz w:val="20"/>
          <w:szCs w:val="20"/>
          <w:color w:val="auto"/>
        </w:rPr>
      </w:pPr>
      <w:r>
        <w:rPr>
          <w:rFonts w:ascii="Arial" w:cs="Arial" w:eastAsia="Arial" w:hAnsi="Arial"/>
          <w:sz w:val="19"/>
          <w:szCs w:val="19"/>
          <w:color w:val="auto"/>
        </w:rPr>
        <w:t>Non-GAAP net income and non-GAAP diluted EPS – We define non-GAAP net income (loss) attributable to Itron, Inc. as income excluding the expenses associated with amortization of intangible assets, restructuring, acquisitions, goodwill impairment, amortization of debt placement fees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intangible assets, restructuring, acquisition related expense, goodwill impairment and (c) excluding the tax expense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Constant currency - We may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ind w:right="28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w w:val="98"/>
              </w:rPr>
              <w:t>Three Months Ended December 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w w:val="99"/>
              </w:rPr>
              <w:t>Twelve Months Ended December 31,</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4920" w:type="dxa"/>
            <w:vAlign w:val="bottom"/>
          </w:tcPr>
          <w:p>
            <w:pPr>
              <w:ind w:left="100"/>
              <w:spacing w:after="0"/>
              <w:rPr>
                <w:sz w:val="20"/>
                <w:szCs w:val="20"/>
                <w:color w:val="auto"/>
              </w:rPr>
            </w:pPr>
            <w:r>
              <w:rPr>
                <w:rFonts w:ascii="Arial" w:cs="Arial" w:eastAsia="Arial" w:hAnsi="Arial"/>
                <w:sz w:val="14"/>
                <w:szCs w:val="14"/>
                <w:b w:val="1"/>
                <w:bCs w:val="1"/>
                <w:color w:val="auto"/>
              </w:rPr>
              <w:t>NON-GAAP NET INCOME &amp; DILUTED EPS</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200"/>
              <w:spacing w:after="0"/>
              <w:rPr>
                <w:sz w:val="20"/>
                <w:szCs w:val="20"/>
                <w:color w:val="auto"/>
              </w:rPr>
            </w:pPr>
            <w:r>
              <w:rPr>
                <w:rFonts w:ascii="Arial" w:cs="Arial" w:eastAsia="Arial" w:hAnsi="Arial"/>
                <w:sz w:val="14"/>
                <w:szCs w:val="14"/>
                <w:color w:val="auto"/>
              </w:rPr>
              <w:t>GAAP net income attributable to Itron, Inc.</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11,649</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8,986</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31,770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12,678</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6,110</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7,943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25,112</w:t>
            </w:r>
          </w:p>
        </w:tc>
        <w:tc>
          <w:tcPr>
            <w:tcW w:w="4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31,673</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Amortization of debt placement fees</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245</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987</w:t>
            </w:r>
          </w:p>
        </w:tc>
        <w:tc>
          <w:tcPr>
            <w:tcW w:w="4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7,796</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49,090</w:t>
            </w:r>
          </w:p>
        </w:tc>
        <w:tc>
          <w:tcPr>
            <w:tcW w:w="4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(7,263)</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Acquisition-related expense (recovery)</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(197)</w:t>
            </w:r>
          </w:p>
        </w:tc>
        <w:tc>
          <w:tcPr>
            <w:tcW w:w="4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(5,538)</w:t>
            </w:r>
          </w:p>
        </w:tc>
        <w:tc>
          <w:tcPr>
            <w:tcW w:w="0" w:type="dxa"/>
            <w:vAlign w:val="bottom"/>
          </w:tcPr>
          <w:p>
            <w:pPr>
              <w:spacing w:after="0"/>
              <w:rPr>
                <w:sz w:val="1"/>
                <w:szCs w:val="1"/>
                <w:color w:val="auto"/>
              </w:rPr>
            </w:pPr>
          </w:p>
        </w:tc>
      </w:tr>
      <w:tr>
        <w:trPr>
          <w:trHeight w:val="181"/>
        </w:trPr>
        <w:tc>
          <w:tcPr>
            <w:tcW w:w="4920" w:type="dxa"/>
            <w:vAlign w:val="bottom"/>
          </w:tcPr>
          <w:p>
            <w:pPr>
              <w:ind w:left="300"/>
              <w:spacing w:after="0"/>
              <w:rPr>
                <w:sz w:val="20"/>
                <w:szCs w:val="20"/>
                <w:color w:val="auto"/>
              </w:rPr>
            </w:pPr>
            <w:r>
              <w:rPr>
                <w:rFonts w:ascii="Arial" w:cs="Arial" w:eastAsia="Arial" w:hAnsi="Arial"/>
                <w:sz w:val="14"/>
                <w:szCs w:val="14"/>
                <w:color w:val="auto"/>
              </w:rPr>
              <w:t>Income tax effect of non-GAAP adjustments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608</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(8,478)</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169"/>
        </w:trPr>
        <w:tc>
          <w:tcPr>
            <w:tcW w:w="4920" w:type="dxa"/>
            <w:vAlign w:val="bottom"/>
          </w:tcPr>
          <w:p>
            <w:pPr>
              <w:ind w:left="200"/>
              <w:spacing w:after="0"/>
              <w:rPr>
                <w:sz w:val="20"/>
                <w:szCs w:val="20"/>
                <w:color w:val="auto"/>
              </w:rPr>
            </w:pPr>
            <w:r>
              <w:rPr>
                <w:rFonts w:ascii="Arial" w:cs="Arial" w:eastAsia="Arial" w:hAnsi="Arial"/>
                <w:sz w:val="14"/>
                <w:szCs w:val="14"/>
                <w:color w:val="auto"/>
              </w:rPr>
              <w:t>Non-GAAP net income attributable to Itron, Inc.</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26,413</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17,366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98,284</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27,981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tcPr>
          <w:p>
            <w:pPr>
              <w:ind w:left="200"/>
              <w:spacing w:after="0"/>
              <w:rPr>
                <w:sz w:val="20"/>
                <w:szCs w:val="20"/>
                <w:color w:val="auto"/>
              </w:rPr>
            </w:pPr>
            <w:r>
              <w:rPr>
                <w:rFonts w:ascii="Arial" w:cs="Arial" w:eastAsia="Arial" w:hAnsi="Arial"/>
                <w:sz w:val="14"/>
                <w:szCs w:val="14"/>
                <w:color w:val="auto"/>
              </w:rPr>
              <w:t>Non-GAAP diluted EPS</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0.68</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0.45</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2.54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20" w:type="dxa"/>
            <w:vAlign w:val="bottom"/>
          </w:tcPr>
          <w:p>
            <w:pPr>
              <w:ind w:left="200"/>
              <w:spacing w:after="0"/>
              <w:rPr>
                <w:sz w:val="20"/>
                <w:szCs w:val="20"/>
                <w:color w:val="auto"/>
              </w:rPr>
            </w:pPr>
            <w:r>
              <w:rPr>
                <w:rFonts w:ascii="Arial" w:cs="Arial" w:eastAsia="Arial" w:hAnsi="Arial"/>
                <w:sz w:val="14"/>
                <w:szCs w:val="14"/>
                <w:color w:val="auto"/>
              </w:rPr>
              <w:t>Weighted average common shares outstanding - Diluted</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39,028</w:t>
            </w: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38,256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38,643</w:t>
            </w: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38,506</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ADJUSTED EBITDA</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200"/>
              <w:spacing w:after="0"/>
              <w:rPr>
                <w:sz w:val="20"/>
                <w:szCs w:val="20"/>
                <w:color w:val="auto"/>
              </w:rPr>
            </w:pPr>
            <w:r>
              <w:rPr>
                <w:rFonts w:ascii="Arial" w:cs="Arial" w:eastAsia="Arial" w:hAnsi="Arial"/>
                <w:sz w:val="14"/>
                <w:szCs w:val="14"/>
                <w:color w:val="auto"/>
              </w:rPr>
              <w:t>GAAP net income attributable to Itron, Inc.</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11,649</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8,986</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31,770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12,678</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4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(865)</w:t>
            </w:r>
          </w:p>
        </w:tc>
        <w:tc>
          <w:tcPr>
            <w:tcW w:w="4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2,604</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2,953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10,948</w:t>
            </w:r>
          </w:p>
        </w:tc>
        <w:tc>
          <w:tcPr>
            <w:tcW w:w="4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12,289</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Income tax provision</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15,325</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49,574</w:t>
            </w:r>
          </w:p>
        </w:tc>
        <w:tc>
          <w:tcPr>
            <w:tcW w:w="4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22,099</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16,755</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18,203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68,318</w:t>
            </w:r>
          </w:p>
        </w:tc>
        <w:tc>
          <w:tcPr>
            <w:tcW w:w="4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75,993</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7,796</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49,090</w:t>
            </w:r>
          </w:p>
        </w:tc>
        <w:tc>
          <w:tcPr>
            <w:tcW w:w="4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(7,263)</w:t>
            </w:r>
          </w:p>
        </w:tc>
        <w:tc>
          <w:tcPr>
            <w:tcW w:w="0" w:type="dxa"/>
            <w:vAlign w:val="bottom"/>
          </w:tcPr>
          <w:p>
            <w:pPr>
              <w:spacing w:after="0"/>
              <w:rPr>
                <w:sz w:val="1"/>
                <w:szCs w:val="1"/>
                <w:color w:val="auto"/>
              </w:rPr>
            </w:pPr>
          </w:p>
        </w:tc>
      </w:tr>
      <w:tr>
        <w:trPr>
          <w:trHeight w:val="181"/>
        </w:trPr>
        <w:tc>
          <w:tcPr>
            <w:tcW w:w="4920" w:type="dxa"/>
            <w:vAlign w:val="bottom"/>
          </w:tcPr>
          <w:p>
            <w:pPr>
              <w:ind w:left="300"/>
              <w:spacing w:after="0"/>
              <w:rPr>
                <w:sz w:val="20"/>
                <w:szCs w:val="20"/>
                <w:color w:val="auto"/>
              </w:rPr>
            </w:pPr>
            <w:r>
              <w:rPr>
                <w:rFonts w:ascii="Arial" w:cs="Arial" w:eastAsia="Arial" w:hAnsi="Arial"/>
                <w:sz w:val="14"/>
                <w:szCs w:val="14"/>
                <w:color w:val="auto"/>
              </w:rPr>
              <w:t>Acquisition-related expense (recovery)</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(5,538)</w:t>
            </w:r>
          </w:p>
        </w:tc>
        <w:tc>
          <w:tcPr>
            <w:tcW w:w="0" w:type="dxa"/>
            <w:vAlign w:val="bottom"/>
          </w:tcPr>
          <w:p>
            <w:pPr>
              <w:spacing w:after="0"/>
              <w:rPr>
                <w:sz w:val="1"/>
                <w:szCs w:val="1"/>
                <w:color w:val="auto"/>
              </w:rPr>
            </w:pPr>
          </w:p>
        </w:tc>
      </w:tr>
      <w:tr>
        <w:trPr>
          <w:trHeight w:val="169"/>
        </w:trPr>
        <w:tc>
          <w:tcPr>
            <w:tcW w:w="4920" w:type="dxa"/>
            <w:vAlign w:val="bottom"/>
          </w:tcPr>
          <w:p>
            <w:pPr>
              <w:ind w:left="20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53,863</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34,441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208,638</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109,497</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33,961</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53,196</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115,842</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73,350</w:t>
            </w:r>
          </w:p>
        </w:tc>
        <w:tc>
          <w:tcPr>
            <w:tcW w:w="0" w:type="dxa"/>
            <w:vAlign w:val="bottom"/>
          </w:tcPr>
          <w:p>
            <w:pPr>
              <w:spacing w:after="0"/>
              <w:rPr>
                <w:sz w:val="1"/>
                <w:szCs w:val="1"/>
                <w:color w:val="auto"/>
              </w:rPr>
            </w:pPr>
          </w:p>
        </w:tc>
      </w:tr>
      <w:tr>
        <w:trPr>
          <w:trHeight w:val="181"/>
        </w:trPr>
        <w:tc>
          <w:tcPr>
            <w:tcW w:w="4920" w:type="dxa"/>
            <w:vAlign w:val="bottom"/>
          </w:tcPr>
          <w:p>
            <w:pPr>
              <w:ind w:left="300"/>
              <w:spacing w:after="0"/>
              <w:rPr>
                <w:sz w:val="20"/>
                <w:szCs w:val="20"/>
                <w:color w:val="auto"/>
              </w:rPr>
            </w:pPr>
            <w:r>
              <w:rPr>
                <w:rFonts w:ascii="Arial" w:cs="Arial" w:eastAsia="Arial" w:hAnsi="Arial"/>
                <w:sz w:val="14"/>
                <w:szCs w:val="14"/>
                <w:color w:val="auto"/>
              </w:rPr>
              <w:t>Acquisitions of property, plant, and equipment</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(12,980)</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(10,594)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(43,543)</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(43,918)</w:t>
            </w:r>
          </w:p>
        </w:tc>
        <w:tc>
          <w:tcPr>
            <w:tcW w:w="0" w:type="dxa"/>
            <w:vAlign w:val="bottom"/>
          </w:tcPr>
          <w:p>
            <w:pPr>
              <w:spacing w:after="0"/>
              <w:rPr>
                <w:sz w:val="1"/>
                <w:szCs w:val="1"/>
                <w:color w:val="auto"/>
              </w:rPr>
            </w:pPr>
          </w:p>
        </w:tc>
      </w:tr>
      <w:tr>
        <w:trPr>
          <w:trHeight w:val="169"/>
        </w:trPr>
        <w:tc>
          <w:tcPr>
            <w:tcW w:w="4920" w:type="dxa"/>
            <w:vAlign w:val="bottom"/>
          </w:tcPr>
          <w:p>
            <w:pPr>
              <w:ind w:left="200"/>
              <w:spacing w:after="0"/>
              <w:rPr>
                <w:sz w:val="20"/>
                <w:szCs w:val="20"/>
                <w:color w:val="auto"/>
              </w:rPr>
            </w:pPr>
            <w:r>
              <w:rPr>
                <w:rFonts w:ascii="Arial" w:cs="Arial" w:eastAsia="Arial" w:hAnsi="Arial"/>
                <w:sz w:val="14"/>
                <w:szCs w:val="14"/>
                <w:color w:val="auto"/>
              </w:rPr>
              <w:t>Free Cash Flow</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20,981</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42,602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72,299</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29,432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NON-GAAP OPERATING INCOME</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200"/>
              <w:spacing w:after="0"/>
              <w:rPr>
                <w:sz w:val="20"/>
                <w:szCs w:val="20"/>
                <w:color w:val="auto"/>
              </w:rPr>
            </w:pPr>
            <w:r>
              <w:rPr>
                <w:rFonts w:ascii="Arial" w:cs="Arial" w:eastAsia="Arial" w:hAnsi="Arial"/>
                <w:sz w:val="14"/>
                <w:szCs w:val="14"/>
                <w:color w:val="auto"/>
              </w:rPr>
              <w:t>GAAP operating income</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30,754</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16,378</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96,211</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52,846</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6,110</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7,943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25,112</w:t>
            </w:r>
          </w:p>
        </w:tc>
        <w:tc>
          <w:tcPr>
            <w:tcW w:w="4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31,673</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7,796</w:t>
            </w:r>
          </w:p>
        </w:tc>
        <w:tc>
          <w:tcPr>
            <w:tcW w:w="42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49,090</w:t>
            </w:r>
          </w:p>
        </w:tc>
        <w:tc>
          <w:tcPr>
            <w:tcW w:w="4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(7,263)</w:t>
            </w:r>
          </w:p>
        </w:tc>
        <w:tc>
          <w:tcPr>
            <w:tcW w:w="0" w:type="dxa"/>
            <w:vAlign w:val="bottom"/>
          </w:tcPr>
          <w:p>
            <w:pPr>
              <w:spacing w:after="0"/>
              <w:rPr>
                <w:sz w:val="1"/>
                <w:szCs w:val="1"/>
                <w:color w:val="auto"/>
              </w:rPr>
            </w:pPr>
          </w:p>
        </w:tc>
      </w:tr>
      <w:tr>
        <w:trPr>
          <w:trHeight w:val="181"/>
        </w:trPr>
        <w:tc>
          <w:tcPr>
            <w:tcW w:w="4920" w:type="dxa"/>
            <w:vAlign w:val="bottom"/>
          </w:tcPr>
          <w:p>
            <w:pPr>
              <w:ind w:left="300"/>
              <w:spacing w:after="0"/>
              <w:rPr>
                <w:sz w:val="20"/>
                <w:szCs w:val="20"/>
                <w:color w:val="auto"/>
              </w:rPr>
            </w:pPr>
            <w:r>
              <w:rPr>
                <w:rFonts w:ascii="Arial" w:cs="Arial" w:eastAsia="Arial" w:hAnsi="Arial"/>
                <w:sz w:val="14"/>
                <w:szCs w:val="14"/>
                <w:color w:val="auto"/>
              </w:rPr>
              <w:t>Acquisition-related expense (recovery)</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(5,538)</w:t>
            </w:r>
          </w:p>
        </w:tc>
        <w:tc>
          <w:tcPr>
            <w:tcW w:w="0" w:type="dxa"/>
            <w:vAlign w:val="bottom"/>
          </w:tcPr>
          <w:p>
            <w:pPr>
              <w:spacing w:after="0"/>
              <w:rPr>
                <w:sz w:val="1"/>
                <w:szCs w:val="1"/>
                <w:color w:val="auto"/>
              </w:rPr>
            </w:pPr>
          </w:p>
        </w:tc>
      </w:tr>
      <w:tr>
        <w:trPr>
          <w:trHeight w:val="169"/>
        </w:trPr>
        <w:tc>
          <w:tcPr>
            <w:tcW w:w="4920" w:type="dxa"/>
            <w:vAlign w:val="bottom"/>
          </w:tcPr>
          <w:p>
            <w:pPr>
              <w:ind w:left="200"/>
              <w:spacing w:after="0"/>
              <w:rPr>
                <w:sz w:val="20"/>
                <w:szCs w:val="20"/>
                <w:color w:val="auto"/>
              </w:rPr>
            </w:pPr>
            <w:r>
              <w:rPr>
                <w:rFonts w:ascii="Arial" w:cs="Arial" w:eastAsia="Arial" w:hAnsi="Arial"/>
                <w:sz w:val="14"/>
                <w:szCs w:val="14"/>
                <w:color w:val="auto"/>
              </w:rPr>
              <w:t>Non-GAAP operating income</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44,665</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25,902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170,216</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71,718</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NON-GAAP OPERATING EXPENSE</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200"/>
              <w:spacing w:after="0"/>
              <w:rPr>
                <w:sz w:val="20"/>
                <w:szCs w:val="20"/>
                <w:color w:val="auto"/>
              </w:rPr>
            </w:pPr>
            <w:r>
              <w:rPr>
                <w:rFonts w:ascii="Arial" w:cs="Arial" w:eastAsia="Arial" w:hAnsi="Arial"/>
                <w:sz w:val="14"/>
                <w:szCs w:val="14"/>
                <w:color w:val="auto"/>
              </w:rPr>
              <w:t>GAAP operating expense</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125,909</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136,041</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564,109</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503,839</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(6,110)</w:t>
            </w:r>
          </w:p>
        </w:tc>
        <w:tc>
          <w:tcPr>
            <w:tcW w:w="4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(7,943)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(25,112)</w:t>
            </w:r>
          </w:p>
        </w:tc>
        <w:tc>
          <w:tcPr>
            <w:tcW w:w="4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(31,673)</w:t>
            </w:r>
          </w:p>
        </w:tc>
        <w:tc>
          <w:tcPr>
            <w:tcW w:w="0" w:type="dxa"/>
            <w:vAlign w:val="bottom"/>
          </w:tcPr>
          <w:p>
            <w:pPr>
              <w:spacing w:after="0"/>
              <w:rPr>
                <w:sz w:val="1"/>
                <w:szCs w:val="1"/>
                <w:color w:val="auto"/>
              </w:rPr>
            </w:pPr>
          </w:p>
        </w:tc>
      </w:tr>
      <w:tr>
        <w:trPr>
          <w:trHeight w:val="176"/>
        </w:trPr>
        <w:tc>
          <w:tcPr>
            <w:tcW w:w="4920" w:type="dxa"/>
            <w:vAlign w:val="bottom"/>
          </w:tcPr>
          <w:p>
            <w:pPr>
              <w:ind w:left="300"/>
              <w:spacing w:after="0"/>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(7,796)</w:t>
            </w:r>
          </w:p>
        </w:tc>
        <w:tc>
          <w:tcPr>
            <w:tcW w:w="4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(49,090)</w:t>
            </w:r>
          </w:p>
        </w:tc>
        <w:tc>
          <w:tcPr>
            <w:tcW w:w="44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7,263</w:t>
            </w:r>
          </w:p>
        </w:tc>
        <w:tc>
          <w:tcPr>
            <w:tcW w:w="0" w:type="dxa"/>
            <w:vAlign w:val="bottom"/>
          </w:tcPr>
          <w:p>
            <w:pPr>
              <w:spacing w:after="0"/>
              <w:rPr>
                <w:sz w:val="1"/>
                <w:szCs w:val="1"/>
                <w:color w:val="auto"/>
              </w:rPr>
            </w:pPr>
          </w:p>
        </w:tc>
      </w:tr>
      <w:tr>
        <w:trPr>
          <w:trHeight w:val="181"/>
        </w:trPr>
        <w:tc>
          <w:tcPr>
            <w:tcW w:w="4920" w:type="dxa"/>
            <w:vAlign w:val="bottom"/>
          </w:tcPr>
          <w:p>
            <w:pPr>
              <w:ind w:left="300"/>
              <w:spacing w:after="0"/>
              <w:rPr>
                <w:sz w:val="20"/>
                <w:szCs w:val="20"/>
                <w:color w:val="auto"/>
              </w:rPr>
            </w:pPr>
            <w:r>
              <w:rPr>
                <w:rFonts w:ascii="Arial" w:cs="Arial" w:eastAsia="Arial" w:hAnsi="Arial"/>
                <w:sz w:val="14"/>
                <w:szCs w:val="14"/>
                <w:color w:val="auto"/>
              </w:rPr>
              <w:t>Acquisition-related recovery (expense)</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197</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5,538</w:t>
            </w:r>
          </w:p>
        </w:tc>
        <w:tc>
          <w:tcPr>
            <w:tcW w:w="0" w:type="dxa"/>
            <w:vAlign w:val="bottom"/>
          </w:tcPr>
          <w:p>
            <w:pPr>
              <w:spacing w:after="0"/>
              <w:rPr>
                <w:sz w:val="1"/>
                <w:szCs w:val="1"/>
                <w:color w:val="auto"/>
              </w:rPr>
            </w:pPr>
          </w:p>
        </w:tc>
      </w:tr>
      <w:tr>
        <w:trPr>
          <w:trHeight w:val="169"/>
        </w:trPr>
        <w:tc>
          <w:tcPr>
            <w:tcW w:w="4920" w:type="dxa"/>
            <w:vAlign w:val="bottom"/>
          </w:tcPr>
          <w:p>
            <w:pPr>
              <w:ind w:left="200"/>
              <w:spacing w:after="0"/>
              <w:rPr>
                <w:sz w:val="20"/>
                <w:szCs w:val="20"/>
                <w:color w:val="auto"/>
              </w:rPr>
            </w:pPr>
            <w:r>
              <w:rPr>
                <w:rFonts w:ascii="Arial" w:cs="Arial" w:eastAsia="Arial" w:hAnsi="Arial"/>
                <w:sz w:val="14"/>
                <w:szCs w:val="14"/>
                <w:color w:val="auto"/>
              </w:rPr>
              <w:t>Non-GAAP operating expense</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111,998</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126,517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490,104</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484,967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RECONCILIATIONS</w:t>
            </w: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4"/>
              </w:rPr>
              <w:t>Three Months Ended December 31,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w w:val="94"/>
              </w:rPr>
              <w:t>Twelve Months Ended December 31,</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4"/>
        </w:trPr>
        <w:tc>
          <w:tcPr>
            <w:tcW w:w="5760" w:type="dxa"/>
            <w:vAlign w:val="bottom"/>
          </w:tcPr>
          <w:p>
            <w:pPr>
              <w:ind w:left="80"/>
              <w:spacing w:after="0"/>
              <w:rPr>
                <w:sz w:val="20"/>
                <w:szCs w:val="20"/>
                <w:color w:val="auto"/>
              </w:rPr>
            </w:pPr>
            <w:r>
              <w:rPr>
                <w:rFonts w:ascii="Arial" w:cs="Arial" w:eastAsia="Arial" w:hAnsi="Arial"/>
                <w:sz w:val="14"/>
                <w:szCs w:val="14"/>
                <w:b w:val="1"/>
                <w:bCs w:val="1"/>
                <w:color w:val="auto"/>
              </w:rPr>
              <w:t>NON-GAAP OPERATING INCOME - ELECTRICITY</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00"/>
              <w:spacing w:after="0"/>
              <w:rPr>
                <w:sz w:val="20"/>
                <w:szCs w:val="20"/>
                <w:color w:val="auto"/>
              </w:rPr>
            </w:pPr>
            <w:r>
              <w:rPr>
                <w:rFonts w:ascii="Arial" w:cs="Arial" w:eastAsia="Arial" w:hAnsi="Arial"/>
                <w:sz w:val="14"/>
                <w:szCs w:val="14"/>
                <w:color w:val="auto"/>
              </w:rPr>
              <w:t>Electricity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17,195</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16,146</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68,287</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31,104</w:t>
            </w:r>
          </w:p>
        </w:tc>
        <w:tc>
          <w:tcPr>
            <w:tcW w:w="0" w:type="dxa"/>
            <w:vAlign w:val="bottom"/>
          </w:tcPr>
          <w:p>
            <w:pPr>
              <w:spacing w:after="0"/>
              <w:rPr>
                <w:sz w:val="1"/>
                <w:szCs w:val="1"/>
                <w:color w:val="auto"/>
              </w:rPr>
            </w:pPr>
          </w:p>
        </w:tc>
      </w:tr>
      <w:tr>
        <w:trPr>
          <w:trHeight w:val="176"/>
        </w:trPr>
        <w:tc>
          <w:tcPr>
            <w:tcW w:w="576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3,223</w:t>
            </w: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4,367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13,273</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17,663</w:t>
            </w:r>
          </w:p>
        </w:tc>
        <w:tc>
          <w:tcPr>
            <w:tcW w:w="0" w:type="dxa"/>
            <w:vAlign w:val="bottom"/>
          </w:tcPr>
          <w:p>
            <w:pPr>
              <w:spacing w:after="0"/>
              <w:rPr>
                <w:sz w:val="1"/>
                <w:szCs w:val="1"/>
                <w:color w:val="auto"/>
              </w:rPr>
            </w:pPr>
          </w:p>
        </w:tc>
      </w:tr>
      <w:tr>
        <w:trPr>
          <w:trHeight w:val="176"/>
        </w:trPr>
        <w:tc>
          <w:tcPr>
            <w:tcW w:w="5760" w:type="dxa"/>
            <w:vAlign w:val="bottom"/>
          </w:tcPr>
          <w:p>
            <w:pPr>
              <w:ind w:left="34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2,283</w:t>
            </w:r>
          </w:p>
        </w:tc>
        <w:tc>
          <w:tcPr>
            <w:tcW w:w="4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7,694</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(7,253)</w:t>
            </w:r>
          </w:p>
        </w:tc>
        <w:tc>
          <w:tcPr>
            <w:tcW w:w="0" w:type="dxa"/>
            <w:vAlign w:val="bottom"/>
          </w:tcPr>
          <w:p>
            <w:pPr>
              <w:spacing w:after="0"/>
              <w:rPr>
                <w:sz w:val="1"/>
                <w:szCs w:val="1"/>
                <w:color w:val="auto"/>
              </w:rPr>
            </w:pPr>
          </w:p>
        </w:tc>
      </w:tr>
      <w:tr>
        <w:trPr>
          <w:trHeight w:val="181"/>
        </w:trPr>
        <w:tc>
          <w:tcPr>
            <w:tcW w:w="5760" w:type="dxa"/>
            <w:vAlign w:val="bottom"/>
          </w:tcPr>
          <w:p>
            <w:pPr>
              <w:ind w:left="340"/>
              <w:spacing w:after="0"/>
              <w:rPr>
                <w:sz w:val="20"/>
                <w:szCs w:val="20"/>
                <w:color w:val="auto"/>
              </w:rPr>
            </w:pPr>
            <w:r>
              <w:rPr>
                <w:rFonts w:ascii="Arial" w:cs="Arial" w:eastAsia="Arial" w:hAnsi="Arial"/>
                <w:sz w:val="14"/>
                <w:szCs w:val="14"/>
                <w:color w:val="auto"/>
              </w:rPr>
              <w:t>Acquisition-related expense (recovery)</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(5,655)</w:t>
            </w:r>
          </w:p>
        </w:tc>
        <w:tc>
          <w:tcPr>
            <w:tcW w:w="0" w:type="dxa"/>
            <w:vAlign w:val="bottom"/>
          </w:tcPr>
          <w:p>
            <w:pPr>
              <w:spacing w:after="0"/>
              <w:rPr>
                <w:sz w:val="1"/>
                <w:szCs w:val="1"/>
                <w:color w:val="auto"/>
              </w:rPr>
            </w:pPr>
          </w:p>
        </w:tc>
      </w:tr>
      <w:tr>
        <w:trPr>
          <w:trHeight w:val="169"/>
        </w:trPr>
        <w:tc>
          <w:tcPr>
            <w:tcW w:w="5760" w:type="dxa"/>
            <w:vAlign w:val="bottom"/>
          </w:tcPr>
          <w:p>
            <w:pPr>
              <w:ind w:left="200"/>
              <w:spacing w:after="0"/>
              <w:rPr>
                <w:sz w:val="20"/>
                <w:szCs w:val="20"/>
                <w:color w:val="auto"/>
              </w:rPr>
            </w:pPr>
            <w:r>
              <w:rPr>
                <w:rFonts w:ascii="Arial" w:cs="Arial" w:eastAsia="Arial" w:hAnsi="Arial"/>
                <w:sz w:val="14"/>
                <w:szCs w:val="14"/>
                <w:color w:val="auto"/>
              </w:rPr>
              <w:t>Electricity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22,706</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20,421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89,057</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35,859</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GAS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00"/>
              <w:spacing w:after="0"/>
              <w:rPr>
                <w:sz w:val="20"/>
                <w:szCs w:val="20"/>
                <w:color w:val="auto"/>
              </w:rPr>
            </w:pPr>
            <w:r>
              <w:rPr>
                <w:rFonts w:ascii="Arial" w:cs="Arial" w:eastAsia="Arial" w:hAnsi="Arial"/>
                <w:sz w:val="14"/>
                <w:szCs w:val="14"/>
                <w:color w:val="auto"/>
              </w:rPr>
              <w:t>Gas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18,002</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22,485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66,813</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67,471</w:t>
            </w:r>
          </w:p>
        </w:tc>
        <w:tc>
          <w:tcPr>
            <w:tcW w:w="0" w:type="dxa"/>
            <w:vAlign w:val="bottom"/>
          </w:tcPr>
          <w:p>
            <w:pPr>
              <w:spacing w:after="0"/>
              <w:rPr>
                <w:sz w:val="1"/>
                <w:szCs w:val="1"/>
                <w:color w:val="auto"/>
              </w:rPr>
            </w:pPr>
          </w:p>
        </w:tc>
      </w:tr>
      <w:tr>
        <w:trPr>
          <w:trHeight w:val="176"/>
        </w:trPr>
        <w:tc>
          <w:tcPr>
            <w:tcW w:w="576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1,568</w:t>
            </w: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1,922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6,456</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7,787</w:t>
            </w:r>
          </w:p>
        </w:tc>
        <w:tc>
          <w:tcPr>
            <w:tcW w:w="0" w:type="dxa"/>
            <w:vAlign w:val="bottom"/>
          </w:tcPr>
          <w:p>
            <w:pPr>
              <w:spacing w:after="0"/>
              <w:rPr>
                <w:sz w:val="1"/>
                <w:szCs w:val="1"/>
                <w:color w:val="auto"/>
              </w:rPr>
            </w:pPr>
          </w:p>
        </w:tc>
      </w:tr>
      <w:tr>
        <w:trPr>
          <w:trHeight w:val="181"/>
        </w:trPr>
        <w:tc>
          <w:tcPr>
            <w:tcW w:w="5760" w:type="dxa"/>
            <w:vAlign w:val="bottom"/>
          </w:tcPr>
          <w:p>
            <w:pPr>
              <w:ind w:left="340"/>
              <w:spacing w:after="0"/>
              <w:rPr>
                <w:sz w:val="20"/>
                <w:szCs w:val="20"/>
                <w:color w:val="auto"/>
              </w:rPr>
            </w:pPr>
            <w:r>
              <w:rPr>
                <w:rFonts w:ascii="Arial" w:cs="Arial" w:eastAsia="Arial" w:hAnsi="Arial"/>
                <w:sz w:val="14"/>
                <w:szCs w:val="14"/>
                <w:color w:val="auto"/>
              </w:rPr>
              <w:t>Restructuring</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3,754</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25,744</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69"/>
        </w:trPr>
        <w:tc>
          <w:tcPr>
            <w:tcW w:w="5760" w:type="dxa"/>
            <w:vAlign w:val="bottom"/>
          </w:tcPr>
          <w:p>
            <w:pPr>
              <w:ind w:left="200"/>
              <w:spacing w:after="0"/>
              <w:rPr>
                <w:sz w:val="20"/>
                <w:szCs w:val="20"/>
                <w:color w:val="auto"/>
              </w:rPr>
            </w:pPr>
            <w:r>
              <w:rPr>
                <w:rFonts w:ascii="Arial" w:cs="Arial" w:eastAsia="Arial" w:hAnsi="Arial"/>
                <w:sz w:val="14"/>
                <w:szCs w:val="14"/>
                <w:color w:val="auto"/>
              </w:rPr>
              <w:t>Gas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23,324</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25,021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99,013</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74,971</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WATER</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00"/>
              <w:spacing w:after="0"/>
              <w:rPr>
                <w:sz w:val="20"/>
                <w:szCs w:val="20"/>
                <w:color w:val="auto"/>
              </w:rPr>
            </w:pPr>
            <w:r>
              <w:rPr>
                <w:rFonts w:ascii="Arial" w:cs="Arial" w:eastAsia="Arial" w:hAnsi="Arial"/>
                <w:sz w:val="14"/>
                <w:szCs w:val="14"/>
                <w:color w:val="auto"/>
              </w:rPr>
              <w:t>Water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8,559</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8,449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37,266</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19,864</w:t>
            </w:r>
          </w:p>
        </w:tc>
        <w:tc>
          <w:tcPr>
            <w:tcW w:w="0" w:type="dxa"/>
            <w:vAlign w:val="bottom"/>
          </w:tcPr>
          <w:p>
            <w:pPr>
              <w:spacing w:after="0"/>
              <w:rPr>
                <w:sz w:val="1"/>
                <w:szCs w:val="1"/>
                <w:color w:val="auto"/>
              </w:rPr>
            </w:pPr>
          </w:p>
        </w:tc>
      </w:tr>
      <w:tr>
        <w:trPr>
          <w:trHeight w:val="176"/>
        </w:trPr>
        <w:tc>
          <w:tcPr>
            <w:tcW w:w="576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1,319</w:t>
            </w: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1,654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5,383</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6,223</w:t>
            </w:r>
          </w:p>
        </w:tc>
        <w:tc>
          <w:tcPr>
            <w:tcW w:w="0" w:type="dxa"/>
            <w:vAlign w:val="bottom"/>
          </w:tcPr>
          <w:p>
            <w:pPr>
              <w:spacing w:after="0"/>
              <w:rPr>
                <w:sz w:val="1"/>
                <w:szCs w:val="1"/>
                <w:color w:val="auto"/>
              </w:rPr>
            </w:pPr>
          </w:p>
        </w:tc>
      </w:tr>
      <w:tr>
        <w:trPr>
          <w:trHeight w:val="176"/>
        </w:trPr>
        <w:tc>
          <w:tcPr>
            <w:tcW w:w="5760" w:type="dxa"/>
            <w:vAlign w:val="bottom"/>
          </w:tcPr>
          <w:p>
            <w:pPr>
              <w:ind w:left="34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651</w:t>
            </w: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13,116</w:t>
            </w:r>
          </w:p>
        </w:tc>
        <w:tc>
          <w:tcPr>
            <w:tcW w:w="50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81"/>
        </w:trPr>
        <w:tc>
          <w:tcPr>
            <w:tcW w:w="5760" w:type="dxa"/>
            <w:vAlign w:val="bottom"/>
          </w:tcPr>
          <w:p>
            <w:pPr>
              <w:ind w:left="340"/>
              <w:spacing w:after="0"/>
              <w:rPr>
                <w:sz w:val="20"/>
                <w:szCs w:val="20"/>
                <w:color w:val="auto"/>
              </w:rPr>
            </w:pPr>
            <w:r>
              <w:rPr>
                <w:rFonts w:ascii="Arial" w:cs="Arial" w:eastAsia="Arial" w:hAnsi="Arial"/>
                <w:sz w:val="14"/>
                <w:szCs w:val="14"/>
                <w:color w:val="auto"/>
              </w:rPr>
              <w:t>Acquisition-related expense</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9"/>
        </w:trPr>
        <w:tc>
          <w:tcPr>
            <w:tcW w:w="5760" w:type="dxa"/>
            <w:vAlign w:val="bottom"/>
          </w:tcPr>
          <w:p>
            <w:pPr>
              <w:ind w:left="200"/>
              <w:spacing w:after="0"/>
              <w:rPr>
                <w:sz w:val="20"/>
                <w:szCs w:val="20"/>
                <w:color w:val="auto"/>
              </w:rPr>
            </w:pPr>
            <w:r>
              <w:rPr>
                <w:rFonts w:ascii="Arial" w:cs="Arial" w:eastAsia="Arial" w:hAnsi="Arial"/>
                <w:sz w:val="14"/>
                <w:szCs w:val="14"/>
                <w:color w:val="auto"/>
              </w:rPr>
              <w:t>Water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10,529</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10,335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55,765</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26,969</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200"/>
              <w:spacing w:after="0"/>
              <w:rPr>
                <w:sz w:val="20"/>
                <w:szCs w:val="20"/>
                <w:color w:val="auto"/>
              </w:rPr>
            </w:pPr>
            <w:r>
              <w:rPr>
                <w:rFonts w:ascii="Arial" w:cs="Arial" w:eastAsia="Arial" w:hAnsi="Arial"/>
                <w:sz w:val="14"/>
                <w:szCs w:val="14"/>
                <w:color w:val="auto"/>
              </w:rPr>
              <w:t>Corporate unallocated - GAAP operating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(13,002)</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(30,702)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(76,155)</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(65,593)</w:t>
            </w:r>
          </w:p>
        </w:tc>
        <w:tc>
          <w:tcPr>
            <w:tcW w:w="0" w:type="dxa"/>
            <w:vAlign w:val="bottom"/>
          </w:tcPr>
          <w:p>
            <w:pPr>
              <w:spacing w:after="0"/>
              <w:rPr>
                <w:sz w:val="1"/>
                <w:szCs w:val="1"/>
                <w:color w:val="auto"/>
              </w:rPr>
            </w:pPr>
          </w:p>
        </w:tc>
      </w:tr>
      <w:tr>
        <w:trPr>
          <w:trHeight w:val="176"/>
        </w:trPr>
        <w:tc>
          <w:tcPr>
            <w:tcW w:w="5760" w:type="dxa"/>
            <w:vAlign w:val="bottom"/>
          </w:tcPr>
          <w:p>
            <w:pPr>
              <w:ind w:left="34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1,108</w:t>
            </w: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2,536</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81"/>
        </w:trPr>
        <w:tc>
          <w:tcPr>
            <w:tcW w:w="5760" w:type="dxa"/>
            <w:vAlign w:val="bottom"/>
          </w:tcPr>
          <w:p>
            <w:pPr>
              <w:ind w:left="340"/>
              <w:spacing w:after="0"/>
              <w:rPr>
                <w:sz w:val="20"/>
                <w:szCs w:val="20"/>
                <w:color w:val="auto"/>
              </w:rPr>
            </w:pPr>
            <w:r>
              <w:rPr>
                <w:rFonts w:ascii="Arial" w:cs="Arial" w:eastAsia="Arial" w:hAnsi="Arial"/>
                <w:sz w:val="14"/>
                <w:szCs w:val="14"/>
                <w:color w:val="auto"/>
              </w:rPr>
              <w:t>Acquisition-related expense (recovery)</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5760" w:type="dxa"/>
            <w:vAlign w:val="bottom"/>
          </w:tcPr>
          <w:p>
            <w:pPr>
              <w:ind w:left="200"/>
              <w:spacing w:after="0"/>
              <w:rPr>
                <w:sz w:val="20"/>
                <w:szCs w:val="20"/>
                <w:color w:val="auto"/>
              </w:rPr>
            </w:pPr>
            <w:r>
              <w:rPr>
                <w:rFonts w:ascii="Arial" w:cs="Arial" w:eastAsia="Arial" w:hAnsi="Arial"/>
                <w:sz w:val="14"/>
                <w:szCs w:val="14"/>
                <w:color w:val="auto"/>
              </w:rPr>
              <w:t>Corporate unallocated - Non-GAAP operating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(11,894)</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(29,875)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(73,619)</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(66,081)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509-891-3443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Rebecca Hussey</w:t>
      </w:r>
    </w:p>
    <w:p>
      <w:pPr>
        <w:spacing w:after="0" w:line="231" w:lineRule="auto"/>
        <w:rPr>
          <w:sz w:val="20"/>
          <w:szCs w:val="20"/>
          <w:color w:val="auto"/>
        </w:rPr>
      </w:pPr>
      <w:r>
        <w:rPr>
          <w:rFonts w:ascii="Arial" w:cs="Arial" w:eastAsia="Arial" w:hAnsi="Arial"/>
          <w:sz w:val="22"/>
          <w:szCs w:val="22"/>
          <w:color w:val="auto"/>
        </w:rPr>
        <w:t>Program Manager, Investor Relations</w:t>
      </w:r>
    </w:p>
    <w:p>
      <w:pPr>
        <w:spacing w:after="0"/>
        <w:rPr>
          <w:sz w:val="20"/>
          <w:szCs w:val="20"/>
          <w:color w:val="auto"/>
        </w:rPr>
      </w:pPr>
      <w:r>
        <w:rPr>
          <w:rFonts w:ascii="Arial" w:cs="Arial" w:eastAsia="Arial" w:hAnsi="Arial"/>
          <w:sz w:val="22"/>
          <w:szCs w:val="22"/>
          <w:color w:val="auto"/>
        </w:rPr>
        <w:t>509-891-3574</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2019-12-05T12:41:12Z</dcterms:created>
  <dcterms:modified xsi:type="dcterms:W3CDTF">2019-12-05T12:41:12Z</dcterms:modified>
</cp:coreProperties>
</file>