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8"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____________________________</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64"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(Amendment No. 1)</w:t>
      </w:r>
    </w:p>
    <w:p>
      <w:pPr>
        <w:spacing w:after="0" w:line="22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January 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1883410</wp:posOffset>
            </wp:positionH>
            <wp:positionV relativeFrom="paragraph">
              <wp:posOffset>31115</wp:posOffset>
            </wp:positionV>
            <wp:extent cx="3490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1600200</wp:posOffset>
            </wp:positionH>
            <wp:positionV relativeFrom="paragraph">
              <wp:posOffset>31115</wp:posOffset>
            </wp:positionV>
            <wp:extent cx="406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399" w:lineRule="exact"/>
        <w:rPr>
          <w:sz w:val="24"/>
          <w:szCs w:val="24"/>
          <w:color w:val="auto"/>
        </w:rPr>
      </w:pPr>
    </w:p>
    <w:tbl>
      <w:tblPr>
        <w:tblLayout w:type="fixed"/>
        <w:tblInd w:w="920" w:type="dxa"/>
        <w:tblCellMar>
          <w:top w:w="0" w:type="dxa"/>
          <w:left w:w="0" w:type="dxa"/>
          <w:bottom w:w="0" w:type="dxa"/>
          <w:right w:w="0" w:type="dxa"/>
        </w:tblCellMar>
      </w:tblPr>
      <w:tr>
        <w:trPr>
          <w:trHeight w:val="256"/>
        </w:trPr>
        <w:tc>
          <w:tcPr>
            <w:tcW w:w="2660" w:type="dxa"/>
            <w:vAlign w:val="bottom"/>
          </w:tcPr>
          <w:p>
            <w:pPr>
              <w:jc w:val="center"/>
              <w:ind w:left="221"/>
              <w:spacing w:after="0"/>
              <w:rPr>
                <w:sz w:val="20"/>
                <w:szCs w:val="20"/>
                <w:color w:val="auto"/>
              </w:rPr>
            </w:pPr>
            <w:r>
              <w:rPr>
                <w:rFonts w:ascii="Arial" w:cs="Arial" w:eastAsia="Arial" w:hAnsi="Arial"/>
                <w:sz w:val="20"/>
                <w:szCs w:val="20"/>
                <w:b w:val="1"/>
                <w:bCs w:val="1"/>
                <w:color w:val="auto"/>
                <w:w w:val="89"/>
              </w:rPr>
              <w:t>Washington</w:t>
            </w:r>
          </w:p>
        </w:tc>
        <w:tc>
          <w:tcPr>
            <w:tcW w:w="3400" w:type="dxa"/>
            <w:vAlign w:val="bottom"/>
            <w:gridSpan w:val="3"/>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560" w:type="dxa"/>
            <w:vAlign w:val="bottom"/>
          </w:tcPr>
          <w:p>
            <w:pPr>
              <w:jc w:val="center"/>
              <w:ind w:right="581"/>
              <w:spacing w:after="0"/>
              <w:rPr>
                <w:sz w:val="20"/>
                <w:szCs w:val="20"/>
                <w:color w:val="auto"/>
              </w:rPr>
            </w:pPr>
            <w:r>
              <w:rPr>
                <w:rFonts w:ascii="Arial" w:cs="Arial" w:eastAsia="Arial" w:hAnsi="Arial"/>
                <w:sz w:val="20"/>
                <w:szCs w:val="20"/>
                <w:b w:val="1"/>
                <w:bCs w:val="1"/>
                <w:color w:val="auto"/>
                <w:w w:val="89"/>
              </w:rPr>
              <w:t>91-1011792</w:t>
            </w:r>
          </w:p>
        </w:tc>
        <w:tc>
          <w:tcPr>
            <w:tcW w:w="20" w:type="dxa"/>
            <w:vAlign w:val="bottom"/>
          </w:tcPr>
          <w:p>
            <w:pPr>
              <w:spacing w:after="0"/>
              <w:rPr>
                <w:sz w:val="22"/>
                <w:szCs w:val="22"/>
                <w:color w:val="auto"/>
              </w:rPr>
            </w:pPr>
          </w:p>
        </w:tc>
      </w:tr>
      <w:tr>
        <w:trPr>
          <w:trHeight w:val="23"/>
        </w:trPr>
        <w:tc>
          <w:tcPr>
            <w:tcW w:w="2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3"/>
        </w:trPr>
        <w:tc>
          <w:tcPr>
            <w:tcW w:w="2660" w:type="dxa"/>
            <w:vAlign w:val="bottom"/>
          </w:tcPr>
          <w:p>
            <w:pPr>
              <w:jc w:val="center"/>
              <w:ind w:left="221"/>
              <w:spacing w:after="0"/>
              <w:rPr>
                <w:sz w:val="20"/>
                <w:szCs w:val="20"/>
                <w:color w:val="auto"/>
              </w:rPr>
            </w:pPr>
            <w:r>
              <w:rPr>
                <w:rFonts w:ascii="Arial" w:cs="Arial" w:eastAsia="Arial" w:hAnsi="Arial"/>
                <w:sz w:val="20"/>
                <w:szCs w:val="20"/>
                <w:color w:val="auto"/>
                <w:w w:val="89"/>
              </w:rPr>
              <w:t>(State or Other Jurisdiction</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gridSpan w:val="2"/>
          </w:tcPr>
          <w:p>
            <w:pPr>
              <w:jc w:val="center"/>
              <w:ind w:right="700"/>
              <w:spacing w:after="0"/>
              <w:rPr>
                <w:sz w:val="20"/>
                <w:szCs w:val="20"/>
                <w:color w:val="auto"/>
              </w:rPr>
            </w:pPr>
            <w:r>
              <w:rPr>
                <w:rFonts w:ascii="Arial" w:cs="Arial" w:eastAsia="Arial" w:hAnsi="Arial"/>
                <w:sz w:val="20"/>
                <w:szCs w:val="20"/>
                <w:color w:val="auto"/>
                <w:w w:val="92"/>
              </w:rPr>
              <w:t>(IRS Employer</w:t>
            </w:r>
          </w:p>
        </w:tc>
      </w:tr>
      <w:tr>
        <w:trPr>
          <w:trHeight w:val="250"/>
        </w:trPr>
        <w:tc>
          <w:tcPr>
            <w:tcW w:w="2660" w:type="dxa"/>
            <w:vAlign w:val="bottom"/>
          </w:tcPr>
          <w:p>
            <w:pPr>
              <w:jc w:val="center"/>
              <w:ind w:left="241"/>
              <w:spacing w:after="0"/>
              <w:rPr>
                <w:sz w:val="20"/>
                <w:szCs w:val="20"/>
                <w:color w:val="auto"/>
              </w:rPr>
            </w:pPr>
            <w:r>
              <w:rPr>
                <w:rFonts w:ascii="Arial" w:cs="Arial" w:eastAsia="Arial" w:hAnsi="Arial"/>
                <w:sz w:val="20"/>
                <w:szCs w:val="20"/>
                <w:color w:val="auto"/>
                <w:w w:val="93"/>
              </w:rPr>
              <w:t>of Incorporation)</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40" w:type="dxa"/>
            <w:vAlign w:val="bottom"/>
            <w:gridSpan w:val="3"/>
          </w:tcPr>
          <w:p>
            <w:pPr>
              <w:jc w:val="center"/>
              <w:ind w:right="960"/>
              <w:spacing w:after="0"/>
              <w:rPr>
                <w:sz w:val="20"/>
                <w:szCs w:val="20"/>
                <w:color w:val="auto"/>
              </w:rPr>
            </w:pPr>
            <w:r>
              <w:rPr>
                <w:rFonts w:ascii="Arial" w:cs="Arial" w:eastAsia="Arial" w:hAnsi="Arial"/>
                <w:sz w:val="20"/>
                <w:szCs w:val="20"/>
                <w:color w:val="auto"/>
                <w:w w:val="91"/>
              </w:rPr>
              <w:t>(Commission File No.)</w:t>
            </w:r>
          </w:p>
        </w:tc>
        <w:tc>
          <w:tcPr>
            <w:tcW w:w="2580" w:type="dxa"/>
            <w:vAlign w:val="bottom"/>
            <w:gridSpan w:val="2"/>
          </w:tcPr>
          <w:p>
            <w:pPr>
              <w:jc w:val="center"/>
              <w:ind w:right="700"/>
              <w:spacing w:after="0"/>
              <w:rPr>
                <w:sz w:val="20"/>
                <w:szCs w:val="20"/>
                <w:color w:val="auto"/>
              </w:rPr>
            </w:pPr>
            <w:r>
              <w:rPr>
                <w:rFonts w:ascii="Arial" w:cs="Arial" w:eastAsia="Arial" w:hAnsi="Arial"/>
                <w:sz w:val="20"/>
                <w:szCs w:val="20"/>
                <w:color w:val="auto"/>
                <w:w w:val="95"/>
              </w:rPr>
              <w:t>Identification No.)</w:t>
            </w:r>
          </w:p>
        </w:tc>
      </w:tr>
      <w:tr>
        <w:trPr>
          <w:trHeight w:val="635"/>
        </w:trPr>
        <w:tc>
          <w:tcPr>
            <w:tcW w:w="2660" w:type="dxa"/>
            <w:vAlign w:val="bottom"/>
          </w:tcPr>
          <w:p>
            <w:pPr>
              <w:spacing w:after="0"/>
              <w:rPr>
                <w:sz w:val="24"/>
                <w:szCs w:val="24"/>
                <w:color w:val="auto"/>
              </w:rPr>
            </w:pPr>
          </w:p>
        </w:tc>
        <w:tc>
          <w:tcPr>
            <w:tcW w:w="4360" w:type="dxa"/>
            <w:vAlign w:val="bottom"/>
            <w:gridSpan w:val="5"/>
          </w:tcPr>
          <w:p>
            <w:pPr>
              <w:jc w:val="center"/>
              <w:ind w:right="80"/>
              <w:spacing w:after="0"/>
              <w:rPr>
                <w:sz w:val="20"/>
                <w:szCs w:val="20"/>
                <w:color w:val="auto"/>
              </w:rPr>
            </w:pPr>
            <w:r>
              <w:rPr>
                <w:rFonts w:ascii="Arial" w:cs="Arial" w:eastAsia="Arial" w:hAnsi="Arial"/>
                <w:sz w:val="20"/>
                <w:szCs w:val="20"/>
                <w:b w:val="1"/>
                <w:bCs w:val="1"/>
                <w:color w:val="auto"/>
                <w:w w:val="92"/>
              </w:rPr>
              <w:t>2111 N. Molter Road, Liberty Lake, WA 99019</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6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gridSpan w:val="5"/>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4"/>
        </w:trPr>
        <w:tc>
          <w:tcPr>
            <w:tcW w:w="2660" w:type="dxa"/>
            <w:vAlign w:val="bottom"/>
          </w:tcPr>
          <w:p>
            <w:pPr>
              <w:spacing w:after="0"/>
              <w:rPr>
                <w:sz w:val="22"/>
                <w:szCs w:val="22"/>
                <w:color w:val="auto"/>
              </w:rPr>
            </w:pPr>
          </w:p>
        </w:tc>
        <w:tc>
          <w:tcPr>
            <w:tcW w:w="4360" w:type="dxa"/>
            <w:vAlign w:val="bottom"/>
            <w:gridSpan w:val="5"/>
          </w:tcPr>
          <w:p>
            <w:pPr>
              <w:jc w:val="center"/>
              <w:ind w:right="100"/>
              <w:spacing w:after="0"/>
              <w:rPr>
                <w:sz w:val="20"/>
                <w:szCs w:val="20"/>
                <w:color w:val="auto"/>
              </w:rPr>
            </w:pPr>
            <w:r>
              <w:rPr>
                <w:rFonts w:ascii="Arial" w:cs="Arial" w:eastAsia="Arial" w:hAnsi="Arial"/>
                <w:sz w:val="20"/>
                <w:szCs w:val="20"/>
                <w:color w:val="auto"/>
                <w:w w:val="91"/>
              </w:rPr>
              <w:t>(Address of Principal Executive Offices, Zip Code)</w:t>
            </w:r>
          </w:p>
        </w:tc>
        <w:tc>
          <w:tcPr>
            <w:tcW w:w="25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31115</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499110</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8"/>
          <w:szCs w:val="18"/>
          <w:color w:val="auto"/>
        </w:rPr>
        <w:t>Written communications pursuant to Rule 425 under Securities Act (17 CFR 230.425)</w:t>
      </w:r>
    </w:p>
    <w:p>
      <w:pPr>
        <w:spacing w:after="0" w:line="63"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8"/>
          <w:szCs w:val="18"/>
          <w:color w:val="auto"/>
        </w:rPr>
        <w:t>Soliciting material pursuant to Rule 14a-12 under the Exchange Act (17 CFR 240.14a-12)</w:t>
      </w:r>
    </w:p>
    <w:p>
      <w:pPr>
        <w:spacing w:after="0" w:line="63"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8"/>
          <w:szCs w:val="18"/>
          <w:color w:val="auto"/>
        </w:rPr>
        <w:t>Pre-commencement communications pursuant to Rule 14d-2(b) under the Exchange Act (17 CFR 240.14d-2(b))</w:t>
      </w:r>
    </w:p>
    <w:p>
      <w:pPr>
        <w:spacing w:after="0" w:line="63"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p>
      <w:pPr>
        <w:ind w:right="300"/>
        <w:spacing w:after="0" w:line="32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c</w:t>
      </w:r>
    </w:p>
    <w:p>
      <w:pPr>
        <w:spacing w:after="0" w:line="239"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c</w:t>
      </w:r>
    </w:p>
    <w:p>
      <w:pPr>
        <w:sectPr>
          <w:pgSz w:w="11900" w:h="16838" w:orient="portrait"/>
          <w:cols w:equalWidth="0" w:num="1">
            <w:col w:w="11400"/>
          </w:cols>
          <w:pgMar w:left="240" w:top="504" w:right="2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20"/>
          <w:szCs w:val="20"/>
          <w:b w:val="1"/>
          <w:bCs w:val="1"/>
          <w:color w:val="auto"/>
        </w:rPr>
        <w:t>Item 2.01</w:t>
      </w:r>
      <w:r>
        <w:rPr>
          <w:sz w:val="20"/>
          <w:szCs w:val="20"/>
          <w:color w:val="auto"/>
        </w:rPr>
        <w:tab/>
      </w:r>
      <w:r>
        <w:rPr>
          <w:rFonts w:ascii="Arial" w:cs="Arial" w:eastAsia="Arial" w:hAnsi="Arial"/>
          <w:sz w:val="16"/>
          <w:szCs w:val="16"/>
          <w:b w:val="1"/>
          <w:bCs w:val="1"/>
          <w:color w:val="auto"/>
        </w:rPr>
        <w:t>Completion of Acquisition or Disposition of Assets.</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previously reported, on January 5, 2018, pursuant to the previously announced Agreement and Plan of Merger, dated as of September 17, 2017 (Merger Agreement), by and among Itron, Inc., a Washington corporation (Itron), Silver Spring Networks, Inc., a Delaware corporation (SSNI), and Ivory Merger Sub, Inc., a Delaware corporation and wholly-owned subsidiary of Itron (Acquisition Sub), Acquisition Sub was merged with and into Silver Spring, with Silver Spring continuing as the surviving corporation (Merger). At the effective time of the Merger (Effective Time), Silver Spring became a wholly-owned subsidiary of Itron. Effective as of the Effective Time, Silver Spring changed its name to “Itron Networked Solutions, Inc.”</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Under the terms of the Merger Agreement, each share of common stock, par value $0.001 per share, of Silver Spring (each, a Silver Spring Share) that was outstanding as of immediately prior to the Effective Time, other than Silver Spring Shares held by stockholders who have validly exercised their appraisal rights under Delaware law, Silver Spring Shares held by Itron, Acquisition Sub and Silver Spring or their respective subsidiaries or Silver Spring Shares subject to outstanding restricted stock awards and performance stock units, was converted into the right to receive $16.25 in cash, without interest thereon.</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report is being amended to add the required historical and pro forma financial statements as exhibits within the time period permitted by the instructions to Form 8-K.</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Financial Statements of Business Acquired</w:t>
      </w:r>
    </w:p>
    <w:p>
      <w:pPr>
        <w:spacing w:after="0" w:line="229"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color w:val="auto"/>
        </w:rPr>
        <w:t>The audited financial statements of Silver Spring for the year ended December 31, 2016 and 2015, including the notes to the financial statements and Independent Auditors' Report, issued by Ernst &amp; Young LLP dated March 10, 2017 and relating to the Silver Spring financial statements and notes thereto are filed as Exhibits 99. The unaudited financial statements of Silver Spring, for the nine months ended September 30, 2017 are filed as Exhibit 99.2 to this Current Report on Form 8-K/A.</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 Unaudited Pro Forma Financial Information</w:t>
      </w:r>
    </w:p>
    <w:p>
      <w:pPr>
        <w:spacing w:after="0" w:line="229" w:lineRule="exact"/>
        <w:rPr>
          <w:sz w:val="20"/>
          <w:szCs w:val="20"/>
          <w:color w:val="auto"/>
        </w:rPr>
      </w:pPr>
    </w:p>
    <w:p>
      <w:pPr>
        <w:jc w:val="both"/>
        <w:ind w:left="340"/>
        <w:spacing w:after="0" w:line="316" w:lineRule="auto"/>
        <w:rPr>
          <w:sz w:val="20"/>
          <w:szCs w:val="20"/>
          <w:color w:val="auto"/>
        </w:rPr>
      </w:pPr>
      <w:r>
        <w:rPr>
          <w:rFonts w:ascii="Arial" w:cs="Arial" w:eastAsia="Arial" w:hAnsi="Arial"/>
          <w:sz w:val="18"/>
          <w:szCs w:val="18"/>
          <w:color w:val="auto"/>
        </w:rPr>
        <w:t>The unaudited pro forma condensed combined financial information of the Company and Silver Spring for the year ended December 31, 2016 and as of the nine months ended September 30, 2017 are filed as Exhibit 99.3 to this Current Report on Form 8-K/A</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 Exhibits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ind w:left="20"/>
              <w:spacing w:after="0"/>
              <w:rPr>
                <w:sz w:val="20"/>
                <w:szCs w:val="20"/>
                <w:color w:val="auto"/>
              </w:rPr>
            </w:pPr>
            <w:r>
              <w:rPr>
                <w:rFonts w:ascii="Arial" w:cs="Arial" w:eastAsia="Arial" w:hAnsi="Arial"/>
                <w:sz w:val="20"/>
                <w:szCs w:val="20"/>
                <w:color w:val="auto"/>
              </w:rPr>
              <w:t>Exhibit</w:t>
            </w:r>
          </w:p>
        </w:tc>
        <w:tc>
          <w:tcPr>
            <w:tcW w:w="10440" w:type="dxa"/>
            <w:vAlign w:val="bottom"/>
          </w:tcPr>
          <w:p>
            <w:pPr>
              <w:spacing w:after="0"/>
              <w:rPr>
                <w:sz w:val="19"/>
                <w:szCs w:val="19"/>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20"/>
                <w:szCs w:val="20"/>
                <w:color w:val="auto"/>
              </w:rPr>
              <w:t>Number</w:t>
            </w:r>
          </w:p>
        </w:tc>
        <w:tc>
          <w:tcPr>
            <w:tcW w:w="10440" w:type="dxa"/>
            <w:vAlign w:val="bottom"/>
          </w:tcPr>
          <w:p>
            <w:pPr>
              <w:ind w:left="240"/>
              <w:spacing w:after="0"/>
              <w:rPr>
                <w:sz w:val="20"/>
                <w:szCs w:val="20"/>
                <w:color w:val="auto"/>
              </w:rPr>
            </w:pPr>
            <w:r>
              <w:rPr>
                <w:rFonts w:ascii="Arial" w:cs="Arial" w:eastAsia="Arial" w:hAnsi="Arial"/>
                <w:sz w:val="20"/>
                <w:szCs w:val="20"/>
                <w:color w:val="auto"/>
              </w:rPr>
              <w:t>Description</w:t>
            </w:r>
          </w:p>
        </w:tc>
      </w:tr>
      <w:tr>
        <w:trPr>
          <w:trHeight w:val="23"/>
        </w:trPr>
        <w:tc>
          <w:tcPr>
            <w:tcW w:w="920" w:type="dxa"/>
            <w:vAlign w:val="bottom"/>
            <w:tcBorders>
              <w:bottom w:val="single" w:sz="8" w:color="auto"/>
            </w:tcBorders>
          </w:tcPr>
          <w:p>
            <w:pPr>
              <w:spacing w:after="0"/>
              <w:rPr>
                <w:sz w:val="2"/>
                <w:szCs w:val="2"/>
                <w:color w:val="auto"/>
              </w:rPr>
            </w:pPr>
          </w:p>
        </w:tc>
        <w:tc>
          <w:tcPr>
            <w:tcW w:w="10440" w:type="dxa"/>
            <w:vAlign w:val="bottom"/>
            <w:tcBorders>
              <w:bottom w:val="single" w:sz="8" w:color="auto"/>
            </w:tcBorders>
          </w:tcPr>
          <w:p>
            <w:pPr>
              <w:spacing w:after="0"/>
              <w:rPr>
                <w:sz w:val="2"/>
                <w:szCs w:val="2"/>
                <w:color w:val="auto"/>
              </w:rPr>
            </w:pPr>
          </w:p>
        </w:tc>
      </w:tr>
      <w:tr>
        <w:trPr>
          <w:trHeight w:val="416"/>
        </w:trPr>
        <w:tc>
          <w:tcPr>
            <w:tcW w:w="920" w:type="dxa"/>
            <w:vAlign w:val="bottom"/>
          </w:tcPr>
          <w:p>
            <w:pPr>
              <w:ind w:left="20"/>
              <w:spacing w:after="0"/>
              <w:rPr>
                <w:sz w:val="20"/>
                <w:szCs w:val="20"/>
                <w:color w:val="auto"/>
              </w:rPr>
            </w:pPr>
            <w:r>
              <w:rPr>
                <w:rFonts w:ascii="Arial" w:cs="Arial" w:eastAsia="Arial" w:hAnsi="Arial"/>
                <w:sz w:val="20"/>
                <w:szCs w:val="20"/>
                <w:color w:val="auto"/>
              </w:rPr>
              <w:t>23.1</w:t>
            </w:r>
          </w:p>
        </w:tc>
        <w:tc>
          <w:tcPr>
            <w:tcW w:w="10440" w:type="dxa"/>
            <w:vAlign w:val="bottom"/>
          </w:tcPr>
          <w:p>
            <w:pPr>
              <w:ind w:left="240"/>
              <w:spacing w:after="0"/>
              <w:rPr>
                <w:sz w:val="20"/>
                <w:szCs w:val="20"/>
                <w:color w:val="auto"/>
              </w:rPr>
            </w:pPr>
            <w:r>
              <w:rPr>
                <w:rFonts w:ascii="Arial" w:cs="Arial" w:eastAsia="Arial" w:hAnsi="Arial"/>
                <w:sz w:val="20"/>
                <w:szCs w:val="20"/>
                <w:color w:val="auto"/>
              </w:rPr>
              <w:t>Consent of Ernst &amp; Young LLP, Independent Registered Public Accounting Firm. (filed with this report)</w:t>
            </w:r>
          </w:p>
        </w:tc>
      </w:tr>
      <w:tr>
        <w:trPr>
          <w:trHeight w:val="263"/>
        </w:trPr>
        <w:tc>
          <w:tcPr>
            <w:tcW w:w="920" w:type="dxa"/>
            <w:vAlign w:val="bottom"/>
          </w:tcPr>
          <w:p>
            <w:pPr>
              <w:ind w:left="20"/>
              <w:spacing w:after="0"/>
              <w:rPr>
                <w:sz w:val="20"/>
                <w:szCs w:val="20"/>
                <w:color w:val="auto"/>
              </w:rPr>
            </w:pPr>
            <w:r>
              <w:rPr>
                <w:rFonts w:ascii="Arial" w:cs="Arial" w:eastAsia="Arial" w:hAnsi="Arial"/>
                <w:sz w:val="20"/>
                <w:szCs w:val="20"/>
                <w:color w:val="auto"/>
              </w:rPr>
              <w:t>99.1</w:t>
            </w:r>
          </w:p>
        </w:tc>
        <w:tc>
          <w:tcPr>
            <w:tcW w:w="10440" w:type="dxa"/>
            <w:vAlign w:val="bottom"/>
          </w:tcPr>
          <w:p>
            <w:pPr>
              <w:ind w:left="240"/>
              <w:spacing w:after="0"/>
              <w:rPr>
                <w:sz w:val="20"/>
                <w:szCs w:val="20"/>
                <w:color w:val="auto"/>
              </w:rPr>
            </w:pPr>
            <w:r>
              <w:rPr>
                <w:rFonts w:ascii="Arial" w:cs="Arial" w:eastAsia="Arial" w:hAnsi="Arial"/>
                <w:sz w:val="20"/>
                <w:szCs w:val="20"/>
                <w:color w:val="auto"/>
                <w:w w:val="90"/>
              </w:rPr>
              <w:t>Silver Spring Networks, Inc. audited financial statements for the fiscal years ended December 31, 2016 and 2015 (Filed as Item</w:t>
            </w:r>
          </w:p>
        </w:tc>
      </w:tr>
      <w:tr>
        <w:trPr>
          <w:trHeight w:val="250"/>
        </w:trPr>
        <w:tc>
          <w:tcPr>
            <w:tcW w:w="920" w:type="dxa"/>
            <w:vAlign w:val="bottom"/>
          </w:tcPr>
          <w:p>
            <w:pPr>
              <w:spacing w:after="0"/>
              <w:rPr>
                <w:sz w:val="21"/>
                <w:szCs w:val="21"/>
                <w:color w:val="auto"/>
              </w:rPr>
            </w:pPr>
          </w:p>
        </w:tc>
        <w:tc>
          <w:tcPr>
            <w:tcW w:w="10440" w:type="dxa"/>
            <w:vAlign w:val="bottom"/>
          </w:tcPr>
          <w:p>
            <w:pPr>
              <w:ind w:left="240"/>
              <w:spacing w:after="0"/>
              <w:rPr>
                <w:sz w:val="20"/>
                <w:szCs w:val="20"/>
                <w:color w:val="auto"/>
              </w:rPr>
            </w:pPr>
            <w:r>
              <w:rPr>
                <w:rFonts w:ascii="Arial" w:cs="Arial" w:eastAsia="Arial" w:hAnsi="Arial"/>
                <w:sz w:val="20"/>
                <w:szCs w:val="20"/>
                <w:color w:val="auto"/>
              </w:rPr>
              <w:t>8 of Silver Spring Networks, Inc. Annual Report on Form 10-K, filed March 10, 2017)</w:t>
            </w:r>
          </w:p>
        </w:tc>
      </w:tr>
      <w:tr>
        <w:trPr>
          <w:trHeight w:val="263"/>
        </w:trPr>
        <w:tc>
          <w:tcPr>
            <w:tcW w:w="920" w:type="dxa"/>
            <w:vAlign w:val="bottom"/>
          </w:tcPr>
          <w:p>
            <w:pPr>
              <w:ind w:left="20"/>
              <w:spacing w:after="0"/>
              <w:rPr>
                <w:sz w:val="20"/>
                <w:szCs w:val="20"/>
                <w:color w:val="auto"/>
              </w:rPr>
            </w:pPr>
            <w:r>
              <w:rPr>
                <w:rFonts w:ascii="Arial" w:cs="Arial" w:eastAsia="Arial" w:hAnsi="Arial"/>
                <w:sz w:val="20"/>
                <w:szCs w:val="20"/>
                <w:color w:val="auto"/>
              </w:rPr>
              <w:t>99.2</w:t>
            </w:r>
          </w:p>
        </w:tc>
        <w:tc>
          <w:tcPr>
            <w:tcW w:w="10440" w:type="dxa"/>
            <w:vAlign w:val="bottom"/>
          </w:tcPr>
          <w:p>
            <w:pPr>
              <w:ind w:left="240"/>
              <w:spacing w:after="0"/>
              <w:rPr>
                <w:sz w:val="20"/>
                <w:szCs w:val="20"/>
                <w:color w:val="auto"/>
              </w:rPr>
            </w:pPr>
            <w:r>
              <w:rPr>
                <w:rFonts w:ascii="Arial" w:cs="Arial" w:eastAsia="Arial" w:hAnsi="Arial"/>
                <w:sz w:val="20"/>
                <w:szCs w:val="20"/>
                <w:color w:val="auto"/>
                <w:w w:val="90"/>
              </w:rPr>
              <w:t>Silver Spring Networks, Inc. unaudited financial statements as of September 30, 2017 and December 31, 2016, and for the nine</w:t>
            </w:r>
          </w:p>
        </w:tc>
      </w:tr>
      <w:tr>
        <w:trPr>
          <w:trHeight w:val="230"/>
        </w:trPr>
        <w:tc>
          <w:tcPr>
            <w:tcW w:w="9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Arial" w:cs="Arial" w:eastAsia="Arial" w:hAnsi="Arial"/>
                <w:sz w:val="20"/>
                <w:szCs w:val="20"/>
                <w:color w:val="auto"/>
                <w:w w:val="91"/>
              </w:rPr>
              <w:t>months ended September 30, 2017 and 2016 (Filed as Item 1 of Silver Spring Networks, Inc. Quarterly Report on Form 10-Q,</w:t>
            </w:r>
          </w:p>
        </w:tc>
      </w:tr>
      <w:tr>
        <w:trPr>
          <w:trHeight w:val="250"/>
        </w:trPr>
        <w:tc>
          <w:tcPr>
            <w:tcW w:w="920" w:type="dxa"/>
            <w:vAlign w:val="bottom"/>
          </w:tcPr>
          <w:p>
            <w:pPr>
              <w:spacing w:after="0"/>
              <w:rPr>
                <w:sz w:val="21"/>
                <w:szCs w:val="21"/>
                <w:color w:val="auto"/>
              </w:rPr>
            </w:pPr>
          </w:p>
        </w:tc>
        <w:tc>
          <w:tcPr>
            <w:tcW w:w="10440" w:type="dxa"/>
            <w:vAlign w:val="bottom"/>
          </w:tcPr>
          <w:p>
            <w:pPr>
              <w:ind w:left="240"/>
              <w:spacing w:after="0"/>
              <w:rPr>
                <w:sz w:val="20"/>
                <w:szCs w:val="20"/>
                <w:color w:val="auto"/>
              </w:rPr>
            </w:pPr>
            <w:r>
              <w:rPr>
                <w:rFonts w:ascii="Arial" w:cs="Arial" w:eastAsia="Arial" w:hAnsi="Arial"/>
                <w:sz w:val="20"/>
                <w:szCs w:val="20"/>
                <w:color w:val="auto"/>
              </w:rPr>
              <w:t>filed November 9, 2017)</w:t>
            </w:r>
          </w:p>
        </w:tc>
      </w:tr>
      <w:tr>
        <w:trPr>
          <w:trHeight w:val="492"/>
        </w:trPr>
        <w:tc>
          <w:tcPr>
            <w:tcW w:w="920" w:type="dxa"/>
            <w:vAlign w:val="bottom"/>
          </w:tcPr>
          <w:p>
            <w:pPr>
              <w:ind w:left="20"/>
              <w:spacing w:after="0"/>
              <w:rPr>
                <w:sz w:val="20"/>
                <w:szCs w:val="20"/>
                <w:color w:val="auto"/>
              </w:rPr>
            </w:pPr>
            <w:r>
              <w:rPr>
                <w:rFonts w:ascii="Arial" w:cs="Arial" w:eastAsia="Arial" w:hAnsi="Arial"/>
                <w:sz w:val="20"/>
                <w:szCs w:val="20"/>
                <w:color w:val="auto"/>
              </w:rPr>
              <w:t>99.3</w:t>
            </w:r>
          </w:p>
        </w:tc>
        <w:tc>
          <w:tcPr>
            <w:tcW w:w="10440" w:type="dxa"/>
            <w:vAlign w:val="bottom"/>
          </w:tcPr>
          <w:p>
            <w:pPr>
              <w:ind w:left="240"/>
              <w:spacing w:after="0"/>
              <w:rPr>
                <w:sz w:val="20"/>
                <w:szCs w:val="20"/>
                <w:color w:val="auto"/>
              </w:rPr>
            </w:pPr>
            <w:r>
              <w:rPr>
                <w:rFonts w:ascii="Arial" w:cs="Arial" w:eastAsia="Arial" w:hAnsi="Arial"/>
                <w:sz w:val="20"/>
                <w:szCs w:val="20"/>
                <w:color w:val="auto"/>
                <w:w w:val="90"/>
              </w:rPr>
              <w:t>Unaudited pro forma condensed combined balance sheet and statement of operations as of the nine months ended September</w:t>
            </w:r>
          </w:p>
        </w:tc>
      </w:tr>
      <w:tr>
        <w:trPr>
          <w:trHeight w:val="230"/>
        </w:trPr>
        <w:tc>
          <w:tcPr>
            <w:tcW w:w="9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Arial" w:cs="Arial" w:eastAsia="Arial" w:hAnsi="Arial"/>
                <w:sz w:val="20"/>
                <w:szCs w:val="20"/>
                <w:color w:val="auto"/>
                <w:w w:val="92"/>
              </w:rPr>
              <w:t>30, 2017, as well as unaudited pro forma combined statement of operations for the year ended December 31, 2016, and the</w:t>
            </w:r>
          </w:p>
        </w:tc>
      </w:tr>
      <w:tr>
        <w:trPr>
          <w:trHeight w:val="250"/>
        </w:trPr>
        <w:tc>
          <w:tcPr>
            <w:tcW w:w="920" w:type="dxa"/>
            <w:vAlign w:val="bottom"/>
          </w:tcPr>
          <w:p>
            <w:pPr>
              <w:spacing w:after="0"/>
              <w:rPr>
                <w:sz w:val="21"/>
                <w:szCs w:val="21"/>
                <w:color w:val="auto"/>
              </w:rPr>
            </w:pPr>
          </w:p>
        </w:tc>
        <w:tc>
          <w:tcPr>
            <w:tcW w:w="10440" w:type="dxa"/>
            <w:vAlign w:val="bottom"/>
          </w:tcPr>
          <w:p>
            <w:pPr>
              <w:ind w:left="240"/>
              <w:spacing w:after="0"/>
              <w:rPr>
                <w:sz w:val="20"/>
                <w:szCs w:val="20"/>
                <w:color w:val="auto"/>
              </w:rPr>
            </w:pPr>
            <w:r>
              <w:rPr>
                <w:rFonts w:ascii="Arial" w:cs="Arial" w:eastAsia="Arial" w:hAnsi="Arial"/>
                <w:sz w:val="20"/>
                <w:szCs w:val="20"/>
                <w:color w:val="auto"/>
              </w:rPr>
              <w:t>notes thereto (filed with this report)</w:t>
            </w:r>
          </w:p>
        </w:tc>
      </w:tr>
    </w:tbl>
    <w:p>
      <w:pPr>
        <w:sectPr>
          <w:pgSz w:w="11900" w:h="16838" w:orient="portrait"/>
          <w:cols w:equalWidth="0" w:num="1">
            <w:col w:w="11420"/>
          </w:cols>
          <w:pgMar w:left="240" w:top="360" w:right="239" w:bottom="1440" w:gutter="0" w:footer="0" w:header="0"/>
        </w:sectPr>
      </w:pPr>
    </w:p>
    <w:bookmarkStart w:id="2" w:name="page3"/>
    <w:bookmarkEnd w:id="2"/>
    <w:p>
      <w:pPr>
        <w:jc w:val="both"/>
        <w:spacing w:after="0" w:line="270" w:lineRule="auto"/>
        <w:rPr>
          <w:sz w:val="20"/>
          <w:szCs w:val="20"/>
          <w:color w:val="auto"/>
        </w:rPr>
      </w:pPr>
      <w:r>
        <w:rPr>
          <w:rFonts w:ascii="Arial" w:cs="Arial" w:eastAsia="Arial" w:hAnsi="Arial"/>
          <w:sz w:val="18"/>
          <w:szCs w:val="18"/>
          <w:color w:val="auto"/>
        </w:rPr>
        <w:t>The information presented in this Current Report on Form 8-K may contain forward-looking statements within in the meaning of the Private Securities Litigation Reform Act of 1995. These statements relate to our expectations about revenues, operations, financial performance, earnings, earnings per share, cash flows and other financial results.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2017 and other reports on file with the Securities and Exchange Commission. The Company undertakes no obligation to update this information.</w:t>
      </w:r>
    </w:p>
    <w:p>
      <w:pPr>
        <w:sectPr>
          <w:pgSz w:w="11900" w:h="16838" w:orient="portrait"/>
          <w:cols w:equalWidth="0" w:num="1">
            <w:col w:w="11420"/>
          </w:cols>
          <w:pgMar w:left="240" w:top="59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3560" w:val="left"/>
          <w:tab w:leader="none" w:pos="7020" w:val="left"/>
        </w:tabs>
        <w:rPr>
          <w:sz w:val="20"/>
          <w:szCs w:val="20"/>
          <w:color w:val="auto"/>
        </w:rPr>
      </w:pPr>
      <w:r>
        <w:rPr>
          <w:rFonts w:ascii="Arial" w:cs="Arial" w:eastAsia="Arial" w:hAnsi="Arial"/>
          <w:sz w:val="20"/>
          <w:szCs w:val="20"/>
          <w:color w:val="auto"/>
        </w:rPr>
        <w:t>Dated: March 21,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27305</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47" w:lineRule="exact"/>
        <w:rPr>
          <w:sz w:val="20"/>
          <w:szCs w:val="20"/>
          <w:color w:val="auto"/>
        </w:rPr>
      </w:pPr>
    </w:p>
    <w:p>
      <w:pPr>
        <w:jc w:val="center"/>
        <w:ind w:left="4120"/>
        <w:spacing w:after="0"/>
        <w:rPr>
          <w:sz w:val="20"/>
          <w:szCs w:val="20"/>
          <w:color w:val="auto"/>
        </w:rPr>
      </w:pPr>
      <w:r>
        <w:rPr>
          <w:rFonts w:ascii="Arial" w:cs="Arial" w:eastAsia="Arial" w:hAnsi="Arial"/>
          <w:sz w:val="20"/>
          <w:szCs w:val="20"/>
          <w:color w:val="auto"/>
        </w:rPr>
        <w:t>Joan S. Hooper</w:t>
      </w:r>
    </w:p>
    <w:p>
      <w:pPr>
        <w:spacing w:after="0" w:line="54" w:lineRule="exact"/>
        <w:rPr>
          <w:sz w:val="20"/>
          <w:szCs w:val="20"/>
          <w:color w:val="auto"/>
        </w:rPr>
      </w:pPr>
    </w:p>
    <w:p>
      <w:pPr>
        <w:jc w:val="center"/>
        <w:ind w:left="4120"/>
        <w:spacing w:after="0"/>
        <w:rPr>
          <w:sz w:val="20"/>
          <w:szCs w:val="20"/>
          <w:color w:val="auto"/>
        </w:rPr>
      </w:pPr>
      <w:r>
        <w:rPr>
          <w:rFonts w:ascii="Arial" w:cs="Arial" w:eastAsia="Arial" w:hAnsi="Arial"/>
          <w:sz w:val="20"/>
          <w:szCs w:val="20"/>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ind w:left="20"/>
              <w:spacing w:after="0"/>
              <w:rPr>
                <w:sz w:val="20"/>
                <w:szCs w:val="20"/>
                <w:color w:val="auto"/>
              </w:rPr>
            </w:pPr>
            <w:r>
              <w:rPr>
                <w:rFonts w:ascii="Arial" w:cs="Arial" w:eastAsia="Arial" w:hAnsi="Arial"/>
                <w:sz w:val="20"/>
                <w:szCs w:val="20"/>
                <w:color w:val="auto"/>
              </w:rPr>
              <w:t>Exhibit</w:t>
            </w:r>
          </w:p>
        </w:tc>
        <w:tc>
          <w:tcPr>
            <w:tcW w:w="1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1160" w:type="dxa"/>
            <w:vAlign w:val="bottom"/>
          </w:tcPr>
          <w:p>
            <w:pPr>
              <w:ind w:left="20"/>
              <w:spacing w:after="0"/>
              <w:rPr>
                <w:sz w:val="20"/>
                <w:szCs w:val="20"/>
                <w:color w:val="auto"/>
              </w:rPr>
            </w:pPr>
            <w:r>
              <w:rPr>
                <w:rFonts w:ascii="Arial" w:cs="Arial" w:eastAsia="Arial" w:hAnsi="Arial"/>
                <w:sz w:val="20"/>
                <w:szCs w:val="20"/>
                <w:color w:val="auto"/>
              </w:rPr>
              <w:t>Number</w:t>
            </w:r>
          </w:p>
        </w:tc>
        <w:tc>
          <w:tcPr>
            <w:tcW w:w="10200" w:type="dxa"/>
            <w:vAlign w:val="bottom"/>
            <w:gridSpan w:val="7"/>
          </w:tcPr>
          <w:p>
            <w:pPr>
              <w:spacing w:after="0"/>
              <w:rPr>
                <w:sz w:val="20"/>
                <w:szCs w:val="20"/>
                <w:color w:val="auto"/>
              </w:rPr>
            </w:pPr>
            <w:r>
              <w:rPr>
                <w:rFonts w:ascii="Arial" w:cs="Arial" w:eastAsia="Arial" w:hAnsi="Arial"/>
                <w:sz w:val="20"/>
                <w:szCs w:val="20"/>
                <w:color w:val="auto"/>
              </w:rPr>
              <w:t>Description</w:t>
            </w:r>
          </w:p>
        </w:tc>
      </w:tr>
      <w:tr>
        <w:trPr>
          <w:trHeight w:val="23"/>
        </w:trPr>
        <w:tc>
          <w:tcPr>
            <w:tcW w:w="1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72"/>
        </w:trPr>
        <w:tc>
          <w:tcPr>
            <w:tcW w:w="1160" w:type="dxa"/>
            <w:vAlign w:val="bottom"/>
          </w:tcPr>
          <w:p>
            <w:pPr>
              <w:ind w:left="20"/>
              <w:spacing w:after="0"/>
              <w:rPr>
                <w:sz w:val="20"/>
                <w:szCs w:val="20"/>
                <w:color w:val="auto"/>
              </w:rPr>
            </w:pPr>
            <w:r>
              <w:rPr>
                <w:rFonts w:ascii="Arial" w:cs="Arial" w:eastAsia="Arial" w:hAnsi="Arial"/>
                <w:sz w:val="20"/>
                <w:szCs w:val="20"/>
                <w:color w:val="auto"/>
              </w:rPr>
              <w:t>23.1</w:t>
            </w:r>
          </w:p>
        </w:tc>
        <w:tc>
          <w:tcPr>
            <w:tcW w:w="8280" w:type="dxa"/>
            <w:vAlign w:val="bottom"/>
            <w:tcBorders>
              <w:bottom w:val="single" w:sz="8" w:color="0000FF"/>
            </w:tcBorders>
            <w:gridSpan w:val="4"/>
          </w:tcPr>
          <w:p>
            <w:pPr>
              <w:spacing w:after="0"/>
              <w:rPr>
                <w:rFonts w:ascii="Arial" w:cs="Arial" w:eastAsia="Arial" w:hAnsi="Arial"/>
                <w:sz w:val="20"/>
                <w:szCs w:val="20"/>
                <w:color w:val="0000FF"/>
                <w:w w:val="91"/>
              </w:rPr>
            </w:pPr>
            <w:hyperlink w:anchor="page6">
              <w:r>
                <w:rPr>
                  <w:rFonts w:ascii="Arial" w:cs="Arial" w:eastAsia="Arial" w:hAnsi="Arial"/>
                  <w:sz w:val="20"/>
                  <w:szCs w:val="20"/>
                  <w:color w:val="0000FF"/>
                  <w:w w:val="91"/>
                </w:rPr>
                <w:t>Consent of Ernst &amp; Young LLP, Independent Registered Public Accounting Firm. (filed with this report)</w:t>
              </w:r>
            </w:hyperlink>
          </w:p>
        </w:tc>
        <w:tc>
          <w:tcPr>
            <w:tcW w:w="1920" w:type="dxa"/>
            <w:vAlign w:val="bottom"/>
            <w:gridSpan w:val="3"/>
          </w:tcPr>
          <w:p>
            <w:pPr>
              <w:spacing w:after="0"/>
              <w:rPr>
                <w:sz w:val="24"/>
                <w:szCs w:val="24"/>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20"/>
                <w:szCs w:val="20"/>
                <w:color w:val="auto"/>
              </w:rPr>
              <w:t>99.1</w:t>
            </w:r>
          </w:p>
        </w:tc>
        <w:tc>
          <w:tcPr>
            <w:tcW w:w="10200" w:type="dxa"/>
            <w:vAlign w:val="bottom"/>
            <w:gridSpan w:val="7"/>
          </w:tcPr>
          <w:p>
            <w:pPr>
              <w:spacing w:after="0"/>
              <w:rPr>
                <w:rFonts w:ascii="Arial" w:cs="Arial" w:eastAsia="Arial" w:hAnsi="Arial"/>
                <w:sz w:val="20"/>
                <w:szCs w:val="20"/>
                <w:color w:val="0000FF"/>
                <w:w w:val="90"/>
              </w:rPr>
            </w:pPr>
            <w:hyperlink r:id="rId13">
              <w:r>
                <w:rPr>
                  <w:rFonts w:ascii="Arial" w:cs="Arial" w:eastAsia="Arial" w:hAnsi="Arial"/>
                  <w:sz w:val="20"/>
                  <w:szCs w:val="20"/>
                  <w:color w:val="0000FF"/>
                  <w:w w:val="90"/>
                </w:rPr>
                <w:t>Silver Spring Networks, Inc. audited financial statements for the fiscal years ended December 31, 2016 and 2015 (Filed as Item</w:t>
              </w:r>
            </w:hyperlink>
          </w:p>
        </w:tc>
      </w:tr>
      <w:tr>
        <w:trPr>
          <w:trHeight w:val="210"/>
        </w:trPr>
        <w:tc>
          <w:tcPr>
            <w:tcW w:w="1160" w:type="dxa"/>
            <w:vAlign w:val="bottom"/>
          </w:tcPr>
          <w:p>
            <w:pPr>
              <w:spacing w:after="0"/>
              <w:rPr>
                <w:sz w:val="18"/>
                <w:szCs w:val="18"/>
                <w:color w:val="auto"/>
              </w:rPr>
            </w:pPr>
          </w:p>
        </w:tc>
        <w:tc>
          <w:tcPr>
            <w:tcW w:w="6880" w:type="dxa"/>
            <w:vAlign w:val="bottom"/>
            <w:tcBorders>
              <w:top w:val="single" w:sz="8" w:color="0000FF"/>
              <w:bottom w:val="single" w:sz="8" w:color="0000FF"/>
            </w:tcBorders>
            <w:gridSpan w:val="3"/>
          </w:tcPr>
          <w:p>
            <w:pPr>
              <w:spacing w:after="0" w:line="209" w:lineRule="exact"/>
              <w:rPr>
                <w:rFonts w:ascii="Arial" w:cs="Arial" w:eastAsia="Arial" w:hAnsi="Arial"/>
                <w:sz w:val="20"/>
                <w:szCs w:val="20"/>
                <w:color w:val="0000FF"/>
                <w:w w:val="92"/>
              </w:rPr>
            </w:pPr>
            <w:hyperlink r:id="rId13">
              <w:r>
                <w:rPr>
                  <w:rFonts w:ascii="Arial" w:cs="Arial" w:eastAsia="Arial" w:hAnsi="Arial"/>
                  <w:sz w:val="20"/>
                  <w:szCs w:val="20"/>
                  <w:color w:val="0000FF"/>
                  <w:w w:val="92"/>
                </w:rPr>
                <w:t>8 of Silver Spring Networks, Inc. Annual Report on Form 10-K, filed March 10, 2017)</w:t>
              </w:r>
            </w:hyperlink>
          </w:p>
        </w:tc>
        <w:tc>
          <w:tcPr>
            <w:tcW w:w="3260" w:type="dxa"/>
            <w:vAlign w:val="bottom"/>
            <w:tcBorders>
              <w:top w:val="single" w:sz="8" w:color="0000FF"/>
            </w:tcBorders>
            <w:gridSpan w:val="2"/>
          </w:tcPr>
          <w:p>
            <w:pPr>
              <w:spacing w:after="0"/>
              <w:rPr>
                <w:sz w:val="18"/>
                <w:szCs w:val="18"/>
                <w:color w:val="auto"/>
              </w:rPr>
            </w:pPr>
          </w:p>
        </w:tc>
        <w:tc>
          <w:tcPr>
            <w:tcW w:w="60" w:type="dxa"/>
            <w:vAlign w:val="bottom"/>
            <w:gridSpan w:val="2"/>
          </w:tcPr>
          <w:p>
            <w:pPr>
              <w:spacing w:after="0"/>
              <w:rPr>
                <w:sz w:val="18"/>
                <w:szCs w:val="18"/>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20"/>
                <w:szCs w:val="20"/>
                <w:color w:val="auto"/>
              </w:rPr>
              <w:t>99.2</w:t>
            </w:r>
          </w:p>
        </w:tc>
        <w:tc>
          <w:tcPr>
            <w:tcW w:w="10160" w:type="dxa"/>
            <w:vAlign w:val="bottom"/>
            <w:tcBorders>
              <w:bottom w:val="single" w:sz="8" w:color="0000FF"/>
            </w:tcBorders>
            <w:gridSpan w:val="6"/>
          </w:tcPr>
          <w:p>
            <w:pPr>
              <w:spacing w:after="0"/>
              <w:rPr>
                <w:rFonts w:ascii="Arial" w:cs="Arial" w:eastAsia="Arial" w:hAnsi="Arial"/>
                <w:sz w:val="20"/>
                <w:szCs w:val="20"/>
                <w:color w:val="0000FF"/>
                <w:w w:val="89"/>
              </w:rPr>
            </w:pPr>
            <w:hyperlink r:id="rId14">
              <w:r>
                <w:rPr>
                  <w:rFonts w:ascii="Arial" w:cs="Arial" w:eastAsia="Arial" w:hAnsi="Arial"/>
                  <w:sz w:val="20"/>
                  <w:szCs w:val="20"/>
                  <w:color w:val="0000FF"/>
                  <w:w w:val="89"/>
                </w:rPr>
                <w:t>Silver Spring Networks, Inc. unaudited financial statements as of September 30, 2017 and December 31, 2016, and for the nine</w:t>
              </w:r>
            </w:hyperlink>
          </w:p>
        </w:tc>
        <w:tc>
          <w:tcPr>
            <w:tcW w:w="40" w:type="dxa"/>
            <w:vAlign w:val="bottom"/>
          </w:tcPr>
          <w:p>
            <w:pPr>
              <w:spacing w:after="0"/>
              <w:rPr>
                <w:sz w:val="22"/>
                <w:szCs w:val="22"/>
                <w:color w:val="auto"/>
              </w:rPr>
            </w:pPr>
          </w:p>
        </w:tc>
      </w:tr>
      <w:tr>
        <w:trPr>
          <w:trHeight w:val="210"/>
        </w:trPr>
        <w:tc>
          <w:tcPr>
            <w:tcW w:w="1160" w:type="dxa"/>
            <w:vAlign w:val="bottom"/>
          </w:tcPr>
          <w:p>
            <w:pPr>
              <w:spacing w:after="0"/>
              <w:rPr>
                <w:sz w:val="18"/>
                <w:szCs w:val="18"/>
                <w:color w:val="auto"/>
              </w:rPr>
            </w:pPr>
          </w:p>
        </w:tc>
        <w:tc>
          <w:tcPr>
            <w:tcW w:w="10200" w:type="dxa"/>
            <w:vAlign w:val="bottom"/>
            <w:gridSpan w:val="7"/>
          </w:tcPr>
          <w:p>
            <w:pPr>
              <w:spacing w:after="0" w:line="209" w:lineRule="exact"/>
              <w:rPr>
                <w:rFonts w:ascii="Arial" w:cs="Arial" w:eastAsia="Arial" w:hAnsi="Arial"/>
                <w:sz w:val="20"/>
                <w:szCs w:val="20"/>
                <w:color w:val="0000FF"/>
                <w:w w:val="91"/>
              </w:rPr>
            </w:pPr>
            <w:hyperlink r:id="rId14">
              <w:r>
                <w:rPr>
                  <w:rFonts w:ascii="Arial" w:cs="Arial" w:eastAsia="Arial" w:hAnsi="Arial"/>
                  <w:sz w:val="20"/>
                  <w:szCs w:val="20"/>
                  <w:color w:val="0000FF"/>
                  <w:w w:val="91"/>
                </w:rPr>
                <w:t>months ended September 30, 2017 and 2016 (Filed as Item 1 of Silver Spring Networks, Inc. Quarterly Report on Form 10-Q,</w:t>
              </w:r>
            </w:hyperlink>
          </w:p>
        </w:tc>
      </w:tr>
      <w:tr>
        <w:trPr>
          <w:trHeight w:val="210"/>
        </w:trPr>
        <w:tc>
          <w:tcPr>
            <w:tcW w:w="1160" w:type="dxa"/>
            <w:vAlign w:val="bottom"/>
          </w:tcPr>
          <w:p>
            <w:pPr>
              <w:spacing w:after="0"/>
              <w:rPr>
                <w:sz w:val="18"/>
                <w:szCs w:val="18"/>
                <w:color w:val="auto"/>
              </w:rPr>
            </w:pPr>
          </w:p>
        </w:tc>
        <w:tc>
          <w:tcPr>
            <w:tcW w:w="10140" w:type="dxa"/>
            <w:vAlign w:val="bottom"/>
            <w:tcBorders>
              <w:top w:val="single" w:sz="8" w:color="0000FF"/>
            </w:tcBorders>
            <w:gridSpan w:val="5"/>
          </w:tcPr>
          <w:p>
            <w:pPr>
              <w:spacing w:after="0" w:line="209" w:lineRule="exact"/>
              <w:rPr>
                <w:rFonts w:ascii="Arial" w:cs="Arial" w:eastAsia="Arial" w:hAnsi="Arial"/>
                <w:sz w:val="20"/>
                <w:szCs w:val="20"/>
                <w:color w:val="0000FF"/>
              </w:rPr>
            </w:pPr>
            <w:hyperlink r:id="rId14">
              <w:r>
                <w:rPr>
                  <w:rFonts w:ascii="Arial" w:cs="Arial" w:eastAsia="Arial" w:hAnsi="Arial"/>
                  <w:sz w:val="20"/>
                  <w:szCs w:val="20"/>
                  <w:color w:val="0000FF"/>
                </w:rPr>
                <w:t>filed November 9, 2017)</w:t>
              </w:r>
            </w:hyperlink>
          </w:p>
        </w:tc>
        <w:tc>
          <w:tcPr>
            <w:tcW w:w="60" w:type="dxa"/>
            <w:vAlign w:val="bottom"/>
            <w:gridSpan w:val="2"/>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1160" w:type="dxa"/>
            <w:vAlign w:val="bottom"/>
          </w:tcPr>
          <w:p>
            <w:pPr>
              <w:ind w:left="20"/>
              <w:spacing w:after="0"/>
              <w:rPr>
                <w:sz w:val="20"/>
                <w:szCs w:val="20"/>
                <w:color w:val="auto"/>
              </w:rPr>
            </w:pPr>
            <w:r>
              <w:rPr>
                <w:rFonts w:ascii="Arial" w:cs="Arial" w:eastAsia="Arial" w:hAnsi="Arial"/>
                <w:sz w:val="20"/>
                <w:szCs w:val="20"/>
                <w:color w:val="auto"/>
              </w:rPr>
              <w:t>99.3</w:t>
            </w:r>
          </w:p>
        </w:tc>
        <w:tc>
          <w:tcPr>
            <w:tcW w:w="10160" w:type="dxa"/>
            <w:vAlign w:val="bottom"/>
            <w:tcBorders>
              <w:bottom w:val="single" w:sz="8" w:color="0000FF"/>
            </w:tcBorders>
            <w:gridSpan w:val="6"/>
          </w:tcPr>
          <w:p>
            <w:pPr>
              <w:spacing w:after="0"/>
              <w:rPr>
                <w:rFonts w:ascii="Arial" w:cs="Arial" w:eastAsia="Arial" w:hAnsi="Arial"/>
                <w:sz w:val="20"/>
                <w:szCs w:val="20"/>
                <w:color w:val="0000FF"/>
                <w:w w:val="90"/>
              </w:rPr>
            </w:pPr>
            <w:hyperlink w:anchor="page7">
              <w:r>
                <w:rPr>
                  <w:rFonts w:ascii="Arial" w:cs="Arial" w:eastAsia="Arial" w:hAnsi="Arial"/>
                  <w:sz w:val="20"/>
                  <w:szCs w:val="20"/>
                  <w:color w:val="0000FF"/>
                  <w:w w:val="90"/>
                </w:rPr>
                <w:t>Unaudited pro forma condensed combined balance sheet and statement of operations as of the nine months ended September</w:t>
              </w:r>
            </w:hyperlink>
          </w:p>
        </w:tc>
        <w:tc>
          <w:tcPr>
            <w:tcW w:w="4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10160" w:type="dxa"/>
            <w:vAlign w:val="bottom"/>
            <w:tcBorders>
              <w:bottom w:val="single" w:sz="8" w:color="0000FF"/>
            </w:tcBorders>
            <w:gridSpan w:val="6"/>
          </w:tcPr>
          <w:p>
            <w:pPr>
              <w:spacing w:after="0" w:line="209" w:lineRule="exact"/>
              <w:rPr>
                <w:rFonts w:ascii="Arial" w:cs="Arial" w:eastAsia="Arial" w:hAnsi="Arial"/>
                <w:sz w:val="20"/>
                <w:szCs w:val="20"/>
                <w:color w:val="0000FF"/>
                <w:w w:val="92"/>
              </w:rPr>
            </w:pPr>
            <w:hyperlink w:anchor="page7">
              <w:r>
                <w:rPr>
                  <w:rFonts w:ascii="Arial" w:cs="Arial" w:eastAsia="Arial" w:hAnsi="Arial"/>
                  <w:sz w:val="20"/>
                  <w:szCs w:val="20"/>
                  <w:color w:val="0000FF"/>
                  <w:w w:val="92"/>
                </w:rPr>
                <w:t>30, 2017, as well as unaudited pro forma combined statement of operations for the year ended December 31, 2016, and the</w:t>
              </w:r>
            </w:hyperlink>
          </w:p>
        </w:tc>
        <w:tc>
          <w:tcPr>
            <w:tcW w:w="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0200" w:type="dxa"/>
            <w:vAlign w:val="bottom"/>
            <w:gridSpan w:val="7"/>
          </w:tcPr>
          <w:p>
            <w:pPr>
              <w:spacing w:after="0" w:line="209" w:lineRule="exact"/>
              <w:rPr>
                <w:rFonts w:ascii="Arial" w:cs="Arial" w:eastAsia="Arial" w:hAnsi="Arial"/>
                <w:sz w:val="20"/>
                <w:szCs w:val="20"/>
                <w:color w:val="0000FF"/>
              </w:rPr>
            </w:pPr>
            <w:hyperlink w:anchor="page7">
              <w:r>
                <w:rPr>
                  <w:rFonts w:ascii="Arial" w:cs="Arial" w:eastAsia="Arial" w:hAnsi="Arial"/>
                  <w:sz w:val="20"/>
                  <w:szCs w:val="20"/>
                  <w:color w:val="0000FF"/>
                </w:rPr>
                <w:t>notes thereto (filed with this report)</w:t>
              </w:r>
            </w:hyperlink>
          </w:p>
        </w:tc>
      </w:tr>
      <w:tr>
        <w:trPr>
          <w:trHeight w:val="20"/>
        </w:trPr>
        <w:tc>
          <w:tcPr>
            <w:tcW w:w="11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60"/>
          </w:cols>
          <w:pgMar w:left="280" w:top="1053"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333333"/>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Consent of Independent Registered Public Accounting Firm</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333333"/>
        </w:rPr>
        <w:t>We consent to including in this Current Report Form 8-K/A of Itron, Inc. our report dated March 10, 2017, with respect to the consolidated financial statements of Silver Spring Networks, Inc., for the years ended December 31, 2016 and 2015, included in its Annual Report (Form 10-K) for the year ended December 31, 2016, filed with the Securities and Exchange Commission.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2018</w:t>
      </w:r>
    </w:p>
    <w:p>
      <w:pPr>
        <w:sectPr>
          <w:pgSz w:w="11900" w:h="16838" w:orient="portrait"/>
          <w:cols w:equalWidth="0" w:num="1">
            <w:col w:w="11420"/>
          </w:cols>
          <w:pgMar w:left="240" w:top="796" w:right="239" w:bottom="1440" w:gutter="0" w:footer="0" w:header="0"/>
        </w:sectPr>
      </w:pPr>
    </w:p>
    <w:bookmarkStart w:id="6" w:name="page7"/>
    <w:bookmarkEnd w:id="6"/>
    <w:p>
      <w:pPr>
        <w:ind w:left="7780"/>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PRO FORMA CONDENSED COMBINED FINANCIAL INFORMATION</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17, 2017 Itron, Inc., a Washington corporation, entered into the Agreement and Plan of Merger, as amended and supplemented from time to time (Merger Agreement) with Silver Spring Networks, Inc., a Delaware corporation (SSNI) Itron and Ivory Merger Sub, Inc., a Delaware corporation and wholly-owned subsidiary of Itron (Acquisition Sub). SSNI creates, builds and deploys large scale networks and solutions enabling the Internet of Things, or IoT, for critical infrastructure. Under the Merger Agreement, Itron would acquire all outstanding shares of SSNI (SSNI Acquisition) for $16.25 per share, in cash. The SSNI Acquisition was completed on January 5, 2018.</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condensed combined financial information and related notes present the historical combined financial information of Itron and SSNI after giving effect to the SSNI Acquisition. The unaudited pro forma condensed combined financial information gives effect to the SSNI Acquisition based on the assumptions, reclassifications and adjustments described in the accompanying notes to the unaudited pro forma condensed combined financial information. The unaudited pro forma condensed combined financial information also gives effect to the issuance of $300 million aggregate principal amount of 5.00% senior notes (Notes), the release of the proceeds from any escrow or similar arrangement and the use of the proceeds thereof, the closing of the $650.0 million term loan facility and the $500.0 million revolving credit facility expected to be made available under the Second Amended and Restated Credit Agreement (New Senior Secured Credit Facilities) including the initial borrowings thereunder and the use of the proceeds thereof (collectively, the "Financing").</w:t>
      </w:r>
    </w:p>
    <w:p>
      <w:pPr>
        <w:spacing w:after="0" w:line="2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unaudited pro forma condensed combined balance sheet as of September 30, 2017 and the unaudited pro forma condensed combined statements of operations for the year ended December 31, 2016 and the nine months ended September 30, 2017 are presented herein. The unaudited pro forma condensed combined balance sheet combines the historical financial position of Itron, as of September 30, 2017, with the historical financial position of SSNI, as of September 30, 2017, giving effect to the SSNI Transactions as if they had been completed on September 30, 2017. The unaudited pro forma condensed combined statements of operation combine the historical results of Itron for the nine months ended September 30, 2017 and the results of Itron for the year ended December 31, 2016, with the historical financial position of SSNI for the nine months ended September 30, 2017 and the year ended December 31, 2016, giving effect to the SSNI Transactions as if they occurred on January 1, 2016.</w:t>
      </w: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historical financial information has been adjusted to give effect to pro forma adjustments that are (i) directly attributable to the SSNI Transactions, (ii) factually supportable, and (iii) with respect to the unaudited pro forma condensed combined statements of operations, expected to have a continuing impact on the combined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SSNI Acquisition will be accounted for as a business combination using the acquisition method of accounting under the provisions of Accounting Standards Codification (ASC) 805, Business Combinations (ASC 805), with Acquisition Sub representing the accounting acquirer. The following unaudited pro forma condensed combined financial information primarily gives effect to:</w:t>
      </w:r>
    </w:p>
    <w:p>
      <w:pPr>
        <w:spacing w:after="0" w:line="18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Application of the acquisition method of accounting in connection with the SSNI Acquisition;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Adjustments to reflect the Financing;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 costs expected to be incurred in connection with the SSNI Transactions.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unaudited pro forma condensed combined financial information does not give effect to any cost savings, operating synergies or revenue enhancements expected to result from the SSNI Transactions or the costs to achieve these cost savings, operating synergies or revenue enhancements.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pro forma condensed combined statements of operations do not include non-recurring items related to costs associated with the SSNI Transactions which are not capitalized as part of the transactions described above or additional expense associated with accelerated vesting of SSNI’s share-based compensation arrangements.</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89" w:lineRule="auto"/>
        <w:rPr>
          <w:sz w:val="20"/>
          <w:szCs w:val="20"/>
          <w:color w:val="auto"/>
        </w:rPr>
      </w:pPr>
      <w:r>
        <w:rPr>
          <w:rFonts w:ascii="Arial" w:cs="Arial" w:eastAsia="Arial" w:hAnsi="Arial"/>
          <w:sz w:val="16"/>
          <w:szCs w:val="16"/>
          <w:color w:val="auto"/>
        </w:rPr>
        <w:t>The unaudited pro forma condensed combined financial information includes adjustments which are preliminary and may be revised. Acquisition accounting is dependent on certain valuations and other analyses that have not yet been finalized. Accordingly, any pro forma adjustments, including the allocation of the purchase price, are preliminary estimates, may be revised as additional information becomes available, and there can be no assurance that any such revisions will not result in material changes. The accompanying unaudited pro forma condensed combined financial information is presented for illustrative and informational purposes only and are not intended to represent or be indicative of the financial condition or results of operations that would have actually occurred had the Transactions occurred on the date or at the beginning of the periods indicated, nor does it purport to represent Itron’s future financial position or results of operations. The unaudited pro forma condensed combined information is based upon the historical consolidated financial statements of Itron and SSNI as discussed. The unaudited pro forma condensed combined financial information presented is based on the assumptions and adjustments described in the accompanying notes, which should be read together with the pro forma condensed combined financial statements.</w:t>
      </w:r>
    </w:p>
    <w:p>
      <w:pPr>
        <w:sectPr>
          <w:pgSz w:w="11900" w:h="16838" w:orient="portrait"/>
          <w:cols w:equalWidth="0" w:num="1">
            <w:col w:w="11420"/>
          </w:cols>
          <w:pgMar w:left="240" w:top="584"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September 30, 2017</w:t>
      </w:r>
    </w:p>
    <w:p>
      <w:pPr>
        <w:sectPr>
          <w:pgSz w:w="11900" w:h="16838" w:orient="portrait"/>
          <w:cols w:equalWidth="0" w:num="1">
            <w:col w:w="11380"/>
          </w:cols>
          <w:pgMar w:left="280" w:top="580" w:right="239" w:bottom="1440" w:gutter="0" w:footer="0" w:header="0"/>
        </w:sectPr>
      </w:pPr>
    </w:p>
    <w:p>
      <w:pPr>
        <w:spacing w:after="0" w:line="216"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color w:val="auto"/>
        </w:rPr>
        <w:t>(in thousands)</w:t>
      </w:r>
    </w:p>
    <w:p>
      <w:pPr>
        <w:spacing w:after="0" w:line="325"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color w:val="auto"/>
        </w:rPr>
        <w:t>ASSETS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Current assets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Short-term investments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receivable,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current assets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tax assets,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long-term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assets</w:t>
      </w: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LIABILITIES AND EQUITY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Current liabilities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 payable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Wages and benefits payable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Taxes payable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portion of debt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portion of warranty</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Unearned revenue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current liabilities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Long-term debt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Long-term warranty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Pension benefit obligations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tax liabilities,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long-term obligations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liabilities</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Equity</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Preferred stock</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Common stock</w:t>
      </w:r>
    </w:p>
    <w:p>
      <w:pPr>
        <w:spacing w:after="0" w:line="109" w:lineRule="exact"/>
        <w:rPr>
          <w:sz w:val="20"/>
          <w:szCs w:val="20"/>
          <w:color w:val="auto"/>
        </w:rPr>
      </w:pPr>
    </w:p>
    <w:p>
      <w:pPr>
        <w:ind w:left="140"/>
        <w:spacing w:after="0" w:line="402" w:lineRule="auto"/>
        <w:rPr>
          <w:sz w:val="20"/>
          <w:szCs w:val="20"/>
          <w:color w:val="auto"/>
        </w:rPr>
      </w:pPr>
      <w:r>
        <w:rPr>
          <w:rFonts w:ascii="Arial" w:cs="Arial" w:eastAsia="Arial" w:hAnsi="Arial"/>
          <w:sz w:val="14"/>
          <w:szCs w:val="14"/>
          <w:color w:val="auto"/>
        </w:rPr>
        <w:t>Accumulated other comprehensive loss, net Accumulated deficit</w:t>
      </w:r>
    </w:p>
    <w:p>
      <w:pPr>
        <w:spacing w:after="0" w:line="1" w:lineRule="exact"/>
        <w:rPr>
          <w:sz w:val="20"/>
          <w:szCs w:val="20"/>
          <w:color w:val="auto"/>
        </w:rPr>
      </w:pPr>
    </w:p>
    <w:p>
      <w:pPr>
        <w:ind w:left="140" w:right="380"/>
        <w:spacing w:after="0" w:line="402" w:lineRule="auto"/>
        <w:rPr>
          <w:sz w:val="20"/>
          <w:szCs w:val="20"/>
          <w:color w:val="auto"/>
        </w:rPr>
      </w:pPr>
      <w:r>
        <w:rPr>
          <w:rFonts w:ascii="Arial" w:cs="Arial" w:eastAsia="Arial" w:hAnsi="Arial"/>
          <w:sz w:val="14"/>
          <w:szCs w:val="14"/>
          <w:color w:val="auto"/>
        </w:rPr>
        <w:t>Total Itron, Inc. Shareholders’ equity Noncontrolling interests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equity</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liabilities and equity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Historical Itron, Inc.</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Historical SSNI</w:t>
            </w: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Pro Forma Adjustments</w:t>
            </w: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Financing Adjustments</w:t>
            </w: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Combined Pro Forma</w:t>
            </w:r>
          </w:p>
        </w:tc>
      </w:tr>
      <w:tr>
        <w:trPr>
          <w:trHeight w:val="190"/>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(Note 2)</w:t>
            </w:r>
          </w:p>
        </w:tc>
        <w:tc>
          <w:tcPr>
            <w:tcW w:w="1620" w:type="dxa"/>
            <w:vAlign w:val="bottom"/>
          </w:tcPr>
          <w:p>
            <w:pPr>
              <w:jc w:val="right"/>
              <w:ind w:right="488"/>
              <w:spacing w:after="0"/>
              <w:rPr>
                <w:sz w:val="20"/>
                <w:szCs w:val="20"/>
                <w:color w:val="auto"/>
              </w:rPr>
            </w:pPr>
            <w:r>
              <w:rPr>
                <w:rFonts w:ascii="Arial" w:cs="Arial" w:eastAsia="Arial" w:hAnsi="Arial"/>
                <w:sz w:val="14"/>
                <w:szCs w:val="14"/>
                <w:b w:val="1"/>
                <w:bCs w:val="1"/>
                <w:color w:val="auto"/>
              </w:rPr>
              <w:t>(Note 4)</w:t>
            </w:r>
          </w:p>
        </w:tc>
        <w:tc>
          <w:tcPr>
            <w:tcW w:w="220" w:type="dxa"/>
            <w:vAlign w:val="bottom"/>
          </w:tcPr>
          <w:p>
            <w:pPr>
              <w:spacing w:after="0"/>
              <w:rPr>
                <w:sz w:val="16"/>
                <w:szCs w:val="16"/>
                <w:color w:val="auto"/>
              </w:rPr>
            </w:pPr>
          </w:p>
        </w:tc>
        <w:tc>
          <w:tcPr>
            <w:tcW w:w="1580" w:type="dxa"/>
            <w:vAlign w:val="bottom"/>
          </w:tcPr>
          <w:p>
            <w:pPr>
              <w:jc w:val="right"/>
              <w:ind w:right="468"/>
              <w:spacing w:after="0"/>
              <w:rPr>
                <w:sz w:val="20"/>
                <w:szCs w:val="20"/>
                <w:color w:val="auto"/>
              </w:rPr>
            </w:pPr>
            <w:r>
              <w:rPr>
                <w:rFonts w:ascii="Arial" w:cs="Arial" w:eastAsia="Arial" w:hAnsi="Arial"/>
                <w:sz w:val="14"/>
                <w:szCs w:val="14"/>
                <w:b w:val="1"/>
                <w:bCs w:val="1"/>
                <w:color w:val="auto"/>
              </w:rPr>
              <w:t>(Note 4)</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878"/>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137,584</w:t>
            </w:r>
          </w:p>
        </w:tc>
        <w:tc>
          <w:tcPr>
            <w:tcW w:w="120" w:type="dxa"/>
            <w:vAlign w:val="bottom"/>
          </w:tcPr>
          <w:p>
            <w:pPr>
              <w:spacing w:after="0"/>
              <w:rPr>
                <w:sz w:val="24"/>
                <w:szCs w:val="24"/>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58,865</w:t>
            </w:r>
          </w:p>
        </w:tc>
        <w:tc>
          <w:tcPr>
            <w:tcW w:w="120" w:type="dxa"/>
            <w:vAlign w:val="bottom"/>
          </w:tcPr>
          <w:p>
            <w:pPr>
              <w:spacing w:after="0"/>
              <w:rPr>
                <w:sz w:val="24"/>
                <w:szCs w:val="24"/>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(972,846)</w:t>
            </w:r>
          </w:p>
        </w:tc>
        <w:tc>
          <w:tcPr>
            <w:tcW w:w="220" w:type="dxa"/>
            <w:vAlign w:val="bottom"/>
          </w:tcPr>
          <w:p>
            <w:pPr>
              <w:ind w:left="60"/>
              <w:spacing w:after="0"/>
              <w:rPr>
                <w:sz w:val="20"/>
                <w:szCs w:val="20"/>
                <w:color w:val="auto"/>
              </w:rPr>
            </w:pPr>
            <w:r>
              <w:rPr>
                <w:rFonts w:ascii="Arial" w:cs="Arial" w:eastAsia="Arial" w:hAnsi="Arial"/>
                <w:sz w:val="14"/>
                <w:szCs w:val="14"/>
                <w:color w:val="auto"/>
              </w:rPr>
              <w:t>A</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902,479</w:t>
            </w:r>
          </w:p>
        </w:tc>
        <w:tc>
          <w:tcPr>
            <w:tcW w:w="220" w:type="dxa"/>
            <w:vAlign w:val="bottom"/>
          </w:tcPr>
          <w:p>
            <w:pPr>
              <w:ind w:left="60"/>
              <w:spacing w:after="0"/>
              <w:rPr>
                <w:sz w:val="20"/>
                <w:szCs w:val="20"/>
                <w:color w:val="auto"/>
              </w:rPr>
            </w:pPr>
            <w:r>
              <w:rPr>
                <w:rFonts w:ascii="Arial" w:cs="Arial" w:eastAsia="Arial" w:hAnsi="Arial"/>
                <w:sz w:val="14"/>
                <w:szCs w:val="14"/>
                <w:color w:val="auto"/>
              </w:rPr>
              <w:t>H</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126,082</w:t>
            </w:r>
          </w:p>
        </w:tc>
      </w:tr>
      <w:tr>
        <w:trPr>
          <w:trHeight w:val="270"/>
        </w:trPr>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67,349</w:t>
            </w:r>
          </w:p>
        </w:tc>
        <w:tc>
          <w:tcPr>
            <w:tcW w:w="120" w:type="dxa"/>
            <w:vAlign w:val="bottom"/>
          </w:tcPr>
          <w:p>
            <w:pPr>
              <w:spacing w:after="0"/>
              <w:rPr>
                <w:sz w:val="23"/>
                <w:szCs w:val="23"/>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(67,349)</w:t>
            </w:r>
          </w:p>
        </w:tc>
        <w:tc>
          <w:tcPr>
            <w:tcW w:w="220" w:type="dxa"/>
            <w:vAlign w:val="bottom"/>
          </w:tcPr>
          <w:p>
            <w:pPr>
              <w:ind w:left="60"/>
              <w:spacing w:after="0"/>
              <w:rPr>
                <w:sz w:val="20"/>
                <w:szCs w:val="20"/>
                <w:color w:val="auto"/>
              </w:rPr>
            </w:pPr>
            <w:r>
              <w:rPr>
                <w:rFonts w:ascii="Arial" w:cs="Arial" w:eastAsia="Arial" w:hAnsi="Arial"/>
                <w:sz w:val="14"/>
                <w:szCs w:val="14"/>
                <w:color w:val="auto"/>
              </w:rPr>
              <w:t>H</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376,149</w:t>
            </w:r>
          </w:p>
        </w:tc>
        <w:tc>
          <w:tcPr>
            <w:tcW w:w="12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49,988</w:t>
            </w:r>
          </w:p>
        </w:tc>
        <w:tc>
          <w:tcPr>
            <w:tcW w:w="120" w:type="dxa"/>
            <w:vAlign w:val="bottom"/>
          </w:tcPr>
          <w:p>
            <w:pPr>
              <w:spacing w:after="0"/>
              <w:rPr>
                <w:sz w:val="23"/>
                <w:szCs w:val="23"/>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426,137</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207,703</w:t>
            </w:r>
          </w:p>
        </w:tc>
        <w:tc>
          <w:tcPr>
            <w:tcW w:w="12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6,064</w:t>
            </w:r>
          </w:p>
        </w:tc>
        <w:tc>
          <w:tcPr>
            <w:tcW w:w="120" w:type="dxa"/>
            <w:vAlign w:val="bottom"/>
          </w:tcPr>
          <w:p>
            <w:pPr>
              <w:spacing w:after="0"/>
              <w:rPr>
                <w:sz w:val="23"/>
                <w:szCs w:val="23"/>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3,769</w:t>
            </w:r>
          </w:p>
        </w:tc>
        <w:tc>
          <w:tcPr>
            <w:tcW w:w="220" w:type="dxa"/>
            <w:vAlign w:val="bottom"/>
          </w:tcPr>
          <w:p>
            <w:pPr>
              <w:ind w:left="60"/>
              <w:spacing w:after="0"/>
              <w:rPr>
                <w:sz w:val="20"/>
                <w:szCs w:val="20"/>
                <w:color w:val="auto"/>
              </w:rPr>
            </w:pPr>
            <w:r>
              <w:rPr>
                <w:rFonts w:ascii="Arial" w:cs="Arial" w:eastAsia="Arial" w:hAnsi="Arial"/>
                <w:sz w:val="14"/>
                <w:szCs w:val="14"/>
                <w:color w:val="auto"/>
              </w:rPr>
              <w:t>B</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217,536</w:t>
            </w:r>
          </w:p>
        </w:tc>
      </w:tr>
      <w:tr>
        <w:trPr>
          <w:trHeight w:val="276"/>
        </w:trPr>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112,959</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85,443</w:t>
            </w:r>
          </w:p>
        </w:tc>
        <w:tc>
          <w:tcPr>
            <w:tcW w:w="120" w:type="dxa"/>
            <w:vAlign w:val="bottom"/>
          </w:tcPr>
          <w:p>
            <w:pPr>
              <w:spacing w:after="0"/>
              <w:rPr>
                <w:sz w:val="24"/>
                <w:szCs w:val="24"/>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(72,459)</w:t>
            </w:r>
          </w:p>
        </w:tc>
        <w:tc>
          <w:tcPr>
            <w:tcW w:w="220" w:type="dxa"/>
            <w:vAlign w:val="bottom"/>
          </w:tcPr>
          <w:p>
            <w:pPr>
              <w:ind w:left="60"/>
              <w:spacing w:after="0"/>
              <w:rPr>
                <w:sz w:val="20"/>
                <w:szCs w:val="20"/>
                <w:color w:val="auto"/>
              </w:rPr>
            </w:pPr>
            <w:r>
              <w:rPr>
                <w:rFonts w:ascii="Arial" w:cs="Arial" w:eastAsia="Arial" w:hAnsi="Arial"/>
                <w:sz w:val="14"/>
                <w:szCs w:val="14"/>
                <w:color w:val="auto"/>
              </w:rPr>
              <w:t>C</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125,943</w:t>
            </w:r>
          </w:p>
        </w:tc>
      </w:tr>
      <w:tr>
        <w:trPr>
          <w:trHeight w:val="244"/>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834,395</w:t>
            </w:r>
          </w:p>
        </w:tc>
        <w:tc>
          <w:tcPr>
            <w:tcW w:w="12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267,709</w:t>
            </w:r>
          </w:p>
        </w:tc>
        <w:tc>
          <w:tcPr>
            <w:tcW w:w="120" w:type="dxa"/>
            <w:vAlign w:val="bottom"/>
          </w:tcPr>
          <w:p>
            <w:pPr>
              <w:spacing w:after="0"/>
              <w:rPr>
                <w:sz w:val="21"/>
                <w:szCs w:val="21"/>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(1,041,536)</w:t>
            </w:r>
          </w:p>
        </w:tc>
        <w:tc>
          <w:tcPr>
            <w:tcW w:w="220" w:type="dxa"/>
            <w:vAlign w:val="bottom"/>
          </w:tcPr>
          <w:p>
            <w:pPr>
              <w:spacing w:after="0"/>
              <w:rPr>
                <w:sz w:val="21"/>
                <w:szCs w:val="21"/>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835,130</w:t>
            </w:r>
          </w:p>
        </w:tc>
        <w:tc>
          <w:tcPr>
            <w:tcW w:w="220" w:type="dxa"/>
            <w:vAlign w:val="bottom"/>
          </w:tcPr>
          <w:p>
            <w:pPr>
              <w:spacing w:after="0"/>
              <w:rPr>
                <w:sz w:val="21"/>
                <w:szCs w:val="21"/>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895,698</w:t>
            </w:r>
          </w:p>
        </w:tc>
      </w:tr>
      <w:tr>
        <w:trPr>
          <w:trHeight w:val="446"/>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192,784</w:t>
            </w:r>
          </w:p>
        </w:tc>
        <w:tc>
          <w:tcPr>
            <w:tcW w:w="120" w:type="dxa"/>
            <w:vAlign w:val="bottom"/>
          </w:tcPr>
          <w:p>
            <w:pPr>
              <w:spacing w:after="0"/>
              <w:rPr>
                <w:sz w:val="24"/>
                <w:szCs w:val="24"/>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26,395</w:t>
            </w:r>
          </w:p>
        </w:tc>
        <w:tc>
          <w:tcPr>
            <w:tcW w:w="120" w:type="dxa"/>
            <w:vAlign w:val="bottom"/>
          </w:tcPr>
          <w:p>
            <w:pPr>
              <w:spacing w:after="0"/>
              <w:rPr>
                <w:sz w:val="24"/>
                <w:szCs w:val="24"/>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219,179</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95,666</w:t>
            </w:r>
          </w:p>
        </w:tc>
        <w:tc>
          <w:tcPr>
            <w:tcW w:w="12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3"/>
                <w:szCs w:val="23"/>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(13,962)</w:t>
            </w:r>
          </w:p>
        </w:tc>
        <w:tc>
          <w:tcPr>
            <w:tcW w:w="220" w:type="dxa"/>
            <w:vAlign w:val="bottom"/>
          </w:tcPr>
          <w:p>
            <w:pPr>
              <w:ind w:left="60"/>
              <w:spacing w:after="0"/>
              <w:rPr>
                <w:sz w:val="20"/>
                <w:szCs w:val="20"/>
                <w:color w:val="auto"/>
              </w:rPr>
            </w:pPr>
            <w:r>
              <w:rPr>
                <w:rFonts w:ascii="Arial" w:cs="Arial" w:eastAsia="Arial" w:hAnsi="Arial"/>
                <w:sz w:val="14"/>
                <w:szCs w:val="14"/>
                <w:color w:val="auto"/>
              </w:rPr>
              <w:t>F</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82,229</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44,072</w:t>
            </w:r>
          </w:p>
        </w:tc>
        <w:tc>
          <w:tcPr>
            <w:tcW w:w="12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11,463</w:t>
            </w:r>
          </w:p>
        </w:tc>
        <w:tc>
          <w:tcPr>
            <w:tcW w:w="120" w:type="dxa"/>
            <w:vAlign w:val="bottom"/>
          </w:tcPr>
          <w:p>
            <w:pPr>
              <w:spacing w:after="0"/>
              <w:rPr>
                <w:sz w:val="23"/>
                <w:szCs w:val="23"/>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(8,980)</w:t>
            </w:r>
          </w:p>
        </w:tc>
        <w:tc>
          <w:tcPr>
            <w:tcW w:w="220" w:type="dxa"/>
            <w:vAlign w:val="bottom"/>
          </w:tcPr>
          <w:p>
            <w:pPr>
              <w:ind w:left="60"/>
              <w:spacing w:after="0"/>
              <w:rPr>
                <w:sz w:val="20"/>
                <w:szCs w:val="20"/>
                <w:color w:val="auto"/>
              </w:rPr>
            </w:pPr>
            <w:r>
              <w:rPr>
                <w:rFonts w:ascii="Arial" w:cs="Arial" w:eastAsia="Arial" w:hAnsi="Arial"/>
                <w:sz w:val="14"/>
                <w:szCs w:val="14"/>
                <w:color w:val="auto"/>
              </w:rPr>
              <w:t>C</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9,194</w:t>
            </w:r>
          </w:p>
        </w:tc>
        <w:tc>
          <w:tcPr>
            <w:tcW w:w="220" w:type="dxa"/>
            <w:vAlign w:val="bottom"/>
          </w:tcPr>
          <w:p>
            <w:pPr>
              <w:ind w:left="60"/>
              <w:spacing w:after="0"/>
              <w:rPr>
                <w:sz w:val="20"/>
                <w:szCs w:val="20"/>
                <w:color w:val="auto"/>
              </w:rPr>
            </w:pPr>
            <w:r>
              <w:rPr>
                <w:rFonts w:ascii="Arial" w:cs="Arial" w:eastAsia="Arial" w:hAnsi="Arial"/>
                <w:sz w:val="14"/>
                <w:szCs w:val="14"/>
                <w:color w:val="auto"/>
              </w:rPr>
              <w:t>H</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55,749</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100,289</w:t>
            </w:r>
          </w:p>
        </w:tc>
        <w:tc>
          <w:tcPr>
            <w:tcW w:w="12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1,656</w:t>
            </w:r>
          </w:p>
        </w:tc>
        <w:tc>
          <w:tcPr>
            <w:tcW w:w="120" w:type="dxa"/>
            <w:vAlign w:val="bottom"/>
          </w:tcPr>
          <w:p>
            <w:pPr>
              <w:spacing w:after="0"/>
              <w:rPr>
                <w:sz w:val="23"/>
                <w:szCs w:val="23"/>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232,944</w:t>
            </w:r>
          </w:p>
        </w:tc>
        <w:tc>
          <w:tcPr>
            <w:tcW w:w="220" w:type="dxa"/>
            <w:vAlign w:val="bottom"/>
          </w:tcPr>
          <w:p>
            <w:pPr>
              <w:ind w:left="60"/>
              <w:spacing w:after="0"/>
              <w:rPr>
                <w:sz w:val="20"/>
                <w:szCs w:val="20"/>
                <w:color w:val="auto"/>
              </w:rPr>
            </w:pPr>
            <w:r>
              <w:rPr>
                <w:rFonts w:ascii="Arial" w:cs="Arial" w:eastAsia="Arial" w:hAnsi="Arial"/>
                <w:sz w:val="14"/>
                <w:szCs w:val="14"/>
                <w:color w:val="auto"/>
              </w:rPr>
              <w:t>D</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334,889</w:t>
            </w:r>
          </w:p>
        </w:tc>
      </w:tr>
      <w:tr>
        <w:trPr>
          <w:trHeight w:val="276"/>
        </w:trPr>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550,732</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8,772</w:t>
            </w:r>
          </w:p>
        </w:tc>
        <w:tc>
          <w:tcPr>
            <w:tcW w:w="120" w:type="dxa"/>
            <w:vAlign w:val="bottom"/>
          </w:tcPr>
          <w:p>
            <w:pPr>
              <w:spacing w:after="0"/>
              <w:rPr>
                <w:sz w:val="24"/>
                <w:szCs w:val="24"/>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576,459</w:t>
            </w:r>
          </w:p>
        </w:tc>
        <w:tc>
          <w:tcPr>
            <w:tcW w:w="220" w:type="dxa"/>
            <w:vAlign w:val="bottom"/>
          </w:tcPr>
          <w:p>
            <w:pPr>
              <w:ind w:left="60"/>
              <w:spacing w:after="0"/>
              <w:rPr>
                <w:sz w:val="20"/>
                <w:szCs w:val="20"/>
                <w:color w:val="auto"/>
              </w:rPr>
            </w:pPr>
            <w:r>
              <w:rPr>
                <w:rFonts w:ascii="Arial" w:cs="Arial" w:eastAsia="Arial" w:hAnsi="Arial"/>
                <w:sz w:val="14"/>
                <w:szCs w:val="14"/>
                <w:color w:val="auto"/>
              </w:rPr>
              <w:t>E</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1,135,963</w:t>
            </w:r>
          </w:p>
        </w:tc>
      </w:tr>
      <w:tr>
        <w:trPr>
          <w:trHeight w:val="237"/>
        </w:trPr>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1,817,938</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316,520</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(255,075)</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844,324</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2,723,707</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068"/>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212,564</w:t>
            </w:r>
          </w:p>
        </w:tc>
        <w:tc>
          <w:tcPr>
            <w:tcW w:w="120" w:type="dxa"/>
            <w:vAlign w:val="bottom"/>
          </w:tcPr>
          <w:p>
            <w:pPr>
              <w:spacing w:after="0"/>
              <w:rPr>
                <w:sz w:val="24"/>
                <w:szCs w:val="24"/>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36,960</w:t>
            </w:r>
          </w:p>
        </w:tc>
        <w:tc>
          <w:tcPr>
            <w:tcW w:w="120" w:type="dxa"/>
            <w:vAlign w:val="bottom"/>
          </w:tcPr>
          <w:p>
            <w:pPr>
              <w:spacing w:after="0"/>
              <w:rPr>
                <w:sz w:val="24"/>
                <w:szCs w:val="24"/>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249,524</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55,305</w:t>
            </w:r>
          </w:p>
        </w:tc>
        <w:tc>
          <w:tcPr>
            <w:tcW w:w="12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2,436</w:t>
            </w:r>
          </w:p>
        </w:tc>
        <w:tc>
          <w:tcPr>
            <w:tcW w:w="120" w:type="dxa"/>
            <w:vAlign w:val="bottom"/>
          </w:tcPr>
          <w:p>
            <w:pPr>
              <w:spacing w:after="0"/>
              <w:rPr>
                <w:sz w:val="23"/>
                <w:szCs w:val="23"/>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(5,722)</w:t>
            </w:r>
          </w:p>
        </w:tc>
        <w:tc>
          <w:tcPr>
            <w:tcW w:w="220" w:type="dxa"/>
            <w:vAlign w:val="bottom"/>
          </w:tcPr>
          <w:p>
            <w:pPr>
              <w:ind w:left="60"/>
              <w:spacing w:after="0"/>
              <w:rPr>
                <w:sz w:val="20"/>
                <w:szCs w:val="20"/>
                <w:color w:val="auto"/>
              </w:rPr>
            </w:pPr>
            <w:r>
              <w:rPr>
                <w:rFonts w:ascii="Arial" w:cs="Arial" w:eastAsia="Arial" w:hAnsi="Arial"/>
                <w:sz w:val="14"/>
                <w:szCs w:val="14"/>
                <w:color w:val="auto"/>
              </w:rPr>
              <w:t>A</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52,019</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94,867</w:t>
            </w:r>
          </w:p>
        </w:tc>
        <w:tc>
          <w:tcPr>
            <w:tcW w:w="12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15,781</w:t>
            </w:r>
          </w:p>
        </w:tc>
        <w:tc>
          <w:tcPr>
            <w:tcW w:w="120" w:type="dxa"/>
            <w:vAlign w:val="bottom"/>
          </w:tcPr>
          <w:p>
            <w:pPr>
              <w:spacing w:after="0"/>
              <w:rPr>
                <w:sz w:val="23"/>
                <w:szCs w:val="23"/>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110,648</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21,082</w:t>
            </w:r>
          </w:p>
        </w:tc>
        <w:tc>
          <w:tcPr>
            <w:tcW w:w="12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23"/>
                <w:szCs w:val="23"/>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21,983</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18,281</w:t>
            </w:r>
          </w:p>
        </w:tc>
        <w:tc>
          <w:tcPr>
            <w:tcW w:w="12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(6,093)</w:t>
            </w:r>
          </w:p>
        </w:tc>
        <w:tc>
          <w:tcPr>
            <w:tcW w:w="220" w:type="dxa"/>
            <w:vAlign w:val="bottom"/>
          </w:tcPr>
          <w:p>
            <w:pPr>
              <w:ind w:left="60"/>
              <w:spacing w:after="0"/>
              <w:rPr>
                <w:sz w:val="20"/>
                <w:szCs w:val="20"/>
                <w:color w:val="auto"/>
              </w:rPr>
            </w:pPr>
            <w:r>
              <w:rPr>
                <w:rFonts w:ascii="Arial" w:cs="Arial" w:eastAsia="Arial" w:hAnsi="Arial"/>
                <w:sz w:val="14"/>
                <w:szCs w:val="14"/>
                <w:color w:val="auto"/>
              </w:rPr>
              <w:t>H</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12,188</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21,697</w:t>
            </w:r>
          </w:p>
        </w:tc>
        <w:tc>
          <w:tcPr>
            <w:tcW w:w="12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3,848</w:t>
            </w:r>
          </w:p>
        </w:tc>
        <w:tc>
          <w:tcPr>
            <w:tcW w:w="120" w:type="dxa"/>
            <w:vAlign w:val="bottom"/>
          </w:tcPr>
          <w:p>
            <w:pPr>
              <w:spacing w:after="0"/>
              <w:rPr>
                <w:sz w:val="23"/>
                <w:szCs w:val="23"/>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25,545</w:t>
            </w:r>
          </w:p>
        </w:tc>
      </w:tr>
      <w:tr>
        <w:trPr>
          <w:trHeight w:val="276"/>
        </w:trPr>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74,598</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222,692</w:t>
            </w:r>
          </w:p>
        </w:tc>
        <w:tc>
          <w:tcPr>
            <w:tcW w:w="120" w:type="dxa"/>
            <w:vAlign w:val="bottom"/>
          </w:tcPr>
          <w:p>
            <w:pPr>
              <w:spacing w:after="0"/>
              <w:rPr>
                <w:sz w:val="24"/>
                <w:szCs w:val="24"/>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(197,395)</w:t>
            </w:r>
          </w:p>
        </w:tc>
        <w:tc>
          <w:tcPr>
            <w:tcW w:w="220" w:type="dxa"/>
            <w:vAlign w:val="bottom"/>
          </w:tcPr>
          <w:p>
            <w:pPr>
              <w:ind w:left="60"/>
              <w:spacing w:after="0"/>
              <w:rPr>
                <w:sz w:val="20"/>
                <w:szCs w:val="20"/>
                <w:color w:val="auto"/>
              </w:rPr>
            </w:pPr>
            <w:r>
              <w:rPr>
                <w:rFonts w:ascii="Arial" w:cs="Arial" w:eastAsia="Arial" w:hAnsi="Arial"/>
                <w:sz w:val="14"/>
                <w:szCs w:val="14"/>
                <w:color w:val="auto"/>
              </w:rPr>
              <w:t>C</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99,895</w:t>
            </w:r>
          </w:p>
        </w:tc>
      </w:tr>
      <w:tr>
        <w:trPr>
          <w:trHeight w:val="244"/>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498,394</w:t>
            </w:r>
          </w:p>
        </w:tc>
        <w:tc>
          <w:tcPr>
            <w:tcW w:w="12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282,618</w:t>
            </w:r>
          </w:p>
        </w:tc>
        <w:tc>
          <w:tcPr>
            <w:tcW w:w="120" w:type="dxa"/>
            <w:vAlign w:val="bottom"/>
          </w:tcPr>
          <w:p>
            <w:pPr>
              <w:spacing w:after="0"/>
              <w:rPr>
                <w:sz w:val="21"/>
                <w:szCs w:val="21"/>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(203,117)</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(6,093)</w:t>
            </w:r>
          </w:p>
        </w:tc>
        <w:tc>
          <w:tcPr>
            <w:tcW w:w="220" w:type="dxa"/>
            <w:vAlign w:val="bottom"/>
          </w:tcPr>
          <w:p>
            <w:pPr>
              <w:spacing w:after="0"/>
              <w:rPr>
                <w:sz w:val="21"/>
                <w:szCs w:val="21"/>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571,802</w:t>
            </w:r>
          </w:p>
        </w:tc>
      </w:tr>
      <w:tr>
        <w:trPr>
          <w:trHeight w:val="459"/>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303,949</w:t>
            </w:r>
          </w:p>
        </w:tc>
        <w:tc>
          <w:tcPr>
            <w:tcW w:w="120" w:type="dxa"/>
            <w:vAlign w:val="bottom"/>
          </w:tcPr>
          <w:p>
            <w:pPr>
              <w:spacing w:after="0"/>
              <w:rPr>
                <w:sz w:val="24"/>
                <w:szCs w:val="2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852,880</w:t>
            </w:r>
          </w:p>
        </w:tc>
        <w:tc>
          <w:tcPr>
            <w:tcW w:w="220" w:type="dxa"/>
            <w:vAlign w:val="bottom"/>
          </w:tcPr>
          <w:p>
            <w:pPr>
              <w:ind w:left="60"/>
              <w:spacing w:after="0"/>
              <w:rPr>
                <w:sz w:val="20"/>
                <w:szCs w:val="20"/>
                <w:color w:val="auto"/>
              </w:rPr>
            </w:pPr>
            <w:r>
              <w:rPr>
                <w:rFonts w:ascii="Arial" w:cs="Arial" w:eastAsia="Arial" w:hAnsi="Arial"/>
                <w:sz w:val="14"/>
                <w:szCs w:val="14"/>
                <w:color w:val="auto"/>
              </w:rPr>
              <w:t>H</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1,156,829</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13,225</w:t>
            </w:r>
          </w:p>
        </w:tc>
        <w:tc>
          <w:tcPr>
            <w:tcW w:w="12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1,510</w:t>
            </w:r>
          </w:p>
        </w:tc>
        <w:tc>
          <w:tcPr>
            <w:tcW w:w="120" w:type="dxa"/>
            <w:vAlign w:val="bottom"/>
          </w:tcPr>
          <w:p>
            <w:pPr>
              <w:spacing w:after="0"/>
              <w:rPr>
                <w:sz w:val="23"/>
                <w:szCs w:val="23"/>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14,735</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96,849</w:t>
            </w:r>
          </w:p>
        </w:tc>
        <w:tc>
          <w:tcPr>
            <w:tcW w:w="12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96,849</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3,447</w:t>
            </w:r>
          </w:p>
        </w:tc>
        <w:tc>
          <w:tcPr>
            <w:tcW w:w="12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3,447</w:t>
            </w:r>
          </w:p>
        </w:tc>
      </w:tr>
      <w:tr>
        <w:trPr>
          <w:trHeight w:val="276"/>
        </w:trPr>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111,553</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71,347</w:t>
            </w:r>
          </w:p>
        </w:tc>
        <w:tc>
          <w:tcPr>
            <w:tcW w:w="120" w:type="dxa"/>
            <w:vAlign w:val="bottom"/>
          </w:tcPr>
          <w:p>
            <w:pPr>
              <w:spacing w:after="0"/>
              <w:rPr>
                <w:sz w:val="24"/>
                <w:szCs w:val="24"/>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(30,857)</w:t>
            </w:r>
          </w:p>
        </w:tc>
        <w:tc>
          <w:tcPr>
            <w:tcW w:w="220" w:type="dxa"/>
            <w:vAlign w:val="bottom"/>
          </w:tcPr>
          <w:p>
            <w:pPr>
              <w:ind w:left="60"/>
              <w:spacing w:after="0"/>
              <w:rPr>
                <w:sz w:val="20"/>
                <w:szCs w:val="20"/>
                <w:color w:val="auto"/>
              </w:rPr>
            </w:pPr>
            <w:r>
              <w:rPr>
                <w:rFonts w:ascii="Arial" w:cs="Arial" w:eastAsia="Arial" w:hAnsi="Arial"/>
                <w:sz w:val="14"/>
                <w:szCs w:val="14"/>
                <w:color w:val="auto"/>
              </w:rPr>
              <w:t>C</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152,043</w:t>
            </w:r>
          </w:p>
        </w:tc>
      </w:tr>
      <w:tr>
        <w:trPr>
          <w:trHeight w:val="244"/>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1,027,417</w:t>
            </w:r>
          </w:p>
        </w:tc>
        <w:tc>
          <w:tcPr>
            <w:tcW w:w="12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355,475</w:t>
            </w:r>
          </w:p>
        </w:tc>
        <w:tc>
          <w:tcPr>
            <w:tcW w:w="120" w:type="dxa"/>
            <w:vAlign w:val="bottom"/>
          </w:tcPr>
          <w:p>
            <w:pPr>
              <w:spacing w:after="0"/>
              <w:rPr>
                <w:sz w:val="21"/>
                <w:szCs w:val="21"/>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(233,974)</w:t>
            </w:r>
          </w:p>
        </w:tc>
        <w:tc>
          <w:tcPr>
            <w:tcW w:w="220" w:type="dxa"/>
            <w:vAlign w:val="bottom"/>
          </w:tcPr>
          <w:p>
            <w:pPr>
              <w:spacing w:after="0"/>
              <w:rPr>
                <w:sz w:val="21"/>
                <w:szCs w:val="21"/>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846,787</w:t>
            </w:r>
          </w:p>
        </w:tc>
        <w:tc>
          <w:tcPr>
            <w:tcW w:w="220" w:type="dxa"/>
            <w:vAlign w:val="bottom"/>
          </w:tcPr>
          <w:p>
            <w:pPr>
              <w:spacing w:after="0"/>
              <w:rPr>
                <w:sz w:val="21"/>
                <w:szCs w:val="21"/>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1,995,705</w:t>
            </w:r>
          </w:p>
        </w:tc>
      </w:tr>
      <w:tr>
        <w:trPr>
          <w:trHeight w:val="810"/>
        </w:trPr>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1,287,803</w:t>
            </w:r>
          </w:p>
        </w:tc>
        <w:tc>
          <w:tcPr>
            <w:tcW w:w="12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641,187</w:t>
            </w:r>
          </w:p>
        </w:tc>
        <w:tc>
          <w:tcPr>
            <w:tcW w:w="120" w:type="dxa"/>
            <w:vAlign w:val="bottom"/>
          </w:tcPr>
          <w:p>
            <w:pPr>
              <w:spacing w:after="0"/>
              <w:rPr>
                <w:sz w:val="23"/>
                <w:szCs w:val="23"/>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(634,459)</w:t>
            </w:r>
          </w:p>
        </w:tc>
        <w:tc>
          <w:tcPr>
            <w:tcW w:w="220" w:type="dxa"/>
            <w:vAlign w:val="bottom"/>
          </w:tcPr>
          <w:p>
            <w:pPr>
              <w:ind w:left="60"/>
              <w:spacing w:after="0"/>
              <w:rPr>
                <w:sz w:val="20"/>
                <w:szCs w:val="20"/>
                <w:color w:val="auto"/>
              </w:rPr>
            </w:pPr>
            <w:r>
              <w:rPr>
                <w:rFonts w:ascii="Arial" w:cs="Arial" w:eastAsia="Arial" w:hAnsi="Arial"/>
                <w:sz w:val="14"/>
                <w:szCs w:val="14"/>
                <w:color w:val="auto"/>
              </w:rPr>
              <w:t>G</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1,294,531</w:t>
            </w:r>
          </w:p>
        </w:tc>
      </w:tr>
      <w:tr>
        <w:trPr>
          <w:trHeight w:val="270"/>
        </w:trPr>
        <w:tc>
          <w:tcPr>
            <w:tcW w:w="1620" w:type="dxa"/>
            <w:vAlign w:val="bottom"/>
          </w:tcPr>
          <w:p>
            <w:pPr>
              <w:jc w:val="right"/>
              <w:ind w:right="8"/>
              <w:spacing w:after="0"/>
              <w:rPr>
                <w:sz w:val="20"/>
                <w:szCs w:val="20"/>
                <w:color w:val="auto"/>
              </w:rPr>
            </w:pPr>
            <w:r>
              <w:rPr>
                <w:rFonts w:ascii="Arial" w:cs="Arial" w:eastAsia="Arial" w:hAnsi="Arial"/>
                <w:sz w:val="14"/>
                <w:szCs w:val="14"/>
                <w:color w:val="auto"/>
              </w:rPr>
              <w:t>(177,743)</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(2,053)</w:t>
            </w:r>
          </w:p>
        </w:tc>
        <w:tc>
          <w:tcPr>
            <w:tcW w:w="120" w:type="dxa"/>
            <w:vAlign w:val="bottom"/>
          </w:tcPr>
          <w:p>
            <w:pPr>
              <w:spacing w:after="0"/>
              <w:rPr>
                <w:sz w:val="23"/>
                <w:szCs w:val="23"/>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2,053</w:t>
            </w:r>
          </w:p>
        </w:tc>
        <w:tc>
          <w:tcPr>
            <w:tcW w:w="220" w:type="dxa"/>
            <w:vAlign w:val="bottom"/>
          </w:tcPr>
          <w:p>
            <w:pPr>
              <w:ind w:left="60"/>
              <w:spacing w:after="0"/>
              <w:rPr>
                <w:sz w:val="20"/>
                <w:szCs w:val="20"/>
                <w:color w:val="auto"/>
              </w:rPr>
            </w:pPr>
            <w:r>
              <w:rPr>
                <w:rFonts w:ascii="Arial" w:cs="Arial" w:eastAsia="Arial" w:hAnsi="Arial"/>
                <w:sz w:val="14"/>
                <w:szCs w:val="14"/>
                <w:color w:val="auto"/>
              </w:rPr>
              <w:t>G</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(177,743)</w:t>
            </w:r>
          </w:p>
        </w:tc>
      </w:tr>
      <w:tr>
        <w:trPr>
          <w:trHeight w:val="276"/>
        </w:trPr>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(339,654)</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(678,089)</w:t>
            </w:r>
          </w:p>
        </w:tc>
        <w:tc>
          <w:tcPr>
            <w:tcW w:w="120" w:type="dxa"/>
            <w:vAlign w:val="bottom"/>
          </w:tcPr>
          <w:p>
            <w:pPr>
              <w:spacing w:after="0"/>
              <w:rPr>
                <w:sz w:val="24"/>
                <w:szCs w:val="24"/>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611,305</w:t>
            </w:r>
          </w:p>
        </w:tc>
        <w:tc>
          <w:tcPr>
            <w:tcW w:w="220" w:type="dxa"/>
            <w:vAlign w:val="bottom"/>
          </w:tcPr>
          <w:p>
            <w:pPr>
              <w:ind w:left="60"/>
              <w:spacing w:after="0"/>
              <w:rPr>
                <w:sz w:val="20"/>
                <w:szCs w:val="20"/>
                <w:color w:val="auto"/>
              </w:rPr>
            </w:pPr>
            <w:r>
              <w:rPr>
                <w:rFonts w:ascii="Arial" w:cs="Arial" w:eastAsia="Arial" w:hAnsi="Arial"/>
                <w:sz w:val="14"/>
                <w:szCs w:val="14"/>
                <w:color w:val="auto"/>
              </w:rPr>
              <w:t>G</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(2,463)</w:t>
            </w:r>
          </w:p>
        </w:tc>
        <w:tc>
          <w:tcPr>
            <w:tcW w:w="220" w:type="dxa"/>
            <w:vAlign w:val="bottom"/>
          </w:tcPr>
          <w:p>
            <w:pPr>
              <w:ind w:left="60"/>
              <w:spacing w:after="0"/>
              <w:rPr>
                <w:sz w:val="20"/>
                <w:szCs w:val="20"/>
                <w:color w:val="auto"/>
              </w:rPr>
            </w:pPr>
            <w:r>
              <w:rPr>
                <w:rFonts w:ascii="Arial" w:cs="Arial" w:eastAsia="Arial" w:hAnsi="Arial"/>
                <w:sz w:val="14"/>
                <w:szCs w:val="14"/>
                <w:color w:val="auto"/>
              </w:rPr>
              <w:t>H</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(408,901)</w:t>
            </w:r>
          </w:p>
        </w:tc>
      </w:tr>
      <w:tr>
        <w:trPr>
          <w:trHeight w:val="244"/>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770,406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(38,955)</w:t>
            </w:r>
          </w:p>
        </w:tc>
        <w:tc>
          <w:tcPr>
            <w:tcW w:w="120" w:type="dxa"/>
            <w:vAlign w:val="bottom"/>
          </w:tcPr>
          <w:p>
            <w:pPr>
              <w:spacing w:after="0"/>
              <w:rPr>
                <w:sz w:val="21"/>
                <w:szCs w:val="21"/>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(21,101)</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(2,463)</w:t>
            </w:r>
          </w:p>
        </w:tc>
        <w:tc>
          <w:tcPr>
            <w:tcW w:w="220" w:type="dxa"/>
            <w:vAlign w:val="bottom"/>
          </w:tcPr>
          <w:p>
            <w:pPr>
              <w:spacing w:after="0"/>
              <w:rPr>
                <w:sz w:val="21"/>
                <w:szCs w:val="21"/>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707,887</w:t>
            </w:r>
          </w:p>
        </w:tc>
      </w:tr>
      <w:tr>
        <w:trPr>
          <w:trHeight w:val="276"/>
        </w:trPr>
        <w:tc>
          <w:tcPr>
            <w:tcW w:w="1620" w:type="dxa"/>
            <w:vAlign w:val="bottom"/>
          </w:tcPr>
          <w:p>
            <w:pPr>
              <w:jc w:val="right"/>
              <w:ind w:right="48"/>
              <w:spacing w:after="0"/>
              <w:rPr>
                <w:sz w:val="20"/>
                <w:szCs w:val="20"/>
                <w:color w:val="auto"/>
              </w:rPr>
            </w:pPr>
            <w:r>
              <w:rPr>
                <w:rFonts w:ascii="Arial" w:cs="Arial" w:eastAsia="Arial" w:hAnsi="Arial"/>
                <w:sz w:val="14"/>
                <w:szCs w:val="14"/>
                <w:color w:val="auto"/>
              </w:rPr>
              <w:t>20,115</w:t>
            </w:r>
          </w:p>
        </w:tc>
        <w:tc>
          <w:tcPr>
            <w:tcW w:w="120" w:type="dxa"/>
            <w:vAlign w:val="bottom"/>
          </w:tcPr>
          <w:p>
            <w:pPr>
              <w:spacing w:after="0"/>
              <w:rPr>
                <w:sz w:val="24"/>
                <w:szCs w:val="2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20,115</w:t>
            </w:r>
          </w:p>
        </w:tc>
      </w:tr>
      <w:tr>
        <w:trPr>
          <w:trHeight w:val="250"/>
        </w:trPr>
        <w:tc>
          <w:tcPr>
            <w:tcW w:w="1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790,521</w:t>
            </w:r>
          </w:p>
        </w:tc>
        <w:tc>
          <w:tcPr>
            <w:tcW w:w="12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(38,955)</w:t>
            </w:r>
          </w:p>
        </w:tc>
        <w:tc>
          <w:tcPr>
            <w:tcW w:w="120" w:type="dxa"/>
            <w:vAlign w:val="bottom"/>
          </w:tcPr>
          <w:p>
            <w:pPr>
              <w:spacing w:after="0"/>
              <w:rPr>
                <w:sz w:val="21"/>
                <w:szCs w:val="21"/>
                <w:color w:val="auto"/>
              </w:rPr>
            </w:pPr>
          </w:p>
        </w:tc>
        <w:tc>
          <w:tcPr>
            <w:tcW w:w="1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(21,101)</w:t>
            </w:r>
          </w:p>
        </w:tc>
        <w:tc>
          <w:tcPr>
            <w:tcW w:w="22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(2,463)</w:t>
            </w:r>
          </w:p>
        </w:tc>
        <w:tc>
          <w:tcPr>
            <w:tcW w:w="22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728,002</w:t>
            </w:r>
          </w:p>
        </w:tc>
      </w:tr>
      <w:tr>
        <w:trPr>
          <w:trHeight w:val="237"/>
        </w:trPr>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1,817,938</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316,520</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(255,075)</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844,324</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2,723,707</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640" w:space="60"/>
            <w:col w:w="8680"/>
          </w:cols>
          <w:pgMar w:left="280" w:top="580" w:right="239" w:bottom="1440" w:gutter="0" w:footer="0" w:header="0"/>
          <w:type w:val="continuous"/>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unaudited pro forma condensed combined financial information</w:t>
      </w:r>
    </w:p>
    <w:p>
      <w:pPr>
        <w:sectPr>
          <w:pgSz w:w="11900" w:h="16838" w:orient="portrait"/>
          <w:cols w:equalWidth="0" w:num="1">
            <w:col w:w="11380"/>
          </w:cols>
          <w:pgMar w:left="280" w:top="580" w:right="23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(in thousands, except per share data)</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Historical Itron,</w:t>
            </w:r>
          </w:p>
        </w:tc>
        <w:tc>
          <w:tcPr>
            <w:tcW w:w="1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Historical SSNI</w:t>
            </w:r>
          </w:p>
        </w:tc>
        <w:tc>
          <w:tcPr>
            <w:tcW w:w="120" w:type="dxa"/>
            <w:vAlign w:val="bottom"/>
            <w:vMerge w:val="restart"/>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Financing</w:t>
            </w:r>
          </w:p>
        </w:tc>
        <w:tc>
          <w:tcPr>
            <w:tcW w:w="220" w:type="dxa"/>
            <w:vAlign w:val="bottom"/>
          </w:tcPr>
          <w:p>
            <w:pPr>
              <w:spacing w:after="0"/>
              <w:rPr>
                <w:sz w:val="14"/>
                <w:szCs w:val="14"/>
                <w:color w:val="auto"/>
              </w:rPr>
            </w:pPr>
          </w:p>
        </w:tc>
        <w:tc>
          <w:tcPr>
            <w:tcW w:w="1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Combined Pro Forma</w:t>
            </w:r>
          </w:p>
        </w:tc>
        <w:tc>
          <w:tcPr>
            <w:tcW w:w="0" w:type="dxa"/>
            <w:vAlign w:val="bottom"/>
          </w:tcPr>
          <w:p>
            <w:pPr>
              <w:spacing w:after="0"/>
              <w:rPr>
                <w:sz w:val="1"/>
                <w:szCs w:val="1"/>
                <w:color w:val="auto"/>
              </w:rPr>
            </w:pPr>
          </w:p>
        </w:tc>
      </w:tr>
      <w:tr>
        <w:trPr>
          <w:trHeight w:val="192"/>
        </w:trPr>
        <w:tc>
          <w:tcPr>
            <w:tcW w:w="386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Inc.</w:t>
            </w:r>
          </w:p>
        </w:tc>
        <w:tc>
          <w:tcPr>
            <w:tcW w:w="1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(Note 2)</w:t>
            </w:r>
          </w:p>
        </w:tc>
        <w:tc>
          <w:tcPr>
            <w:tcW w:w="12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(Note 2)</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(Note 5)</w:t>
            </w:r>
          </w:p>
        </w:tc>
        <w:tc>
          <w:tcPr>
            <w:tcW w:w="2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(Note 5)</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860" w:type="dxa"/>
            <w:vAlign w:val="bottom"/>
          </w:tcPr>
          <w:p>
            <w:pPr>
              <w:spacing w:after="0"/>
              <w:rPr>
                <w:sz w:val="20"/>
                <w:szCs w:val="20"/>
                <w:color w:val="auto"/>
              </w:rPr>
            </w:pPr>
            <w:r>
              <w:rPr>
                <w:rFonts w:ascii="Arial" w:cs="Arial" w:eastAsia="Arial" w:hAnsi="Arial"/>
                <w:sz w:val="14"/>
                <w:szCs w:val="14"/>
                <w:color w:val="auto"/>
              </w:rPr>
              <w:t>Revenues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4"/>
                <w:szCs w:val="14"/>
                <w:color w:val="auto"/>
              </w:rPr>
              <w:t>Product revenues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1,830,070</w:t>
            </w: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225,218</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2,055,288</w:t>
            </w:r>
          </w:p>
        </w:tc>
        <w:tc>
          <w:tcPr>
            <w:tcW w:w="0" w:type="dxa"/>
            <w:vAlign w:val="bottom"/>
          </w:tcPr>
          <w:p>
            <w:pPr>
              <w:spacing w:after="0"/>
              <w:rPr>
                <w:sz w:val="1"/>
                <w:szCs w:val="1"/>
                <w:color w:val="auto"/>
              </w:rPr>
            </w:pPr>
          </w:p>
        </w:tc>
      </w:tr>
      <w:tr>
        <w:trPr>
          <w:trHeight w:val="276"/>
        </w:trPr>
        <w:tc>
          <w:tcPr>
            <w:tcW w:w="3860" w:type="dxa"/>
            <w:vAlign w:val="bottom"/>
          </w:tcPr>
          <w:p>
            <w:pPr>
              <w:ind w:left="180"/>
              <w:spacing w:after="0"/>
              <w:rPr>
                <w:sz w:val="20"/>
                <w:szCs w:val="20"/>
                <w:color w:val="auto"/>
              </w:rPr>
            </w:pPr>
            <w:r>
              <w:rPr>
                <w:rFonts w:ascii="Arial" w:cs="Arial" w:eastAsia="Arial" w:hAnsi="Arial"/>
                <w:sz w:val="14"/>
                <w:szCs w:val="14"/>
                <w:color w:val="auto"/>
              </w:rPr>
              <w:t>Service revenues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183,116</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85,790</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268,906</w:t>
            </w:r>
          </w:p>
        </w:tc>
        <w:tc>
          <w:tcPr>
            <w:tcW w:w="0" w:type="dxa"/>
            <w:vAlign w:val="bottom"/>
          </w:tcPr>
          <w:p>
            <w:pPr>
              <w:spacing w:after="0"/>
              <w:rPr>
                <w:sz w:val="1"/>
                <w:szCs w:val="1"/>
                <w:color w:val="auto"/>
              </w:rPr>
            </w:pPr>
          </w:p>
        </w:tc>
      </w:tr>
      <w:tr>
        <w:trPr>
          <w:trHeight w:val="250"/>
        </w:trPr>
        <w:tc>
          <w:tcPr>
            <w:tcW w:w="3860" w:type="dxa"/>
            <w:vAlign w:val="bottom"/>
          </w:tcPr>
          <w:p>
            <w:pPr>
              <w:ind w:left="360"/>
              <w:spacing w:after="0"/>
              <w:rPr>
                <w:sz w:val="20"/>
                <w:szCs w:val="20"/>
                <w:color w:val="auto"/>
              </w:rPr>
            </w:pPr>
            <w:r>
              <w:rPr>
                <w:rFonts w:ascii="Arial" w:cs="Arial" w:eastAsia="Arial" w:hAnsi="Arial"/>
                <w:sz w:val="14"/>
                <w:szCs w:val="14"/>
                <w:color w:val="auto"/>
              </w:rPr>
              <w:t>Total revenues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2,013,186</w:t>
            </w: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311,008</w:t>
            </w:r>
          </w:p>
        </w:tc>
        <w:tc>
          <w:tcPr>
            <w:tcW w:w="12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2,324,194</w:t>
            </w:r>
          </w:p>
        </w:tc>
        <w:tc>
          <w:tcPr>
            <w:tcW w:w="0" w:type="dxa"/>
            <w:vAlign w:val="bottom"/>
          </w:tcPr>
          <w:p>
            <w:pPr>
              <w:spacing w:after="0"/>
              <w:rPr>
                <w:sz w:val="1"/>
                <w:szCs w:val="1"/>
                <w:color w:val="auto"/>
              </w:rPr>
            </w:pPr>
          </w:p>
        </w:tc>
      </w:tr>
      <w:tr>
        <w:trPr>
          <w:trHeight w:val="258"/>
        </w:trPr>
        <w:tc>
          <w:tcPr>
            <w:tcW w:w="3860" w:type="dxa"/>
            <w:vAlign w:val="bottom"/>
          </w:tcPr>
          <w:p>
            <w:pPr>
              <w:spacing w:after="0"/>
              <w:rPr>
                <w:sz w:val="20"/>
                <w:szCs w:val="20"/>
                <w:color w:val="auto"/>
              </w:rPr>
            </w:pPr>
            <w:r>
              <w:rPr>
                <w:rFonts w:ascii="Arial" w:cs="Arial" w:eastAsia="Arial" w:hAnsi="Arial"/>
                <w:sz w:val="14"/>
                <w:szCs w:val="14"/>
                <w:color w:val="auto"/>
              </w:rPr>
              <w:t>Cost of revenues</w:t>
            </w: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Product cost of revenues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1,239,152</w:t>
            </w: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124,410</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1,363,562</w:t>
            </w:r>
          </w:p>
        </w:tc>
        <w:tc>
          <w:tcPr>
            <w:tcW w:w="0" w:type="dxa"/>
            <w:vAlign w:val="bottom"/>
          </w:tcPr>
          <w:p>
            <w:pPr>
              <w:spacing w:after="0"/>
              <w:rPr>
                <w:sz w:val="1"/>
                <w:szCs w:val="1"/>
                <w:color w:val="auto"/>
              </w:rPr>
            </w:pPr>
          </w:p>
        </w:tc>
      </w:tr>
      <w:tr>
        <w:trPr>
          <w:trHeight w:val="276"/>
        </w:trPr>
        <w:tc>
          <w:tcPr>
            <w:tcW w:w="3860" w:type="dxa"/>
            <w:vAlign w:val="bottom"/>
          </w:tcPr>
          <w:p>
            <w:pPr>
              <w:ind w:left="180"/>
              <w:spacing w:after="0"/>
              <w:rPr>
                <w:sz w:val="20"/>
                <w:szCs w:val="20"/>
                <w:color w:val="auto"/>
              </w:rPr>
            </w:pPr>
            <w:r>
              <w:rPr>
                <w:rFonts w:ascii="Arial" w:cs="Arial" w:eastAsia="Arial" w:hAnsi="Arial"/>
                <w:sz w:val="14"/>
                <w:szCs w:val="14"/>
                <w:color w:val="auto"/>
              </w:rPr>
              <w:t>Service cost of revenues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113,714</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47,877</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161,591</w:t>
            </w:r>
          </w:p>
        </w:tc>
        <w:tc>
          <w:tcPr>
            <w:tcW w:w="0" w:type="dxa"/>
            <w:vAlign w:val="bottom"/>
          </w:tcPr>
          <w:p>
            <w:pPr>
              <w:spacing w:after="0"/>
              <w:rPr>
                <w:sz w:val="1"/>
                <w:szCs w:val="1"/>
                <w:color w:val="auto"/>
              </w:rPr>
            </w:pPr>
          </w:p>
        </w:tc>
      </w:tr>
      <w:tr>
        <w:trPr>
          <w:trHeight w:val="250"/>
        </w:trPr>
        <w:tc>
          <w:tcPr>
            <w:tcW w:w="3860" w:type="dxa"/>
            <w:vAlign w:val="bottom"/>
          </w:tcPr>
          <w:p>
            <w:pPr>
              <w:ind w:left="360"/>
              <w:spacing w:after="0"/>
              <w:rPr>
                <w:sz w:val="20"/>
                <w:szCs w:val="20"/>
                <w:color w:val="auto"/>
              </w:rPr>
            </w:pPr>
            <w:r>
              <w:rPr>
                <w:rFonts w:ascii="Arial" w:cs="Arial" w:eastAsia="Arial" w:hAnsi="Arial"/>
                <w:sz w:val="14"/>
                <w:szCs w:val="14"/>
                <w:color w:val="auto"/>
              </w:rPr>
              <w:t>Total cost of revenues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1,352,866</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172,287</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1,525,153</w:t>
            </w: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Gross profit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660,320</w:t>
            </w: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138,721</w:t>
            </w:r>
          </w:p>
        </w:tc>
        <w:tc>
          <w:tcPr>
            <w:tcW w:w="12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799,041</w:t>
            </w:r>
          </w:p>
        </w:tc>
        <w:tc>
          <w:tcPr>
            <w:tcW w:w="0" w:type="dxa"/>
            <w:vAlign w:val="bottom"/>
          </w:tcPr>
          <w:p>
            <w:pPr>
              <w:spacing w:after="0"/>
              <w:rPr>
                <w:sz w:val="1"/>
                <w:szCs w:val="1"/>
                <w:color w:val="auto"/>
              </w:rPr>
            </w:pPr>
          </w:p>
        </w:tc>
      </w:tr>
      <w:tr>
        <w:trPr>
          <w:trHeight w:val="459"/>
        </w:trPr>
        <w:tc>
          <w:tcPr>
            <w:tcW w:w="3860" w:type="dxa"/>
            <w:vAlign w:val="bottom"/>
          </w:tcPr>
          <w:p>
            <w:pPr>
              <w:spacing w:after="0"/>
              <w:rPr>
                <w:sz w:val="20"/>
                <w:szCs w:val="20"/>
                <w:color w:val="auto"/>
              </w:rPr>
            </w:pPr>
            <w:r>
              <w:rPr>
                <w:rFonts w:ascii="Arial" w:cs="Arial" w:eastAsia="Arial" w:hAnsi="Arial"/>
                <w:sz w:val="14"/>
                <w:szCs w:val="14"/>
                <w:color w:val="auto"/>
              </w:rPr>
              <w:t>Operating expenses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Sales and marketing</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158,883</w:t>
            </w: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38,780</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197,663</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Product development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168,209</w:t>
            </w: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70,673</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238,882</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162,815</w:t>
            </w: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45,768</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208,583</w:t>
            </w:r>
          </w:p>
        </w:tc>
        <w:tc>
          <w:tcPr>
            <w:tcW w:w="0" w:type="dxa"/>
            <w:vAlign w:val="bottom"/>
          </w:tcPr>
          <w:p>
            <w:pPr>
              <w:spacing w:after="0"/>
              <w:rPr>
                <w:sz w:val="1"/>
                <w:szCs w:val="1"/>
                <w:color w:val="auto"/>
              </w:rPr>
            </w:pPr>
          </w:p>
        </w:tc>
      </w:tr>
      <w:tr>
        <w:trPr>
          <w:trHeight w:val="270"/>
        </w:trPr>
        <w:tc>
          <w:tcPr>
            <w:tcW w:w="3860" w:type="dxa"/>
            <w:vAlign w:val="bottom"/>
          </w:tcPr>
          <w:p>
            <w:pPr>
              <w:ind w:left="160"/>
              <w:spacing w:after="0"/>
              <w:rPr>
                <w:sz w:val="20"/>
                <w:szCs w:val="20"/>
                <w:color w:val="auto"/>
              </w:rPr>
            </w:pPr>
            <w:r>
              <w:rPr>
                <w:rFonts w:ascii="Arial" w:cs="Arial" w:eastAsia="Arial" w:hAnsi="Arial"/>
                <w:sz w:val="14"/>
                <w:szCs w:val="14"/>
                <w:color w:val="auto"/>
              </w:rPr>
              <w:t>Amortization of intangible assets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25,112</w:t>
            </w: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46,107</w:t>
            </w:r>
          </w:p>
        </w:tc>
        <w:tc>
          <w:tcPr>
            <w:tcW w:w="220" w:type="dxa"/>
            <w:vAlign w:val="bottom"/>
          </w:tcPr>
          <w:p>
            <w:pPr>
              <w:jc w:val="center"/>
              <w:spacing w:after="0"/>
              <w:rPr>
                <w:sz w:val="20"/>
                <w:szCs w:val="20"/>
                <w:color w:val="auto"/>
              </w:rPr>
            </w:pPr>
            <w:r>
              <w:rPr>
                <w:rFonts w:ascii="Arial" w:cs="Arial" w:eastAsia="Arial" w:hAnsi="Arial"/>
                <w:sz w:val="14"/>
                <w:szCs w:val="14"/>
                <w:color w:val="auto"/>
              </w:rPr>
              <w:t>I</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72,400</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Restructuring</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49,090</w:t>
            </w: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49,129</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Goodwill and intangible asset</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60" w:type="dxa"/>
            <w:vAlign w:val="bottom"/>
          </w:tcPr>
          <w:p>
            <w:pPr>
              <w:ind w:left="240"/>
              <w:spacing w:after="0"/>
              <w:rPr>
                <w:sz w:val="20"/>
                <w:szCs w:val="20"/>
                <w:color w:val="auto"/>
              </w:rPr>
            </w:pPr>
            <w:r>
              <w:rPr>
                <w:rFonts w:ascii="Arial" w:cs="Arial" w:eastAsia="Arial" w:hAnsi="Arial"/>
                <w:sz w:val="14"/>
                <w:szCs w:val="14"/>
                <w:color w:val="auto"/>
              </w:rPr>
              <w:t>impairment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2,204</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250"/>
        </w:trPr>
        <w:tc>
          <w:tcPr>
            <w:tcW w:w="3860" w:type="dxa"/>
            <w:vAlign w:val="bottom"/>
          </w:tcPr>
          <w:p>
            <w:pPr>
              <w:ind w:left="360"/>
              <w:spacing w:after="0"/>
              <w:rPr>
                <w:sz w:val="20"/>
                <w:szCs w:val="20"/>
                <w:color w:val="auto"/>
              </w:rPr>
            </w:pPr>
            <w:r>
              <w:rPr>
                <w:rFonts w:ascii="Arial" w:cs="Arial" w:eastAsia="Arial" w:hAnsi="Arial"/>
                <w:sz w:val="14"/>
                <w:szCs w:val="14"/>
                <w:color w:val="auto"/>
              </w:rPr>
              <w:t>Total operating expenses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564,109</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158,645</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46,107</w:t>
            </w:r>
          </w:p>
        </w:tc>
        <w:tc>
          <w:tcPr>
            <w:tcW w:w="220" w:type="dxa"/>
            <w:vAlign w:val="bottom"/>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768,861</w:t>
            </w:r>
          </w:p>
        </w:tc>
        <w:tc>
          <w:tcPr>
            <w:tcW w:w="0" w:type="dxa"/>
            <w:vAlign w:val="bottom"/>
          </w:tcPr>
          <w:p>
            <w:pPr>
              <w:spacing w:after="0"/>
              <w:rPr>
                <w:sz w:val="1"/>
                <w:szCs w:val="1"/>
                <w:color w:val="auto"/>
              </w:rPr>
            </w:pPr>
          </w:p>
        </w:tc>
      </w:tr>
      <w:tr>
        <w:trPr>
          <w:trHeight w:val="528"/>
        </w:trPr>
        <w:tc>
          <w:tcPr>
            <w:tcW w:w="3860" w:type="dxa"/>
            <w:vAlign w:val="bottom"/>
          </w:tcPr>
          <w:p>
            <w:pPr>
              <w:spacing w:after="0"/>
              <w:rPr>
                <w:sz w:val="20"/>
                <w:szCs w:val="20"/>
                <w:color w:val="auto"/>
              </w:rPr>
            </w:pPr>
            <w:r>
              <w:rPr>
                <w:rFonts w:ascii="Arial" w:cs="Arial" w:eastAsia="Arial" w:hAnsi="Arial"/>
                <w:sz w:val="14"/>
                <w:szCs w:val="14"/>
                <w:color w:val="auto"/>
              </w:rPr>
              <w:t>Operating income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96,211</w:t>
            </w:r>
          </w:p>
        </w:tc>
        <w:tc>
          <w:tcPr>
            <w:tcW w:w="1400" w:type="dxa"/>
            <w:vAlign w:val="bottom"/>
            <w:gridSpan w:val="2"/>
          </w:tcPr>
          <w:p>
            <w:pPr>
              <w:jc w:val="right"/>
              <w:ind w:right="8"/>
              <w:spacing w:after="0"/>
              <w:rPr>
                <w:sz w:val="20"/>
                <w:szCs w:val="20"/>
                <w:color w:val="auto"/>
              </w:rPr>
            </w:pPr>
            <w:r>
              <w:rPr>
                <w:rFonts w:ascii="Arial" w:cs="Arial" w:eastAsia="Arial" w:hAnsi="Arial"/>
                <w:sz w:val="14"/>
                <w:szCs w:val="14"/>
                <w:color w:val="auto"/>
              </w:rPr>
              <w:t>(19,924)</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(46,107)</w:t>
            </w:r>
          </w:p>
        </w:tc>
        <w:tc>
          <w:tcPr>
            <w:tcW w:w="22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30,180</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4"/>
                <w:szCs w:val="14"/>
                <w:color w:val="auto"/>
              </w:rPr>
              <w:t>Other income (expense)</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865</w:t>
            </w: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260" w:type="dxa"/>
            <w:vAlign w:val="bottom"/>
          </w:tcPr>
          <w:p>
            <w:pPr>
              <w:jc w:val="right"/>
              <w:spacing w:after="0"/>
              <w:rPr>
                <w:sz w:val="20"/>
                <w:szCs w:val="20"/>
                <w:color w:val="auto"/>
              </w:rPr>
            </w:pPr>
            <w:r>
              <w:rPr>
                <w:rFonts w:ascii="Arial" w:cs="Arial" w:eastAsia="Arial" w:hAnsi="Arial"/>
                <w:sz w:val="14"/>
                <w:szCs w:val="14"/>
                <w:color w:val="auto"/>
              </w:rPr>
              <w:t>(10,948)</w:t>
            </w:r>
          </w:p>
        </w:tc>
        <w:tc>
          <w:tcPr>
            <w:tcW w:w="1400" w:type="dxa"/>
            <w:vAlign w:val="bottom"/>
            <w:gridSpan w:val="2"/>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(40,306)</w:t>
            </w:r>
          </w:p>
        </w:tc>
        <w:tc>
          <w:tcPr>
            <w:tcW w:w="220" w:type="dxa"/>
            <w:vAlign w:val="bottom"/>
          </w:tcPr>
          <w:p>
            <w:pPr>
              <w:jc w:val="center"/>
              <w:spacing w:after="0"/>
              <w:rPr>
                <w:sz w:val="20"/>
                <w:szCs w:val="20"/>
                <w:color w:val="auto"/>
              </w:rPr>
            </w:pPr>
            <w:r>
              <w:rPr>
                <w:rFonts w:ascii="Arial" w:cs="Arial" w:eastAsia="Arial" w:hAnsi="Arial"/>
                <w:sz w:val="14"/>
                <w:szCs w:val="14"/>
                <w:color w:val="auto"/>
                <w:w w:val="85"/>
              </w:rPr>
              <w:t>J</w:t>
            </w:r>
          </w:p>
        </w:tc>
        <w:tc>
          <w:tcPr>
            <w:tcW w:w="1700" w:type="dxa"/>
            <w:vAlign w:val="bottom"/>
          </w:tcPr>
          <w:p>
            <w:pPr>
              <w:jc w:val="right"/>
              <w:spacing w:after="0"/>
              <w:rPr>
                <w:sz w:val="20"/>
                <w:szCs w:val="20"/>
                <w:color w:val="auto"/>
              </w:rPr>
            </w:pPr>
            <w:r>
              <w:rPr>
                <w:rFonts w:ascii="Arial" w:cs="Arial" w:eastAsia="Arial" w:hAnsi="Arial"/>
                <w:sz w:val="14"/>
                <w:szCs w:val="14"/>
                <w:color w:val="auto"/>
              </w:rPr>
              <w:t>(51,261)</w:t>
            </w:r>
          </w:p>
        </w:tc>
        <w:tc>
          <w:tcPr>
            <w:tcW w:w="0" w:type="dxa"/>
            <w:vAlign w:val="bottom"/>
          </w:tcPr>
          <w:p>
            <w:pPr>
              <w:spacing w:after="0"/>
              <w:rPr>
                <w:sz w:val="1"/>
                <w:szCs w:val="1"/>
                <w:color w:val="auto"/>
              </w:rPr>
            </w:pPr>
          </w:p>
        </w:tc>
      </w:tr>
      <w:tr>
        <w:trPr>
          <w:trHeight w:val="276"/>
        </w:trPr>
        <w:tc>
          <w:tcPr>
            <w:tcW w:w="3860" w:type="dxa"/>
            <w:vAlign w:val="bottom"/>
          </w:tcPr>
          <w:p>
            <w:pPr>
              <w:ind w:left="180"/>
              <w:spacing w:after="0"/>
              <w:rPr>
                <w:sz w:val="20"/>
                <w:szCs w:val="20"/>
                <w:color w:val="auto"/>
              </w:rPr>
            </w:pPr>
            <w:r>
              <w:rPr>
                <w:rFonts w:ascii="Arial" w:cs="Arial" w:eastAsia="Arial" w:hAnsi="Arial"/>
                <w:sz w:val="14"/>
                <w:szCs w:val="14"/>
                <w:color w:val="auto"/>
              </w:rPr>
              <w:t>Other income (expense), net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250"/>
        </w:trPr>
        <w:tc>
          <w:tcPr>
            <w:tcW w:w="3860" w:type="dxa"/>
            <w:vAlign w:val="bottom"/>
          </w:tcPr>
          <w:p>
            <w:pPr>
              <w:ind w:left="360"/>
              <w:spacing w:after="0"/>
              <w:rPr>
                <w:sz w:val="20"/>
                <w:szCs w:val="20"/>
                <w:color w:val="auto"/>
              </w:rPr>
            </w:pPr>
            <w:r>
              <w:rPr>
                <w:rFonts w:ascii="Arial" w:cs="Arial" w:eastAsia="Arial" w:hAnsi="Arial"/>
                <w:sz w:val="14"/>
                <w:szCs w:val="14"/>
                <w:color w:val="auto"/>
              </w:rPr>
              <w:t>Total other income (expense)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(11,584)</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(40,306)</w:t>
            </w: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(51,220)</w:t>
            </w:r>
          </w:p>
        </w:tc>
        <w:tc>
          <w:tcPr>
            <w:tcW w:w="0" w:type="dxa"/>
            <w:vAlign w:val="bottom"/>
          </w:tcPr>
          <w:p>
            <w:pPr>
              <w:spacing w:after="0"/>
              <w:rPr>
                <w:sz w:val="1"/>
                <w:szCs w:val="1"/>
                <w:color w:val="auto"/>
              </w:rPr>
            </w:pPr>
          </w:p>
        </w:tc>
      </w:tr>
      <w:tr>
        <w:trPr>
          <w:trHeight w:val="447"/>
        </w:trPr>
        <w:tc>
          <w:tcPr>
            <w:tcW w:w="386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84,627</w:t>
            </w:r>
          </w:p>
        </w:tc>
        <w:tc>
          <w:tcPr>
            <w:tcW w:w="1400" w:type="dxa"/>
            <w:vAlign w:val="bottom"/>
            <w:gridSpan w:val="2"/>
          </w:tcPr>
          <w:p>
            <w:pPr>
              <w:jc w:val="right"/>
              <w:ind w:right="8"/>
              <w:spacing w:after="0"/>
              <w:rPr>
                <w:sz w:val="20"/>
                <w:szCs w:val="20"/>
                <w:color w:val="auto"/>
              </w:rPr>
            </w:pPr>
            <w:r>
              <w:rPr>
                <w:rFonts w:ascii="Arial" w:cs="Arial" w:eastAsia="Arial" w:hAnsi="Arial"/>
                <w:sz w:val="14"/>
                <w:szCs w:val="14"/>
                <w:color w:val="auto"/>
              </w:rPr>
              <w:t>(19,254)</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(46,107)</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(40,306)</w:t>
            </w:r>
          </w:p>
        </w:tc>
        <w:tc>
          <w:tcPr>
            <w:tcW w:w="2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(21,040)</w:t>
            </w: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0"/>
                <w:szCs w:val="20"/>
                <w:color w:val="auto"/>
              </w:rPr>
            </w:pPr>
            <w:r>
              <w:rPr>
                <w:rFonts w:ascii="Arial" w:cs="Arial" w:eastAsia="Arial" w:hAnsi="Arial"/>
                <w:sz w:val="14"/>
                <w:szCs w:val="14"/>
                <w:color w:val="auto"/>
              </w:rPr>
              <w:t>Income tax provision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(49,574)</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(2,375)</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24,536</w:t>
            </w:r>
          </w:p>
        </w:tc>
        <w:tc>
          <w:tcPr>
            <w:tcW w:w="220" w:type="dxa"/>
            <w:vAlign w:val="bottom"/>
          </w:tcPr>
          <w:p>
            <w:pPr>
              <w:jc w:val="center"/>
              <w:spacing w:after="0"/>
              <w:rPr>
                <w:sz w:val="20"/>
                <w:szCs w:val="20"/>
                <w:color w:val="auto"/>
              </w:rPr>
            </w:pPr>
            <w:r>
              <w:rPr>
                <w:rFonts w:ascii="Arial" w:cs="Arial" w:eastAsia="Arial" w:hAnsi="Arial"/>
                <w:sz w:val="14"/>
                <w:szCs w:val="14"/>
                <w:color w:val="auto"/>
              </w:rPr>
              <w:t>K</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15,558</w:t>
            </w:r>
          </w:p>
        </w:tc>
        <w:tc>
          <w:tcPr>
            <w:tcW w:w="220" w:type="dxa"/>
            <w:vAlign w:val="bottom"/>
          </w:tcPr>
          <w:p>
            <w:pPr>
              <w:jc w:val="center"/>
              <w:spacing w:after="0"/>
              <w:rPr>
                <w:sz w:val="20"/>
                <w:szCs w:val="20"/>
                <w:color w:val="auto"/>
              </w:rPr>
            </w:pPr>
            <w:r>
              <w:rPr>
                <w:rFonts w:ascii="Arial" w:cs="Arial" w:eastAsia="Arial" w:hAnsi="Arial"/>
                <w:sz w:val="14"/>
                <w:szCs w:val="14"/>
                <w:color w:val="auto"/>
              </w:rPr>
              <w:t>K</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(11,855)</w:t>
            </w: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Net income (loss)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35,053</w:t>
            </w:r>
          </w:p>
        </w:tc>
        <w:tc>
          <w:tcPr>
            <w:tcW w:w="1400" w:type="dxa"/>
            <w:vAlign w:val="bottom"/>
            <w:gridSpan w:val="2"/>
          </w:tcPr>
          <w:p>
            <w:pPr>
              <w:jc w:val="right"/>
              <w:ind w:right="8"/>
              <w:spacing w:after="0"/>
              <w:rPr>
                <w:sz w:val="20"/>
                <w:szCs w:val="20"/>
                <w:color w:val="auto"/>
              </w:rPr>
            </w:pPr>
            <w:r>
              <w:rPr>
                <w:rFonts w:ascii="Arial" w:cs="Arial" w:eastAsia="Arial" w:hAnsi="Arial"/>
                <w:sz w:val="14"/>
                <w:szCs w:val="14"/>
                <w:color w:val="auto"/>
              </w:rPr>
              <w:t>(21,629)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(21,571)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(24,748)</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(32,895)</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4"/>
                <w:szCs w:val="14"/>
                <w:color w:val="auto"/>
              </w:rPr>
              <w:t>Net income attributable to noncontrolling</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60" w:type="dxa"/>
            <w:vAlign w:val="bottom"/>
          </w:tcPr>
          <w:p>
            <w:pPr>
              <w:ind w:left="60"/>
              <w:spacing w:after="0"/>
              <w:rPr>
                <w:sz w:val="20"/>
                <w:szCs w:val="20"/>
                <w:color w:val="auto"/>
              </w:rPr>
            </w:pPr>
            <w:r>
              <w:rPr>
                <w:rFonts w:ascii="Arial" w:cs="Arial" w:eastAsia="Arial" w:hAnsi="Arial"/>
                <w:sz w:val="14"/>
                <w:szCs w:val="14"/>
                <w:color w:val="auto"/>
              </w:rPr>
              <w:t>interests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3,283</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31,770</w:t>
            </w:r>
          </w:p>
        </w:tc>
        <w:tc>
          <w:tcPr>
            <w:tcW w:w="1400" w:type="dxa"/>
            <w:vAlign w:val="bottom"/>
            <w:gridSpan w:val="2"/>
          </w:tcPr>
          <w:p>
            <w:pPr>
              <w:jc w:val="right"/>
              <w:ind w:right="8"/>
              <w:spacing w:after="0"/>
              <w:rPr>
                <w:sz w:val="20"/>
                <w:szCs w:val="20"/>
                <w:color w:val="auto"/>
              </w:rPr>
            </w:pPr>
            <w:r>
              <w:rPr>
                <w:rFonts w:ascii="Arial" w:cs="Arial" w:eastAsia="Arial" w:hAnsi="Arial"/>
                <w:sz w:val="14"/>
                <w:szCs w:val="14"/>
                <w:color w:val="auto"/>
              </w:rPr>
              <w:t>(21,629)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(21,571)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(24,748)</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(36,178)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60" w:type="dxa"/>
            <w:vAlign w:val="bottom"/>
          </w:tcPr>
          <w:p>
            <w:pPr>
              <w:spacing w:after="0"/>
              <w:rPr>
                <w:sz w:val="20"/>
                <w:szCs w:val="20"/>
                <w:color w:val="auto"/>
              </w:rPr>
            </w:pPr>
            <w:r>
              <w:rPr>
                <w:rFonts w:ascii="Arial" w:cs="Arial" w:eastAsia="Arial" w:hAnsi="Arial"/>
                <w:sz w:val="14"/>
                <w:szCs w:val="14"/>
                <w:color w:val="auto"/>
              </w:rPr>
              <w:t>Earnings (loss) per common share - Basic</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0.83</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4"/>
                <w:szCs w:val="14"/>
                <w:color w:val="auto"/>
              </w:rPr>
              <w:t>Earnings (loss) per common share - Diluted</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0.82</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86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38,207</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38,207</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38,643</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38,207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380"/>
          </w:cols>
          <w:pgMar w:left="280" w:top="580"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(in thousands, except per share data)</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Historical Itron,</w:t>
            </w:r>
          </w:p>
        </w:tc>
        <w:tc>
          <w:tcPr>
            <w:tcW w:w="12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Historical SSNI</w:t>
            </w:r>
          </w:p>
        </w:tc>
        <w:tc>
          <w:tcPr>
            <w:tcW w:w="120" w:type="dxa"/>
            <w:vAlign w:val="bottom"/>
            <w:vMerge w:val="restart"/>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Financing</w:t>
            </w:r>
          </w:p>
        </w:tc>
        <w:tc>
          <w:tcPr>
            <w:tcW w:w="220" w:type="dxa"/>
            <w:vAlign w:val="bottom"/>
          </w:tcPr>
          <w:p>
            <w:pPr>
              <w:spacing w:after="0"/>
              <w:rPr>
                <w:sz w:val="14"/>
                <w:szCs w:val="14"/>
                <w:color w:val="auto"/>
              </w:rPr>
            </w:pPr>
          </w:p>
        </w:tc>
        <w:tc>
          <w:tcPr>
            <w:tcW w:w="1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Combined Pro Forma</w:t>
            </w:r>
          </w:p>
        </w:tc>
        <w:tc>
          <w:tcPr>
            <w:tcW w:w="0" w:type="dxa"/>
            <w:vAlign w:val="bottom"/>
          </w:tcPr>
          <w:p>
            <w:pPr>
              <w:spacing w:after="0"/>
              <w:rPr>
                <w:sz w:val="1"/>
                <w:szCs w:val="1"/>
                <w:color w:val="auto"/>
              </w:rPr>
            </w:pPr>
          </w:p>
        </w:tc>
      </w:tr>
      <w:tr>
        <w:trPr>
          <w:trHeight w:val="192"/>
        </w:trPr>
        <w:tc>
          <w:tcPr>
            <w:tcW w:w="386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Inc.</w:t>
            </w:r>
          </w:p>
        </w:tc>
        <w:tc>
          <w:tcPr>
            <w:tcW w:w="12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(Note 2)</w:t>
            </w: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(Note 2)</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(Note 5)</w:t>
            </w: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(Note 5)</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860" w:type="dxa"/>
            <w:vAlign w:val="bottom"/>
          </w:tcPr>
          <w:p>
            <w:pPr>
              <w:spacing w:after="0"/>
              <w:rPr>
                <w:sz w:val="20"/>
                <w:szCs w:val="20"/>
                <w:color w:val="auto"/>
              </w:rPr>
            </w:pPr>
            <w:r>
              <w:rPr>
                <w:rFonts w:ascii="Arial" w:cs="Arial" w:eastAsia="Arial" w:hAnsi="Arial"/>
                <w:sz w:val="14"/>
                <w:szCs w:val="14"/>
                <w:color w:val="auto"/>
              </w:rPr>
              <w:t>Revenues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60"/>
              <w:spacing w:after="0"/>
              <w:rPr>
                <w:sz w:val="20"/>
                <w:szCs w:val="20"/>
                <w:color w:val="auto"/>
              </w:rPr>
            </w:pPr>
            <w:r>
              <w:rPr>
                <w:rFonts w:ascii="Arial" w:cs="Arial" w:eastAsia="Arial" w:hAnsi="Arial"/>
                <w:sz w:val="14"/>
                <w:szCs w:val="14"/>
                <w:color w:val="auto"/>
              </w:rPr>
              <w:t>Product revenues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1,321,062</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287,065</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1,608,127</w:t>
            </w:r>
          </w:p>
        </w:tc>
        <w:tc>
          <w:tcPr>
            <w:tcW w:w="0" w:type="dxa"/>
            <w:vAlign w:val="bottom"/>
          </w:tcPr>
          <w:p>
            <w:pPr>
              <w:spacing w:after="0"/>
              <w:rPr>
                <w:sz w:val="1"/>
                <w:szCs w:val="1"/>
                <w:color w:val="auto"/>
              </w:rPr>
            </w:pPr>
          </w:p>
        </w:tc>
      </w:tr>
      <w:tr>
        <w:trPr>
          <w:trHeight w:val="276"/>
        </w:trPr>
        <w:tc>
          <w:tcPr>
            <w:tcW w:w="3860" w:type="dxa"/>
            <w:vAlign w:val="bottom"/>
          </w:tcPr>
          <w:p>
            <w:pPr>
              <w:ind w:left="180"/>
              <w:spacing w:after="0"/>
              <w:rPr>
                <w:sz w:val="20"/>
                <w:szCs w:val="20"/>
                <w:color w:val="auto"/>
              </w:rPr>
            </w:pPr>
            <w:r>
              <w:rPr>
                <w:rFonts w:ascii="Arial" w:cs="Arial" w:eastAsia="Arial" w:hAnsi="Arial"/>
                <w:sz w:val="14"/>
                <w:szCs w:val="14"/>
                <w:color w:val="auto"/>
              </w:rPr>
              <w:t>Service revenues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146,359</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72,338</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218,697</w:t>
            </w:r>
          </w:p>
        </w:tc>
        <w:tc>
          <w:tcPr>
            <w:tcW w:w="0" w:type="dxa"/>
            <w:vAlign w:val="bottom"/>
          </w:tcPr>
          <w:p>
            <w:pPr>
              <w:spacing w:after="0"/>
              <w:rPr>
                <w:sz w:val="1"/>
                <w:szCs w:val="1"/>
                <w:color w:val="auto"/>
              </w:rPr>
            </w:pPr>
          </w:p>
        </w:tc>
      </w:tr>
      <w:tr>
        <w:trPr>
          <w:trHeight w:val="250"/>
        </w:trPr>
        <w:tc>
          <w:tcPr>
            <w:tcW w:w="3860" w:type="dxa"/>
            <w:vAlign w:val="bottom"/>
          </w:tcPr>
          <w:p>
            <w:pPr>
              <w:ind w:left="360"/>
              <w:spacing w:after="0"/>
              <w:rPr>
                <w:sz w:val="20"/>
                <w:szCs w:val="20"/>
                <w:color w:val="auto"/>
              </w:rPr>
            </w:pPr>
            <w:r>
              <w:rPr>
                <w:rFonts w:ascii="Arial" w:cs="Arial" w:eastAsia="Arial" w:hAnsi="Arial"/>
                <w:sz w:val="14"/>
                <w:szCs w:val="14"/>
                <w:color w:val="auto"/>
              </w:rPr>
              <w:t>Total revenues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1,467,421</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359,403</w:t>
            </w:r>
          </w:p>
        </w:tc>
        <w:tc>
          <w:tcPr>
            <w:tcW w:w="12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1,826,824</w:t>
            </w:r>
          </w:p>
        </w:tc>
        <w:tc>
          <w:tcPr>
            <w:tcW w:w="0" w:type="dxa"/>
            <w:vAlign w:val="bottom"/>
          </w:tcPr>
          <w:p>
            <w:pPr>
              <w:spacing w:after="0"/>
              <w:rPr>
                <w:sz w:val="1"/>
                <w:szCs w:val="1"/>
                <w:color w:val="auto"/>
              </w:rPr>
            </w:pPr>
          </w:p>
        </w:tc>
      </w:tr>
      <w:tr>
        <w:trPr>
          <w:trHeight w:val="258"/>
        </w:trPr>
        <w:tc>
          <w:tcPr>
            <w:tcW w:w="3860" w:type="dxa"/>
            <w:vAlign w:val="bottom"/>
          </w:tcPr>
          <w:p>
            <w:pPr>
              <w:spacing w:after="0"/>
              <w:rPr>
                <w:sz w:val="20"/>
                <w:szCs w:val="20"/>
                <w:color w:val="auto"/>
              </w:rPr>
            </w:pPr>
            <w:r>
              <w:rPr>
                <w:rFonts w:ascii="Arial" w:cs="Arial" w:eastAsia="Arial" w:hAnsi="Arial"/>
                <w:sz w:val="14"/>
                <w:szCs w:val="14"/>
                <w:color w:val="auto"/>
              </w:rPr>
              <w:t>Cost of revenues</w:t>
            </w: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Product cost of revenues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866,434</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229,444</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1,095,878</w:t>
            </w:r>
          </w:p>
        </w:tc>
        <w:tc>
          <w:tcPr>
            <w:tcW w:w="0" w:type="dxa"/>
            <w:vAlign w:val="bottom"/>
          </w:tcPr>
          <w:p>
            <w:pPr>
              <w:spacing w:after="0"/>
              <w:rPr>
                <w:sz w:val="1"/>
                <w:szCs w:val="1"/>
                <w:color w:val="auto"/>
              </w:rPr>
            </w:pPr>
          </w:p>
        </w:tc>
      </w:tr>
      <w:tr>
        <w:trPr>
          <w:trHeight w:val="276"/>
        </w:trPr>
        <w:tc>
          <w:tcPr>
            <w:tcW w:w="3860" w:type="dxa"/>
            <w:vAlign w:val="bottom"/>
          </w:tcPr>
          <w:p>
            <w:pPr>
              <w:ind w:left="180"/>
              <w:spacing w:after="0"/>
              <w:rPr>
                <w:sz w:val="20"/>
                <w:szCs w:val="20"/>
                <w:color w:val="auto"/>
              </w:rPr>
            </w:pPr>
            <w:r>
              <w:rPr>
                <w:rFonts w:ascii="Arial" w:cs="Arial" w:eastAsia="Arial" w:hAnsi="Arial"/>
                <w:sz w:val="14"/>
                <w:szCs w:val="14"/>
                <w:color w:val="auto"/>
              </w:rPr>
              <w:t>Service cost of revenues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100,584</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42,466</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143,050</w:t>
            </w:r>
          </w:p>
        </w:tc>
        <w:tc>
          <w:tcPr>
            <w:tcW w:w="0" w:type="dxa"/>
            <w:vAlign w:val="bottom"/>
          </w:tcPr>
          <w:p>
            <w:pPr>
              <w:spacing w:after="0"/>
              <w:rPr>
                <w:sz w:val="1"/>
                <w:szCs w:val="1"/>
                <w:color w:val="auto"/>
              </w:rPr>
            </w:pPr>
          </w:p>
        </w:tc>
      </w:tr>
      <w:tr>
        <w:trPr>
          <w:trHeight w:val="250"/>
        </w:trPr>
        <w:tc>
          <w:tcPr>
            <w:tcW w:w="3860" w:type="dxa"/>
            <w:vAlign w:val="bottom"/>
          </w:tcPr>
          <w:p>
            <w:pPr>
              <w:ind w:left="360"/>
              <w:spacing w:after="0"/>
              <w:rPr>
                <w:sz w:val="20"/>
                <w:szCs w:val="20"/>
                <w:color w:val="auto"/>
              </w:rPr>
            </w:pPr>
            <w:r>
              <w:rPr>
                <w:rFonts w:ascii="Arial" w:cs="Arial" w:eastAsia="Arial" w:hAnsi="Arial"/>
                <w:sz w:val="14"/>
                <w:szCs w:val="14"/>
                <w:color w:val="auto"/>
              </w:rPr>
              <w:t>Total cost of revenues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967,018</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271,910</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1,238,928</w:t>
            </w: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Gross profit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500,403</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87,493</w:t>
            </w:r>
          </w:p>
        </w:tc>
        <w:tc>
          <w:tcPr>
            <w:tcW w:w="12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587,896</w:t>
            </w:r>
          </w:p>
        </w:tc>
        <w:tc>
          <w:tcPr>
            <w:tcW w:w="0" w:type="dxa"/>
            <w:vAlign w:val="bottom"/>
          </w:tcPr>
          <w:p>
            <w:pPr>
              <w:spacing w:after="0"/>
              <w:rPr>
                <w:sz w:val="1"/>
                <w:szCs w:val="1"/>
                <w:color w:val="auto"/>
              </w:rPr>
            </w:pPr>
          </w:p>
        </w:tc>
      </w:tr>
      <w:tr>
        <w:trPr>
          <w:trHeight w:val="540"/>
        </w:trPr>
        <w:tc>
          <w:tcPr>
            <w:tcW w:w="3860" w:type="dxa"/>
            <w:vAlign w:val="bottom"/>
          </w:tcPr>
          <w:p>
            <w:pPr>
              <w:spacing w:after="0"/>
              <w:rPr>
                <w:sz w:val="20"/>
                <w:szCs w:val="20"/>
                <w:color w:val="auto"/>
              </w:rPr>
            </w:pPr>
            <w:r>
              <w:rPr>
                <w:rFonts w:ascii="Arial" w:cs="Arial" w:eastAsia="Arial" w:hAnsi="Arial"/>
                <w:sz w:val="14"/>
                <w:szCs w:val="14"/>
                <w:color w:val="auto"/>
              </w:rPr>
              <w:t>Operating expenses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Sales and marketing</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127,001</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26,433</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(166)</w:t>
            </w:r>
          </w:p>
        </w:tc>
        <w:tc>
          <w:tcPr>
            <w:tcW w:w="200" w:type="dxa"/>
            <w:vAlign w:val="bottom"/>
          </w:tcPr>
          <w:p>
            <w:pPr>
              <w:jc w:val="center"/>
              <w:spacing w:after="0"/>
              <w:rPr>
                <w:sz w:val="20"/>
                <w:szCs w:val="20"/>
                <w:color w:val="auto"/>
              </w:rPr>
            </w:pPr>
            <w:r>
              <w:rPr>
                <w:rFonts w:ascii="Arial" w:cs="Arial" w:eastAsia="Arial" w:hAnsi="Arial"/>
                <w:sz w:val="14"/>
                <w:szCs w:val="14"/>
                <w:color w:val="auto"/>
              </w:rPr>
              <w:t>L</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153,268</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Product development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126,539</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51,884</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178,423</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120,074</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38,950</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(6,713)</w:t>
            </w:r>
          </w:p>
        </w:tc>
        <w:tc>
          <w:tcPr>
            <w:tcW w:w="200" w:type="dxa"/>
            <w:vAlign w:val="bottom"/>
          </w:tcPr>
          <w:p>
            <w:pPr>
              <w:jc w:val="center"/>
              <w:spacing w:after="0"/>
              <w:rPr>
                <w:sz w:val="20"/>
                <w:szCs w:val="20"/>
                <w:color w:val="auto"/>
              </w:rPr>
            </w:pPr>
            <w:r>
              <w:rPr>
                <w:rFonts w:ascii="Arial" w:cs="Arial" w:eastAsia="Arial" w:hAnsi="Arial"/>
                <w:sz w:val="14"/>
                <w:szCs w:val="14"/>
                <w:color w:val="auto"/>
              </w:rPr>
              <w:t>L</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152,311</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Amortization of intangible assets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15,144</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32,796</w:t>
            </w:r>
          </w:p>
        </w:tc>
        <w:tc>
          <w:tcPr>
            <w:tcW w:w="200" w:type="dxa"/>
            <w:vAlign w:val="bottom"/>
          </w:tcPr>
          <w:p>
            <w:pPr>
              <w:jc w:val="center"/>
              <w:spacing w:after="0"/>
              <w:rPr>
                <w:sz w:val="20"/>
                <w:szCs w:val="20"/>
                <w:color w:val="auto"/>
              </w:rPr>
            </w:pPr>
            <w:r>
              <w:rPr>
                <w:rFonts w:ascii="Arial" w:cs="Arial" w:eastAsia="Arial" w:hAnsi="Arial"/>
                <w:sz w:val="14"/>
                <w:szCs w:val="14"/>
                <w:color w:val="auto"/>
              </w:rPr>
              <w:t>I</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48,517</w:t>
            </w:r>
          </w:p>
        </w:tc>
        <w:tc>
          <w:tcPr>
            <w:tcW w:w="0" w:type="dxa"/>
            <w:vAlign w:val="bottom"/>
          </w:tcPr>
          <w:p>
            <w:pPr>
              <w:spacing w:after="0"/>
              <w:rPr>
                <w:sz w:val="1"/>
                <w:szCs w:val="1"/>
                <w:color w:val="auto"/>
              </w:rPr>
            </w:pPr>
          </w:p>
        </w:tc>
      </w:tr>
      <w:tr>
        <w:trPr>
          <w:trHeight w:val="276"/>
        </w:trPr>
        <w:tc>
          <w:tcPr>
            <w:tcW w:w="3860" w:type="dxa"/>
            <w:vAlign w:val="bottom"/>
          </w:tcPr>
          <w:p>
            <w:pPr>
              <w:ind w:left="180"/>
              <w:spacing w:after="0"/>
              <w:rPr>
                <w:sz w:val="20"/>
                <w:szCs w:val="20"/>
                <w:color w:val="auto"/>
              </w:rPr>
            </w:pPr>
            <w:r>
              <w:rPr>
                <w:rFonts w:ascii="Arial" w:cs="Arial" w:eastAsia="Arial" w:hAnsi="Arial"/>
                <w:sz w:val="14"/>
                <w:szCs w:val="14"/>
                <w:color w:val="auto"/>
              </w:rPr>
              <w:t>Restructuring</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7,417</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8,706</w:t>
            </w:r>
          </w:p>
        </w:tc>
        <w:tc>
          <w:tcPr>
            <w:tcW w:w="0" w:type="dxa"/>
            <w:vAlign w:val="bottom"/>
          </w:tcPr>
          <w:p>
            <w:pPr>
              <w:spacing w:after="0"/>
              <w:rPr>
                <w:sz w:val="1"/>
                <w:szCs w:val="1"/>
                <w:color w:val="auto"/>
              </w:rPr>
            </w:pPr>
          </w:p>
        </w:tc>
      </w:tr>
      <w:tr>
        <w:trPr>
          <w:trHeight w:val="250"/>
        </w:trPr>
        <w:tc>
          <w:tcPr>
            <w:tcW w:w="3860" w:type="dxa"/>
            <w:vAlign w:val="bottom"/>
          </w:tcPr>
          <w:p>
            <w:pPr>
              <w:ind w:left="360"/>
              <w:spacing w:after="0"/>
              <w:rPr>
                <w:sz w:val="20"/>
                <w:szCs w:val="20"/>
                <w:color w:val="auto"/>
              </w:rPr>
            </w:pPr>
            <w:r>
              <w:rPr>
                <w:rFonts w:ascii="Arial" w:cs="Arial" w:eastAsia="Arial" w:hAnsi="Arial"/>
                <w:sz w:val="14"/>
                <w:szCs w:val="14"/>
                <w:color w:val="auto"/>
              </w:rPr>
              <w:t>Total operating expenses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396,175</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119,133</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25,917</w:t>
            </w:r>
          </w:p>
        </w:tc>
        <w:tc>
          <w:tcPr>
            <w:tcW w:w="200" w:type="dxa"/>
            <w:vAlign w:val="bottom"/>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541,225</w:t>
            </w:r>
          </w:p>
        </w:tc>
        <w:tc>
          <w:tcPr>
            <w:tcW w:w="0" w:type="dxa"/>
            <w:vAlign w:val="bottom"/>
          </w:tcPr>
          <w:p>
            <w:pPr>
              <w:spacing w:after="0"/>
              <w:rPr>
                <w:sz w:val="1"/>
                <w:szCs w:val="1"/>
                <w:color w:val="auto"/>
              </w:rPr>
            </w:pPr>
          </w:p>
        </w:tc>
      </w:tr>
      <w:tr>
        <w:trPr>
          <w:trHeight w:val="528"/>
        </w:trPr>
        <w:tc>
          <w:tcPr>
            <w:tcW w:w="3860" w:type="dxa"/>
            <w:vAlign w:val="bottom"/>
          </w:tcPr>
          <w:p>
            <w:pPr>
              <w:spacing w:after="0"/>
              <w:rPr>
                <w:sz w:val="20"/>
                <w:szCs w:val="20"/>
                <w:color w:val="auto"/>
              </w:rPr>
            </w:pPr>
            <w:r>
              <w:rPr>
                <w:rFonts w:ascii="Arial" w:cs="Arial" w:eastAsia="Arial" w:hAnsi="Arial"/>
                <w:sz w:val="14"/>
                <w:szCs w:val="14"/>
                <w:color w:val="auto"/>
              </w:rPr>
              <w:t>Operating income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104,228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(31,640)</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(25,917)</w:t>
            </w:r>
          </w:p>
        </w:tc>
        <w:tc>
          <w:tcPr>
            <w:tcW w:w="20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46,671</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4"/>
                <w:szCs w:val="14"/>
                <w:color w:val="auto"/>
              </w:rPr>
              <w:t>Other income (expense)</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1,468</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260" w:type="dxa"/>
            <w:vAlign w:val="bottom"/>
          </w:tcPr>
          <w:p>
            <w:pPr>
              <w:jc w:val="right"/>
              <w:spacing w:after="0"/>
              <w:rPr>
                <w:sz w:val="20"/>
                <w:szCs w:val="20"/>
                <w:color w:val="auto"/>
              </w:rPr>
            </w:pPr>
            <w:r>
              <w:rPr>
                <w:rFonts w:ascii="Arial" w:cs="Arial" w:eastAsia="Arial" w:hAnsi="Arial"/>
                <w:sz w:val="14"/>
                <w:szCs w:val="14"/>
                <w:color w:val="auto"/>
              </w:rPr>
              <w:t>(8,448)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(29,134)</w:t>
            </w:r>
          </w:p>
        </w:tc>
        <w:tc>
          <w:tcPr>
            <w:tcW w:w="220" w:type="dxa"/>
            <w:vAlign w:val="bottom"/>
          </w:tcPr>
          <w:p>
            <w:pPr>
              <w:jc w:val="center"/>
              <w:spacing w:after="0"/>
              <w:rPr>
                <w:sz w:val="20"/>
                <w:szCs w:val="20"/>
                <w:color w:val="auto"/>
              </w:rPr>
            </w:pPr>
            <w:r>
              <w:rPr>
                <w:rFonts w:ascii="Arial" w:cs="Arial" w:eastAsia="Arial" w:hAnsi="Arial"/>
                <w:sz w:val="14"/>
                <w:szCs w:val="14"/>
                <w:color w:val="auto"/>
                <w:w w:val="85"/>
              </w:rPr>
              <w:t>J</w:t>
            </w:r>
          </w:p>
        </w:tc>
        <w:tc>
          <w:tcPr>
            <w:tcW w:w="1700" w:type="dxa"/>
            <w:vAlign w:val="bottom"/>
          </w:tcPr>
          <w:p>
            <w:pPr>
              <w:jc w:val="right"/>
              <w:spacing w:after="0"/>
              <w:rPr>
                <w:sz w:val="20"/>
                <w:szCs w:val="20"/>
                <w:color w:val="auto"/>
              </w:rPr>
            </w:pPr>
            <w:r>
              <w:rPr>
                <w:rFonts w:ascii="Arial" w:cs="Arial" w:eastAsia="Arial" w:hAnsi="Arial"/>
                <w:sz w:val="14"/>
                <w:szCs w:val="14"/>
                <w:color w:val="auto"/>
              </w:rPr>
              <w:t>(37,586)</w:t>
            </w:r>
          </w:p>
        </w:tc>
        <w:tc>
          <w:tcPr>
            <w:tcW w:w="0" w:type="dxa"/>
            <w:vAlign w:val="bottom"/>
          </w:tcPr>
          <w:p>
            <w:pPr>
              <w:spacing w:after="0"/>
              <w:rPr>
                <w:sz w:val="1"/>
                <w:szCs w:val="1"/>
                <w:color w:val="auto"/>
              </w:rPr>
            </w:pPr>
          </w:p>
        </w:tc>
      </w:tr>
      <w:tr>
        <w:trPr>
          <w:trHeight w:val="276"/>
        </w:trPr>
        <w:tc>
          <w:tcPr>
            <w:tcW w:w="3860" w:type="dxa"/>
            <w:vAlign w:val="bottom"/>
          </w:tcPr>
          <w:p>
            <w:pPr>
              <w:ind w:left="180"/>
              <w:spacing w:after="0"/>
              <w:rPr>
                <w:sz w:val="20"/>
                <w:szCs w:val="20"/>
                <w:color w:val="auto"/>
              </w:rPr>
            </w:pPr>
            <w:r>
              <w:rPr>
                <w:rFonts w:ascii="Arial" w:cs="Arial" w:eastAsia="Arial" w:hAnsi="Arial"/>
                <w:sz w:val="14"/>
                <w:szCs w:val="14"/>
                <w:color w:val="auto"/>
              </w:rPr>
              <w:t>Other income (expense), net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(7,126)</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(6,251)</w:t>
            </w:r>
          </w:p>
        </w:tc>
        <w:tc>
          <w:tcPr>
            <w:tcW w:w="0" w:type="dxa"/>
            <w:vAlign w:val="bottom"/>
          </w:tcPr>
          <w:p>
            <w:pPr>
              <w:spacing w:after="0"/>
              <w:rPr>
                <w:sz w:val="1"/>
                <w:szCs w:val="1"/>
                <w:color w:val="auto"/>
              </w:rPr>
            </w:pPr>
          </w:p>
        </w:tc>
      </w:tr>
      <w:tr>
        <w:trPr>
          <w:trHeight w:val="250"/>
        </w:trPr>
        <w:tc>
          <w:tcPr>
            <w:tcW w:w="3860" w:type="dxa"/>
            <w:vAlign w:val="bottom"/>
          </w:tcPr>
          <w:p>
            <w:pPr>
              <w:ind w:left="360"/>
              <w:spacing w:after="0"/>
              <w:rPr>
                <w:sz w:val="20"/>
                <w:szCs w:val="20"/>
                <w:color w:val="auto"/>
              </w:rPr>
            </w:pPr>
            <w:r>
              <w:rPr>
                <w:rFonts w:ascii="Arial" w:cs="Arial" w:eastAsia="Arial" w:hAnsi="Arial"/>
                <w:sz w:val="14"/>
                <w:szCs w:val="14"/>
                <w:color w:val="auto"/>
              </w:rPr>
              <w:t>Total other income (expense)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(14,106)</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1,313</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(29,134)</w:t>
            </w: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(41,927)</w:t>
            </w:r>
          </w:p>
        </w:tc>
        <w:tc>
          <w:tcPr>
            <w:tcW w:w="0" w:type="dxa"/>
            <w:vAlign w:val="bottom"/>
          </w:tcPr>
          <w:p>
            <w:pPr>
              <w:spacing w:after="0"/>
              <w:rPr>
                <w:sz w:val="1"/>
                <w:szCs w:val="1"/>
                <w:color w:val="auto"/>
              </w:rPr>
            </w:pPr>
          </w:p>
        </w:tc>
      </w:tr>
      <w:tr>
        <w:trPr>
          <w:trHeight w:val="528"/>
        </w:trPr>
        <w:tc>
          <w:tcPr>
            <w:tcW w:w="386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90,122</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(30,327)</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(25,917)</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(29,134)</w:t>
            </w:r>
          </w:p>
        </w:tc>
        <w:tc>
          <w:tcPr>
            <w:tcW w:w="22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4,744</w:t>
            </w: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0"/>
                <w:szCs w:val="20"/>
                <w:color w:val="auto"/>
              </w:rPr>
            </w:pPr>
            <w:r>
              <w:rPr>
                <w:rFonts w:ascii="Arial" w:cs="Arial" w:eastAsia="Arial" w:hAnsi="Arial"/>
                <w:sz w:val="14"/>
                <w:szCs w:val="14"/>
                <w:color w:val="auto"/>
              </w:rPr>
              <w:t>Income tax provision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(32,247)</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23,273</w:t>
            </w:r>
          </w:p>
        </w:tc>
        <w:tc>
          <w:tcPr>
            <w:tcW w:w="200" w:type="dxa"/>
            <w:vAlign w:val="bottom"/>
          </w:tcPr>
          <w:p>
            <w:pPr>
              <w:jc w:val="center"/>
              <w:spacing w:after="0"/>
              <w:rPr>
                <w:sz w:val="20"/>
                <w:szCs w:val="20"/>
                <w:color w:val="auto"/>
              </w:rPr>
            </w:pPr>
            <w:r>
              <w:rPr>
                <w:rFonts w:ascii="Arial" w:cs="Arial" w:eastAsia="Arial" w:hAnsi="Arial"/>
                <w:sz w:val="14"/>
                <w:szCs w:val="14"/>
                <w:color w:val="auto"/>
              </w:rPr>
              <w:t>K</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11,246</w:t>
            </w:r>
          </w:p>
        </w:tc>
        <w:tc>
          <w:tcPr>
            <w:tcW w:w="220" w:type="dxa"/>
            <w:vAlign w:val="bottom"/>
          </w:tcPr>
          <w:p>
            <w:pPr>
              <w:jc w:val="center"/>
              <w:spacing w:after="0"/>
              <w:rPr>
                <w:sz w:val="20"/>
                <w:szCs w:val="20"/>
                <w:color w:val="auto"/>
              </w:rPr>
            </w:pPr>
            <w:r>
              <w:rPr>
                <w:rFonts w:ascii="Arial" w:cs="Arial" w:eastAsia="Arial" w:hAnsi="Arial"/>
                <w:sz w:val="14"/>
                <w:szCs w:val="14"/>
                <w:color w:val="auto"/>
              </w:rPr>
              <w:t>K</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2,827</w:t>
            </w: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Net income (loss)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57,875</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(29,772)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(2,644)</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(17,888)</w:t>
            </w:r>
          </w:p>
        </w:tc>
        <w:tc>
          <w:tcPr>
            <w:tcW w:w="22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7,571</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4"/>
                <w:szCs w:val="14"/>
                <w:color w:val="auto"/>
              </w:rPr>
              <w:t>Net income attributable to noncontrolling</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60" w:type="dxa"/>
            <w:vAlign w:val="bottom"/>
          </w:tcPr>
          <w:p>
            <w:pPr>
              <w:ind w:left="80"/>
              <w:spacing w:after="0"/>
              <w:rPr>
                <w:sz w:val="20"/>
                <w:szCs w:val="20"/>
                <w:color w:val="auto"/>
              </w:rPr>
            </w:pPr>
            <w:r>
              <w:rPr>
                <w:rFonts w:ascii="Arial" w:cs="Arial" w:eastAsia="Arial" w:hAnsi="Arial"/>
                <w:sz w:val="14"/>
                <w:szCs w:val="14"/>
                <w:color w:val="auto"/>
              </w:rPr>
              <w:t>interests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2,357</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2,357</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55,518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(29,772)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(2,644)</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(17,888)</w:t>
            </w:r>
          </w:p>
        </w:tc>
        <w:tc>
          <w:tcPr>
            <w:tcW w:w="22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5,214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60" w:type="dxa"/>
            <w:vAlign w:val="bottom"/>
          </w:tcPr>
          <w:p>
            <w:pPr>
              <w:spacing w:after="0"/>
              <w:rPr>
                <w:sz w:val="20"/>
                <w:szCs w:val="20"/>
                <w:color w:val="auto"/>
              </w:rPr>
            </w:pPr>
            <w:r>
              <w:rPr>
                <w:rFonts w:ascii="Arial" w:cs="Arial" w:eastAsia="Arial" w:hAnsi="Arial"/>
                <w:sz w:val="14"/>
                <w:szCs w:val="14"/>
                <w:color w:val="auto"/>
              </w:rPr>
              <w:t>Earnings (loss) per common share - Basic</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4"/>
                <w:szCs w:val="14"/>
                <w:color w:val="auto"/>
              </w:rPr>
              <w:t>Earnings (loss) per common share - Diluted</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86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38,624</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38,624</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39,339</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39,339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360"/>
          </w:cols>
          <w:pgMar w:left="280" w:top="5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Note 1. Basis of Presentation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unaudited pro forma condensed combined financial information is based on Itron’s and SSNI’s historical consolidated financial statements as adjusted to give effect to the SSNI Acquisition. The unaudited pro forma condensed combined balance sheet as of September 30, 2017 and the unaudited pro forma condensed combined statements of operations for the year ended December 31, 2016 and the nine months ended September 30, 2017 are presented herein. The unaudited pro forma condensed combined balance sheet presents the historical financial position of Itron and SSNI, as of September 30, 2017, giving effect to the SSNI Transactions as if they had been completed on September 30, 2017. The unaudited pro forma condensed combined statements of operation present the historical results of Itron and SSNI for the nine months ended September 30, 2017 and the results of Itron and SSNI for the year ended December 31, 2016 giving effect to the SSNI Transactions as if they occurred on January 1, 2016.</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unaudited pro forma condensed combined financial information has been prepared in accordance with Article 11 of Regulation S-X under the Securities Exchange Act of 1934, as amended. The historical consolidated financial statements have been adjusted in the pro forma condensed combined financial information to give effect to the financing and pro forma adjustments that are (1) directly attributable to the SSNI Acquisition, (2) factually supportable and (3) with respect to the pro forma condensed combined statement of operations, expected to have a continuing impact on the combined company.</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accounted for the SSNI Acquisition in the unaudited pro forma condensed combined financial information using the acquisition method of accounting in accordance ASC 805. In accordance with ASC 805, we use our best estimates and assumptions to assign fair value to the tangible and intangible assets to be acquired and liabilities to be assumed upon consummation of the SSNI Acquisition. Goodwill is measured as the excess of purchase price consideration over the fair value of net tangible and identifiable intangible assets acquired. The pro forma adjustments described below were developed based on Itron management's assumptions and estimates, including assumptions relating to the consideration paid and the allocation thereof to the assets acquired and liabilities assumed from SSNI based on estimates of fair value. The estimates of fair values of consideration transferred and assets acquired and liabilities assumed are not yet finalized. We believe that information available provides a reasonable basis for estimating the fair values of assets acquired and liabilities assumed, but we are finalizing our review prior to those fair values. Thus, the preliminary measurements of fair value set forth herein are subject to change. Such changes could be significant. We expect to finalize the valuation as soon as practicable but no later than one-year from the date the SSNI Acquisition is consummated.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 Accounting Policies and Reclassifications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column "Historical SSNI" within the unaudited pro forma condensed combined balance sheet and unaudited pro forma condensed combined statement of operations reflects all financial statement reclassification adjustments made to align SSNI's historical financial statement presentations to those of Itron.</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SSNI Acquisition, we will conduct a review of SSNI's accounting policies in an effort to determine if further differences in accounting policies require reclassification of SSNI's results of operations or reclassification of assets or liabilities to conform to our accounting policies and classifications. As a result of that review, we may identify differences between the accounting policies of the two companies that, when conformed, could have a material impact on these unaudited pro forma condensed combined financial statements. During the preparation of these unaudited pro forma condensed combined financial statements, we were not aware of any material differences between the accounting policies of the two companies and accordingly, these unaudited pro forma condensed combined financial statements do not assume any material differences in accounting policies between the two companies, other than certain financial statement reclassifications described below.</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reclassification adjustments to the historical SSNI balance sheet to conform the presentation of financial statement information to that of Itron are as follows (in thousands):</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Balance sheet as of September 30, 2017 (in thousands)</w:t>
      </w:r>
    </w:p>
    <w:p>
      <w:pPr>
        <w:spacing w:after="0" w:line="167"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Presentation in Unaudited Pro Forma</w:t>
            </w:r>
          </w:p>
        </w:tc>
      </w:tr>
      <w:tr>
        <w:trPr>
          <w:trHeight w:val="234"/>
        </w:trPr>
        <w:tc>
          <w:tcPr>
            <w:tcW w:w="3000" w:type="dxa"/>
            <w:vAlign w:val="bottom"/>
            <w:gridSpan w:val="2"/>
          </w:tcPr>
          <w:p>
            <w:pPr>
              <w:ind w:left="1120"/>
              <w:spacing w:after="0"/>
              <w:rPr>
                <w:sz w:val="20"/>
                <w:szCs w:val="20"/>
                <w:color w:val="auto"/>
              </w:rPr>
            </w:pPr>
            <w:r>
              <w:rPr>
                <w:rFonts w:ascii="Arial" w:cs="Arial" w:eastAsia="Arial" w:hAnsi="Arial"/>
                <w:sz w:val="18"/>
                <w:szCs w:val="18"/>
                <w:b w:val="1"/>
                <w:bCs w:val="1"/>
                <w:color w:val="auto"/>
              </w:rPr>
              <w:t>Amount</w:t>
            </w: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Presentation in SSNI's Financial Statements</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8"/>
              </w:rPr>
              <w:t>Condensed Combined Financial Statements</w:t>
            </w:r>
          </w:p>
        </w:tc>
      </w:tr>
      <w:tr>
        <w:trPr>
          <w:trHeight w:val="27"/>
        </w:trPr>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72,459</w:t>
            </w:r>
          </w:p>
        </w:tc>
        <w:tc>
          <w:tcPr>
            <w:tcW w:w="100" w:type="dxa"/>
            <w:vAlign w:val="bottom"/>
          </w:tcPr>
          <w:p>
            <w:pPr>
              <w:spacing w:after="0"/>
              <w:rPr>
                <w:sz w:val="20"/>
                <w:szCs w:val="20"/>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Deferred cost of revenue</w:t>
            </w:r>
          </w:p>
        </w:tc>
        <w:tc>
          <w:tcPr>
            <w:tcW w:w="3840" w:type="dxa"/>
            <w:vAlign w:val="bottom"/>
          </w:tcPr>
          <w:p>
            <w:pPr>
              <w:jc w:val="center"/>
              <w:spacing w:after="0"/>
              <w:rPr>
                <w:sz w:val="20"/>
                <w:szCs w:val="20"/>
                <w:color w:val="auto"/>
              </w:rPr>
            </w:pPr>
            <w:r>
              <w:rPr>
                <w:rFonts w:ascii="Arial" w:cs="Arial" w:eastAsia="Arial" w:hAnsi="Arial"/>
                <w:sz w:val="18"/>
                <w:szCs w:val="18"/>
                <w:color w:val="auto"/>
                <w:w w:val="87"/>
              </w:rPr>
              <w:t>Other current assets</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8,980</w:t>
            </w:r>
          </w:p>
        </w:tc>
        <w:tc>
          <w:tcPr>
            <w:tcW w:w="100" w:type="dxa"/>
            <w:vAlign w:val="bottom"/>
          </w:tcPr>
          <w:p>
            <w:pPr>
              <w:spacing w:after="0"/>
              <w:rPr>
                <w:sz w:val="23"/>
                <w:szCs w:val="23"/>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Deferred cost of revenue, non-current</w:t>
            </w:r>
          </w:p>
        </w:tc>
        <w:tc>
          <w:tcPr>
            <w:tcW w:w="3840" w:type="dxa"/>
            <w:vAlign w:val="bottom"/>
          </w:tcPr>
          <w:p>
            <w:pPr>
              <w:jc w:val="center"/>
              <w:spacing w:after="0"/>
              <w:rPr>
                <w:sz w:val="20"/>
                <w:szCs w:val="20"/>
                <w:color w:val="auto"/>
              </w:rPr>
            </w:pPr>
            <w:r>
              <w:rPr>
                <w:rFonts w:ascii="Arial" w:cs="Arial" w:eastAsia="Arial" w:hAnsi="Arial"/>
                <w:sz w:val="18"/>
                <w:szCs w:val="18"/>
                <w:color w:val="auto"/>
                <w:w w:val="88"/>
              </w:rPr>
              <w:t>Other long-term assets</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3"/>
                <w:szCs w:val="23"/>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Goodwill and intangible assets</w:t>
            </w:r>
          </w:p>
        </w:tc>
        <w:tc>
          <w:tcPr>
            <w:tcW w:w="3840" w:type="dxa"/>
            <w:vAlign w:val="bottom"/>
          </w:tcPr>
          <w:p>
            <w:pPr>
              <w:jc w:val="center"/>
              <w:spacing w:after="0"/>
              <w:rPr>
                <w:sz w:val="20"/>
                <w:szCs w:val="20"/>
                <w:color w:val="auto"/>
              </w:rPr>
            </w:pPr>
            <w:r>
              <w:rPr>
                <w:rFonts w:ascii="Arial" w:cs="Arial" w:eastAsia="Arial" w:hAnsi="Arial"/>
                <w:sz w:val="18"/>
                <w:szCs w:val="18"/>
                <w:color w:val="auto"/>
                <w:w w:val="88"/>
              </w:rPr>
              <w:t>Intangible assets, net</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23"/>
                <w:szCs w:val="23"/>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Goodwill and intangible assets</w:t>
            </w:r>
          </w:p>
        </w:tc>
        <w:tc>
          <w:tcPr>
            <w:tcW w:w="3840" w:type="dxa"/>
            <w:vAlign w:val="bottom"/>
          </w:tcPr>
          <w:p>
            <w:pPr>
              <w:jc w:val="center"/>
              <w:spacing w:after="0"/>
              <w:rPr>
                <w:sz w:val="20"/>
                <w:szCs w:val="20"/>
                <w:color w:val="auto"/>
              </w:rPr>
            </w:pPr>
            <w:r>
              <w:rPr>
                <w:rFonts w:ascii="Arial" w:cs="Arial" w:eastAsia="Arial" w:hAnsi="Arial"/>
                <w:sz w:val="18"/>
                <w:szCs w:val="18"/>
                <w:color w:val="auto"/>
                <w:w w:val="98"/>
              </w:rPr>
              <w:t>Goodwill</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3"/>
                <w:szCs w:val="23"/>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Accrued and other liabilities</w:t>
            </w:r>
          </w:p>
        </w:tc>
        <w:tc>
          <w:tcPr>
            <w:tcW w:w="3840" w:type="dxa"/>
            <w:vAlign w:val="bottom"/>
          </w:tcPr>
          <w:p>
            <w:pPr>
              <w:jc w:val="center"/>
              <w:spacing w:after="0"/>
              <w:rPr>
                <w:sz w:val="20"/>
                <w:szCs w:val="20"/>
                <w:color w:val="auto"/>
              </w:rPr>
            </w:pPr>
            <w:r>
              <w:rPr>
                <w:rFonts w:ascii="Arial" w:cs="Arial" w:eastAsia="Arial" w:hAnsi="Arial"/>
                <w:sz w:val="18"/>
                <w:szCs w:val="18"/>
                <w:color w:val="auto"/>
                <w:w w:val="93"/>
              </w:rPr>
              <w:t>Other current liabilities</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15,781</w:t>
            </w:r>
          </w:p>
        </w:tc>
        <w:tc>
          <w:tcPr>
            <w:tcW w:w="100" w:type="dxa"/>
            <w:vAlign w:val="bottom"/>
          </w:tcPr>
          <w:p>
            <w:pPr>
              <w:spacing w:after="0"/>
              <w:rPr>
                <w:sz w:val="23"/>
                <w:szCs w:val="23"/>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Accrued and other liabilities</w:t>
            </w:r>
          </w:p>
        </w:tc>
        <w:tc>
          <w:tcPr>
            <w:tcW w:w="3840" w:type="dxa"/>
            <w:vAlign w:val="bottom"/>
          </w:tcPr>
          <w:p>
            <w:pPr>
              <w:jc w:val="center"/>
              <w:spacing w:after="0"/>
              <w:rPr>
                <w:sz w:val="20"/>
                <w:szCs w:val="20"/>
                <w:color w:val="auto"/>
              </w:rPr>
            </w:pPr>
            <w:r>
              <w:rPr>
                <w:rFonts w:ascii="Arial" w:cs="Arial" w:eastAsia="Arial" w:hAnsi="Arial"/>
                <w:sz w:val="18"/>
                <w:szCs w:val="18"/>
                <w:color w:val="auto"/>
                <w:w w:val="88"/>
              </w:rPr>
              <w:t>Wages and benefits payable</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3"/>
                <w:szCs w:val="23"/>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Accrued and other liabilities</w:t>
            </w:r>
          </w:p>
        </w:tc>
        <w:tc>
          <w:tcPr>
            <w:tcW w:w="3840" w:type="dxa"/>
            <w:vAlign w:val="bottom"/>
          </w:tcPr>
          <w:p>
            <w:pPr>
              <w:jc w:val="center"/>
              <w:spacing w:after="0"/>
              <w:rPr>
                <w:sz w:val="20"/>
                <w:szCs w:val="20"/>
                <w:color w:val="auto"/>
              </w:rPr>
            </w:pPr>
            <w:r>
              <w:rPr>
                <w:rFonts w:ascii="Arial" w:cs="Arial" w:eastAsia="Arial" w:hAnsi="Arial"/>
                <w:sz w:val="18"/>
                <w:szCs w:val="18"/>
                <w:color w:val="auto"/>
                <w:w w:val="87"/>
              </w:rPr>
              <w:t>Taxes payable</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23"/>
                <w:szCs w:val="23"/>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Accrued and other liabilities</w:t>
            </w:r>
          </w:p>
        </w:tc>
        <w:tc>
          <w:tcPr>
            <w:tcW w:w="3840" w:type="dxa"/>
            <w:vAlign w:val="bottom"/>
          </w:tcPr>
          <w:p>
            <w:pPr>
              <w:jc w:val="center"/>
              <w:spacing w:after="0"/>
              <w:rPr>
                <w:sz w:val="20"/>
                <w:szCs w:val="20"/>
                <w:color w:val="auto"/>
              </w:rPr>
            </w:pPr>
            <w:r>
              <w:rPr>
                <w:rFonts w:ascii="Arial" w:cs="Arial" w:eastAsia="Arial" w:hAnsi="Arial"/>
                <w:sz w:val="18"/>
                <w:szCs w:val="18"/>
                <w:color w:val="auto"/>
                <w:w w:val="92"/>
              </w:rPr>
              <w:t>Current portion of warranty</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14,632</w:t>
            </w:r>
          </w:p>
        </w:tc>
        <w:tc>
          <w:tcPr>
            <w:tcW w:w="100" w:type="dxa"/>
            <w:vAlign w:val="bottom"/>
          </w:tcPr>
          <w:p>
            <w:pPr>
              <w:spacing w:after="0"/>
              <w:rPr>
                <w:sz w:val="23"/>
                <w:szCs w:val="23"/>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Accrued and other liabilities</w:t>
            </w:r>
          </w:p>
        </w:tc>
        <w:tc>
          <w:tcPr>
            <w:tcW w:w="3840" w:type="dxa"/>
            <w:vAlign w:val="bottom"/>
          </w:tcPr>
          <w:p>
            <w:pPr>
              <w:jc w:val="center"/>
              <w:spacing w:after="0"/>
              <w:rPr>
                <w:sz w:val="20"/>
                <w:szCs w:val="20"/>
                <w:color w:val="auto"/>
              </w:rPr>
            </w:pPr>
            <w:r>
              <w:rPr>
                <w:rFonts w:ascii="Arial" w:cs="Arial" w:eastAsia="Arial" w:hAnsi="Arial"/>
                <w:sz w:val="18"/>
                <w:szCs w:val="18"/>
                <w:color w:val="auto"/>
                <w:w w:val="87"/>
              </w:rPr>
              <w:t>Unearned revenue</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3"/>
                <w:szCs w:val="23"/>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Other liabilities</w:t>
            </w:r>
          </w:p>
        </w:tc>
        <w:tc>
          <w:tcPr>
            <w:tcW w:w="3840" w:type="dxa"/>
            <w:vAlign w:val="bottom"/>
          </w:tcPr>
          <w:p>
            <w:pPr>
              <w:jc w:val="center"/>
              <w:spacing w:after="0"/>
              <w:rPr>
                <w:sz w:val="20"/>
                <w:szCs w:val="20"/>
                <w:color w:val="auto"/>
              </w:rPr>
            </w:pPr>
            <w:r>
              <w:rPr>
                <w:rFonts w:ascii="Arial" w:cs="Arial" w:eastAsia="Arial" w:hAnsi="Arial"/>
                <w:sz w:val="18"/>
                <w:szCs w:val="18"/>
                <w:color w:val="auto"/>
                <w:w w:val="93"/>
              </w:rPr>
              <w:t>Long-term warranty</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23,896</w:t>
            </w:r>
          </w:p>
        </w:tc>
        <w:tc>
          <w:tcPr>
            <w:tcW w:w="100" w:type="dxa"/>
            <w:vAlign w:val="bottom"/>
          </w:tcPr>
          <w:p>
            <w:pPr>
              <w:spacing w:after="0"/>
              <w:rPr>
                <w:sz w:val="23"/>
                <w:szCs w:val="23"/>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Other liabilities</w:t>
            </w:r>
          </w:p>
        </w:tc>
        <w:tc>
          <w:tcPr>
            <w:tcW w:w="3840" w:type="dxa"/>
            <w:vAlign w:val="bottom"/>
          </w:tcPr>
          <w:p>
            <w:pPr>
              <w:jc w:val="center"/>
              <w:spacing w:after="0"/>
              <w:rPr>
                <w:sz w:val="20"/>
                <w:szCs w:val="20"/>
                <w:color w:val="auto"/>
              </w:rPr>
            </w:pPr>
            <w:r>
              <w:rPr>
                <w:rFonts w:ascii="Arial" w:cs="Arial" w:eastAsia="Arial" w:hAnsi="Arial"/>
                <w:sz w:val="18"/>
                <w:szCs w:val="18"/>
                <w:color w:val="auto"/>
                <w:w w:val="93"/>
              </w:rPr>
              <w:t>Other long-term obligations</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47,451</w:t>
            </w:r>
          </w:p>
        </w:tc>
        <w:tc>
          <w:tcPr>
            <w:tcW w:w="100" w:type="dxa"/>
            <w:vAlign w:val="bottom"/>
          </w:tcPr>
          <w:p>
            <w:pPr>
              <w:spacing w:after="0"/>
              <w:rPr>
                <w:sz w:val="23"/>
                <w:szCs w:val="23"/>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Deferred revenue, non-current</w:t>
            </w:r>
          </w:p>
        </w:tc>
        <w:tc>
          <w:tcPr>
            <w:tcW w:w="3840" w:type="dxa"/>
            <w:vAlign w:val="bottom"/>
          </w:tcPr>
          <w:p>
            <w:pPr>
              <w:jc w:val="center"/>
              <w:spacing w:after="0"/>
              <w:rPr>
                <w:sz w:val="20"/>
                <w:szCs w:val="20"/>
                <w:color w:val="auto"/>
              </w:rPr>
            </w:pPr>
            <w:r>
              <w:rPr>
                <w:rFonts w:ascii="Arial" w:cs="Arial" w:eastAsia="Arial" w:hAnsi="Arial"/>
                <w:sz w:val="18"/>
                <w:szCs w:val="18"/>
                <w:color w:val="auto"/>
                <w:w w:val="93"/>
              </w:rPr>
              <w:t>Other long-term obligations</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reclassification adjustments to the historical SSNI statement of operations to conform the presentation of financial statement information to that of Itron are as follows (in thousands):</w:t>
      </w:r>
    </w:p>
    <w:p>
      <w:pPr>
        <w:sectPr>
          <w:pgSz w:w="11900" w:h="16838" w:orient="portrait"/>
          <w:cols w:equalWidth="0" w:num="1">
            <w:col w:w="11420"/>
          </w:cols>
          <w:pgMar w:left="240" w:top="584"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operations for the year ended December 31, 2016 (in thousands)</w:t>
      </w:r>
    </w:p>
    <w:p>
      <w:pPr>
        <w:spacing w:after="0" w:line="383"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000" w:type="dxa"/>
            <w:vAlign w:val="bottom"/>
            <w:gridSpan w:val="2"/>
          </w:tcPr>
          <w:p>
            <w:pPr>
              <w:ind w:left="1120"/>
              <w:spacing w:after="0"/>
              <w:rPr>
                <w:sz w:val="20"/>
                <w:szCs w:val="20"/>
                <w:color w:val="auto"/>
              </w:rPr>
            </w:pPr>
            <w:r>
              <w:rPr>
                <w:rFonts w:ascii="Arial" w:cs="Arial" w:eastAsia="Arial" w:hAnsi="Arial"/>
                <w:sz w:val="18"/>
                <w:szCs w:val="18"/>
                <w:b w:val="1"/>
                <w:bCs w:val="1"/>
                <w:color w:val="auto"/>
              </w:rPr>
              <w:t>Amount</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0"/>
              </w:rPr>
              <w:t>Presentation in SSNI's Financial Statements</w:t>
            </w:r>
          </w:p>
        </w:tc>
      </w:tr>
      <w:tr>
        <w:trPr>
          <w:trHeight w:val="27"/>
        </w:trPr>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31,600</w:t>
            </w:r>
          </w:p>
        </w:tc>
        <w:tc>
          <w:tcPr>
            <w:tcW w:w="10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Service revenue</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17,827</w:t>
            </w:r>
          </w:p>
        </w:tc>
        <w:tc>
          <w:tcPr>
            <w:tcW w:w="10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Service cost of revenues</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8"/>
              </w:rPr>
              <w:t>Product cost of revenues</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8"/>
              </w:rPr>
              <w:t>Sales and marketing</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General and administrative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operations for the nine months ended September 30, 2017 (in thousands)</w:t>
      </w:r>
    </w:p>
    <w:p>
      <w:pPr>
        <w:spacing w:after="0" w:line="383"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000" w:type="dxa"/>
            <w:vAlign w:val="bottom"/>
            <w:gridSpan w:val="2"/>
          </w:tcPr>
          <w:p>
            <w:pPr>
              <w:ind w:left="1120"/>
              <w:spacing w:after="0"/>
              <w:rPr>
                <w:sz w:val="20"/>
                <w:szCs w:val="20"/>
                <w:color w:val="auto"/>
              </w:rPr>
            </w:pPr>
            <w:r>
              <w:rPr>
                <w:rFonts w:ascii="Arial" w:cs="Arial" w:eastAsia="Arial" w:hAnsi="Arial"/>
                <w:sz w:val="18"/>
                <w:szCs w:val="18"/>
                <w:b w:val="1"/>
                <w:bCs w:val="1"/>
                <w:color w:val="auto"/>
              </w:rPr>
              <w:t>Amount</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0"/>
              </w:rPr>
              <w:t>Presentation in SSNI's Financial Statements</w:t>
            </w:r>
          </w:p>
        </w:tc>
      </w:tr>
      <w:tr>
        <w:trPr>
          <w:trHeight w:val="27"/>
        </w:trPr>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19,212</w:t>
            </w:r>
          </w:p>
        </w:tc>
        <w:tc>
          <w:tcPr>
            <w:tcW w:w="10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Service revenue</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11,278</w:t>
            </w:r>
          </w:p>
        </w:tc>
        <w:tc>
          <w:tcPr>
            <w:tcW w:w="10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Service cost of revenues</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8"/>
              </w:rPr>
              <w:t>Product cost of revenues</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8"/>
              </w:rPr>
              <w:t>Sales and marketing</w:t>
            </w:r>
          </w:p>
        </w:tc>
      </w:tr>
      <w:tr>
        <w:trPr>
          <w:trHeight w:val="270"/>
        </w:trPr>
        <w:tc>
          <w:tcPr>
            <w:tcW w:w="29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General and administrative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Presentation in Unaudited Pro Forma</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5"/>
          <w:szCs w:val="15"/>
          <w:b w:val="1"/>
          <w:bCs w:val="1"/>
          <w:color w:val="auto"/>
        </w:rPr>
        <w:t>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45085</wp:posOffset>
            </wp:positionV>
            <wp:extent cx="2435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77" w:lineRule="exact"/>
        <w:rPr>
          <w:sz w:val="20"/>
          <w:szCs w:val="20"/>
          <w:color w:val="auto"/>
        </w:rPr>
      </w:pPr>
    </w:p>
    <w:p>
      <w:pPr>
        <w:jc w:val="center"/>
        <w:ind w:left="480" w:right="620"/>
        <w:spacing w:after="0" w:line="367" w:lineRule="auto"/>
        <w:rPr>
          <w:sz w:val="20"/>
          <w:szCs w:val="20"/>
          <w:color w:val="auto"/>
        </w:rPr>
      </w:pPr>
      <w:r>
        <w:rPr>
          <w:rFonts w:ascii="Arial" w:cs="Arial" w:eastAsia="Arial" w:hAnsi="Arial"/>
          <w:sz w:val="16"/>
          <w:szCs w:val="16"/>
          <w:color w:val="auto"/>
        </w:rPr>
        <w:t>Product Revenues Product cost of revenues Amortization of intangible assets Amortization of intangible assets Amortization of intangible assets</w:t>
      </w:r>
    </w:p>
    <w:p>
      <w:pPr>
        <w:spacing w:after="0" w:line="200" w:lineRule="exact"/>
        <w:rPr>
          <w:sz w:val="20"/>
          <w:szCs w:val="20"/>
          <w:color w:val="auto"/>
        </w:rPr>
      </w:pPr>
    </w:p>
    <w:p>
      <w:pPr>
        <w:spacing w:after="0" w:line="30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Presentation in Unaudited Pro Forma</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5"/>
          <w:szCs w:val="15"/>
          <w:b w:val="1"/>
          <w:bCs w:val="1"/>
          <w:color w:val="auto"/>
        </w:rPr>
        <w:t>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45085</wp:posOffset>
            </wp:positionV>
            <wp:extent cx="2435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77"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Cost of revenues</w:t>
      </w:r>
    </w:p>
    <w:p>
      <w:pPr>
        <w:spacing w:after="0" w:line="63"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Amortization of intangible assets</w:t>
      </w:r>
    </w:p>
    <w:p>
      <w:pPr>
        <w:spacing w:after="0" w:line="63"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Amortization of intangible assets</w:t>
      </w:r>
    </w:p>
    <w:p>
      <w:pPr>
        <w:spacing w:after="0" w:line="63"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Amortization of intangible assets</w:t>
      </w:r>
    </w:p>
    <w:p>
      <w:pPr>
        <w:spacing w:after="0" w:line="223" w:lineRule="exact"/>
        <w:rPr>
          <w:sz w:val="20"/>
          <w:szCs w:val="20"/>
          <w:color w:val="auto"/>
        </w:rPr>
      </w:pPr>
    </w:p>
    <w:p>
      <w:pPr>
        <w:sectPr>
          <w:pgSz w:w="11900" w:h="16838" w:orient="portrait"/>
          <w:cols w:equalWidth="0" w:num="2">
            <w:col w:w="7120" w:space="340"/>
            <w:col w:w="3960"/>
          </w:cols>
          <w:pgMar w:left="240" w:top="584" w:right="239" w:bottom="1440" w:gutter="0" w:footer="0" w:header="0"/>
          <w:type w:val="continuous"/>
        </w:sectPr>
      </w:pPr>
    </w:p>
    <w:p>
      <w:pPr>
        <w:spacing w:after="0" w:line="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reclassifications were made to historical Itron statements of operations for the year ended December 31, 2016 and nine months ended September 30, 2017 to reflect the separate presentation of product revenues, service revenues, cost of product revenues and cost of service revenues.</w:t>
      </w:r>
    </w:p>
    <w:p>
      <w:pPr>
        <w:sectPr>
          <w:pgSz w:w="11900" w:h="16838" w:orient="portrait"/>
          <w:cols w:equalWidth="0" w:num="1">
            <w:col w:w="11420"/>
          </w:cols>
          <w:pgMar w:left="240" w:top="58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Note 3. Purchase Price Consideration and Provisional Allocation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Merger Consideration is approximately $907.1 million based on the amount of cash consideration for SSNI shares and vested in-the-money stock option awards outstanding. Merger Consideration also includes the fair value of replacement equity awards issued attributable to pre-acquisition service. The following table summarizes the components of the estimated Merger Consideration reflected in the unaudited pro forma condensed combined financial information:</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2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Cash consideration for stockholders and equity award holders</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900,340</w:t>
            </w:r>
          </w:p>
        </w:tc>
        <w:tc>
          <w:tcPr>
            <w:tcW w:w="480" w:type="dxa"/>
            <w:vAlign w:val="bottom"/>
          </w:tcPr>
          <w:p>
            <w:pPr>
              <w:jc w:val="center"/>
              <w:ind w:left="110"/>
              <w:spacing w:after="0"/>
              <w:rPr>
                <w:sz w:val="20"/>
                <w:szCs w:val="20"/>
                <w:color w:val="auto"/>
              </w:rPr>
            </w:pPr>
            <w:r>
              <w:rPr>
                <w:rFonts w:ascii="Arial" w:cs="Arial" w:eastAsia="Arial" w:hAnsi="Arial"/>
                <w:sz w:val="18"/>
                <w:szCs w:val="18"/>
                <w:color w:val="auto"/>
                <w:w w:val="99"/>
              </w:rPr>
              <w:t>(i)</w:t>
            </w: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Fair value of replacement awards attributable to pre-acquisition service</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6,728</w:t>
            </w:r>
          </w:p>
        </w:tc>
        <w:tc>
          <w:tcPr>
            <w:tcW w:w="480" w:type="dxa"/>
            <w:vAlign w:val="bottom"/>
          </w:tcPr>
          <w:p>
            <w:pPr>
              <w:jc w:val="center"/>
              <w:ind w:left="90"/>
              <w:spacing w:after="0"/>
              <w:rPr>
                <w:sz w:val="20"/>
                <w:szCs w:val="20"/>
                <w:color w:val="auto"/>
              </w:rPr>
            </w:pPr>
            <w:r>
              <w:rPr>
                <w:rFonts w:ascii="Arial" w:cs="Arial" w:eastAsia="Arial" w:hAnsi="Arial"/>
                <w:sz w:val="18"/>
                <w:szCs w:val="18"/>
                <w:color w:val="auto"/>
              </w:rPr>
              <w:t>(ii)</w:t>
            </w: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Less: Acquired cash and cash equivalents</w:t>
            </w:r>
          </w:p>
        </w:tc>
        <w:tc>
          <w:tcPr>
            <w:tcW w:w="2620" w:type="dxa"/>
            <w:vAlign w:val="bottom"/>
          </w:tcPr>
          <w:p>
            <w:pPr>
              <w:jc w:val="right"/>
              <w:spacing w:after="0"/>
              <w:rPr>
                <w:sz w:val="20"/>
                <w:szCs w:val="20"/>
                <w:color w:val="auto"/>
              </w:rPr>
            </w:pPr>
            <w:r>
              <w:rPr>
                <w:rFonts w:ascii="Arial" w:cs="Arial" w:eastAsia="Arial" w:hAnsi="Arial"/>
                <w:sz w:val="18"/>
                <w:szCs w:val="18"/>
                <w:color w:val="auto"/>
              </w:rPr>
              <w:t>(126,214)</w:t>
            </w:r>
          </w:p>
        </w:tc>
        <w:tc>
          <w:tcPr>
            <w:tcW w:w="480" w:type="dxa"/>
            <w:vAlign w:val="bottom"/>
          </w:tcPr>
          <w:p>
            <w:pPr>
              <w:jc w:val="center"/>
              <w:ind w:left="110"/>
              <w:spacing w:after="0"/>
              <w:rPr>
                <w:sz w:val="20"/>
                <w:szCs w:val="20"/>
                <w:color w:val="auto"/>
              </w:rPr>
            </w:pPr>
            <w:r>
              <w:rPr>
                <w:rFonts w:ascii="Arial" w:cs="Arial" w:eastAsia="Arial" w:hAnsi="Arial"/>
                <w:sz w:val="18"/>
                <w:szCs w:val="18"/>
                <w:color w:val="auto"/>
              </w:rPr>
              <w:t>(iii)</w:t>
            </w:r>
          </w:p>
        </w:tc>
      </w:tr>
      <w:tr>
        <w:trPr>
          <w:trHeight w:val="27"/>
        </w:trPr>
        <w:tc>
          <w:tcPr>
            <w:tcW w:w="82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257"/>
        </w:trPr>
        <w:tc>
          <w:tcPr>
            <w:tcW w:w="8200" w:type="dxa"/>
            <w:vAlign w:val="bottom"/>
          </w:tcPr>
          <w:p>
            <w:pPr>
              <w:ind w:left="220"/>
              <w:spacing w:after="0"/>
              <w:rPr>
                <w:sz w:val="20"/>
                <w:szCs w:val="20"/>
                <w:color w:val="auto"/>
              </w:rPr>
            </w:pPr>
            <w:r>
              <w:rPr>
                <w:rFonts w:ascii="Arial" w:cs="Arial" w:eastAsia="Arial" w:hAnsi="Arial"/>
                <w:sz w:val="18"/>
                <w:szCs w:val="18"/>
                <w:color w:val="auto"/>
              </w:rPr>
              <w:t>Total estimated Merger Consideration, net of cash and cash equivalents acquired</w:t>
            </w: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780,854</w:t>
            </w:r>
          </w:p>
        </w:tc>
        <w:tc>
          <w:tcPr>
            <w:tcW w:w="480" w:type="dxa"/>
            <w:vAlign w:val="bottom"/>
          </w:tcPr>
          <w:p>
            <w:pPr>
              <w:spacing w:after="0"/>
              <w:rPr>
                <w:sz w:val="22"/>
                <w:szCs w:val="22"/>
                <w:color w:val="auto"/>
              </w:rPr>
            </w:pPr>
          </w:p>
        </w:tc>
      </w:tr>
      <w:tr>
        <w:trPr>
          <w:trHeight w:val="20"/>
        </w:trPr>
        <w:tc>
          <w:tcPr>
            <w:tcW w:w="82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6" w:lineRule="exact"/>
        <w:rPr>
          <w:sz w:val="20"/>
          <w:szCs w:val="20"/>
          <w:color w:val="auto"/>
        </w:rPr>
      </w:pPr>
    </w:p>
    <w:p>
      <w:pPr>
        <w:ind w:left="820" w:right="80" w:hanging="488"/>
        <w:spacing w:after="0" w:line="25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Reflects cash consideration paid to SSNI stockholders and equity award holders based on 54.8 million shares of common stock outstanding and 0.1 million restricted stock units granted to non-employee directors that would vest and become payable once the SSNI Acquisition was consummated which received $16.25 per share. Cash consideration to be paid to equity award holders also includes amounts based on 1.4 million vested in-the-money stock option awards, which would receive $16.25 per share, less the exercise price.</w:t>
      </w:r>
    </w:p>
    <w:p>
      <w:pPr>
        <w:ind w:left="820" w:right="20" w:hanging="488"/>
        <w:spacing w:after="0" w:line="291" w:lineRule="auto"/>
        <w:tabs>
          <w:tab w:leader="none" w:pos="820" w:val="left"/>
        </w:tabs>
        <w:numPr>
          <w:ilvl w:val="0"/>
          <w:numId w:val="2"/>
        </w:numPr>
        <w:rPr>
          <w:rFonts w:ascii="Arial" w:cs="Arial" w:eastAsia="Arial" w:hAnsi="Arial"/>
          <w:sz w:val="17"/>
          <w:szCs w:val="17"/>
          <w:color w:val="auto"/>
        </w:rPr>
      </w:pPr>
      <w:r>
        <w:rPr>
          <w:rFonts w:ascii="Arial" w:cs="Arial" w:eastAsia="Arial" w:hAnsi="Arial"/>
          <w:sz w:val="15"/>
          <w:szCs w:val="15"/>
          <w:color w:val="auto"/>
        </w:rPr>
        <w:t>Reflects the fair value of replacement awards attributable to pre-acquisition service based on 0.5 million unvested in-the-money stock option awards and 4.1 million unvested restricted stock units. The number of replacement awards is based on an exchange ratio of 23.59% calculated as $16.25 divided by the volume-weighted trading price of Itron common stock for the 10 trading days ending with, and including, the closing date of the SSNI Acquisition. Total estimated purchase consideration presented in the table above does not reflect $47.7 million which represents an estimate of the fair value of SSNI’s equity awards pertaining to post-merger service, which will be excluded from the purchase price under the acquisition method and will be expensed in Itron’s post-merger financial statements over the various vesting periods, depending on the terms and conditions of the award.</w:t>
      </w:r>
    </w:p>
    <w:p>
      <w:pPr>
        <w:jc w:val="both"/>
        <w:ind w:left="820" w:right="20" w:hanging="488"/>
        <w:spacing w:after="0" w:line="258"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order to facilitate the SSNI Acquisition, the balance of Short-term investments was converted to cash prior to the closing of the SSNI Acquisition and have been included in the total of acquired cash and cash equivalents. The above balance reflects the balance as of September 30, 2017, which differs from the cash and cash equivalents at closing.</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purchase price allocation as reflected in the table below is preliminary and dependent upon certain valuations and other studies that have not been finalized and are subject to final management analysis, at the completion of the SSNI Acquisition. The final purchase price allocation could be impacted by events that occur prior to the effective time of the SSNI Acquisition, and the amounts may differ materially from the information presented below.</w:t>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28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 2017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49,988</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Inventories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9,833</w:t>
            </w:r>
          </w:p>
        </w:tc>
        <w:tc>
          <w:tcPr>
            <w:tcW w:w="720" w:type="dxa"/>
            <w:vAlign w:val="bottom"/>
          </w:tcPr>
          <w:p>
            <w:pPr>
              <w:jc w:val="center"/>
              <w:ind w:left="70"/>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Other current assets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12,984</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26,395</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2,483</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234,600</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7"/>
        </w:trPr>
        <w:tc>
          <w:tcPr>
            <w:tcW w:w="82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2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vMerge w:val="continue"/>
          </w:tcPr>
          <w:p>
            <w:pPr>
              <w:spacing w:after="0"/>
              <w:rPr>
                <w:sz w:val="20"/>
                <w:szCs w:val="20"/>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336,283</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Accounts payable</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36,960</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2,436</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Wages and benefits payable</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15,781</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Taxes payable</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901</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Current portion of warranty</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3,848</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Unearned revenue</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25,297</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Long-term warranty</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1,510</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40,490</w:t>
            </w:r>
          </w:p>
        </w:tc>
        <w:tc>
          <w:tcPr>
            <w:tcW w:w="720" w:type="dxa"/>
            <w:vAlign w:val="bottom"/>
          </w:tcPr>
          <w:p>
            <w:pPr>
              <w:jc w:val="center"/>
              <w:ind w:left="70"/>
              <w:spacing w:after="0"/>
              <w:rPr>
                <w:sz w:val="20"/>
                <w:szCs w:val="20"/>
                <w:color w:val="auto"/>
              </w:rPr>
            </w:pPr>
            <w:r>
              <w:rPr>
                <w:rFonts w:ascii="Arial" w:cs="Arial" w:eastAsia="Arial" w:hAnsi="Arial"/>
                <w:sz w:val="18"/>
                <w:szCs w:val="18"/>
                <w:color w:val="auto"/>
                <w:w w:val="99"/>
              </w:rPr>
              <w:t>(v), (vi)</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13,437</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7"/>
        </w:trPr>
        <w:tc>
          <w:tcPr>
            <w:tcW w:w="82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22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vMerge w:val="continue"/>
          </w:tcPr>
          <w:p>
            <w:pPr>
              <w:spacing w:after="0"/>
              <w:rPr>
                <w:sz w:val="20"/>
                <w:szCs w:val="20"/>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140,660</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r>
              <w:rPr>
                <w:rFonts w:ascii="Arial" w:cs="Arial" w:eastAsia="Arial" w:hAnsi="Arial"/>
                <w:sz w:val="18"/>
                <w:szCs w:val="18"/>
                <w:color w:val="auto"/>
              </w:rPr>
              <w:t>Net assets acquired (a)</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195,623</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8"/>
                <w:szCs w:val="18"/>
                <w:color w:val="auto"/>
              </w:rPr>
              <w:t>Estimated Merger Consideration, net of cash and cash equivalents acquired (b)</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780,854</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0" w:type="dxa"/>
            <w:vAlign w:val="bottom"/>
          </w:tcPr>
          <w:p>
            <w:pPr>
              <w:spacing w:after="0"/>
              <w:rPr>
                <w:sz w:val="20"/>
                <w:szCs w:val="20"/>
                <w:color w:val="auto"/>
              </w:rPr>
            </w:pPr>
            <w:r>
              <w:rPr>
                <w:rFonts w:ascii="Arial" w:cs="Arial" w:eastAsia="Arial" w:hAnsi="Arial"/>
                <w:sz w:val="18"/>
                <w:szCs w:val="18"/>
                <w:color w:val="auto"/>
              </w:rPr>
              <w:t>Estimated goodwill (b) - (a)</w:t>
            </w:r>
          </w:p>
        </w:tc>
        <w:tc>
          <w:tcPr>
            <w:tcW w:w="2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585,231</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rPr>
              <w:t>(ix)</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80" w:right="40" w:hanging="488"/>
        <w:spacing w:after="0" w:line="266" w:lineRule="auto"/>
        <w:tabs>
          <w:tab w:leader="none" w:pos="7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6"/>
          <w:szCs w:val="16"/>
          <w:color w:val="auto"/>
        </w:rPr>
        <w:t>The provisional identifiable intangible assets consist of purchased technology, customer relationships, IPR&amp;D, and trademarks. Estimated fair values are preliminary and are based on valuation methodologies including the multi period excess earnings method, the relief from royalty method, or a cost approach. The final fair value determination for identifiable intangibles may differ from this preliminary determination.</w:t>
      </w:r>
    </w:p>
    <w:p>
      <w:pPr>
        <w:spacing w:after="0" w:line="11" w:lineRule="exact"/>
        <w:rPr>
          <w:rFonts w:ascii="Arial" w:cs="Arial" w:eastAsia="Arial" w:hAnsi="Arial"/>
          <w:sz w:val="18"/>
          <w:szCs w:val="18"/>
          <w:b w:val="1"/>
          <w:bCs w:val="1"/>
          <w:i w:val="1"/>
          <w:iCs w:val="1"/>
          <w:color w:val="auto"/>
        </w:rPr>
      </w:pPr>
    </w:p>
    <w:p>
      <w:pPr>
        <w:ind w:left="780" w:right="140" w:hanging="488"/>
        <w:spacing w:after="0" w:line="259" w:lineRule="auto"/>
        <w:tabs>
          <w:tab w:leader="none" w:pos="7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6"/>
          <w:szCs w:val="16"/>
          <w:color w:val="auto"/>
        </w:rPr>
        <w:t>The provisional purchase price allocation includes estimated fair value adjustments to unearned revenue and deferred cost of revenue as of September 30, 2017. The final fair value determination for identifiable assets and liabilities may differ from this preliminary determination.</w:t>
      </w:r>
    </w:p>
    <w:p>
      <w:pPr>
        <w:spacing w:after="0" w:line="10" w:lineRule="exact"/>
        <w:rPr>
          <w:rFonts w:ascii="Arial" w:cs="Arial" w:eastAsia="Arial" w:hAnsi="Arial"/>
          <w:sz w:val="18"/>
          <w:szCs w:val="18"/>
          <w:b w:val="1"/>
          <w:bCs w:val="1"/>
          <w:i w:val="1"/>
          <w:iCs w:val="1"/>
          <w:color w:val="auto"/>
        </w:rPr>
      </w:pPr>
    </w:p>
    <w:p>
      <w:pPr>
        <w:ind w:left="780" w:right="40" w:hanging="488"/>
        <w:spacing w:after="0" w:line="259" w:lineRule="auto"/>
        <w:tabs>
          <w:tab w:leader="none" w:pos="7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6"/>
          <w:szCs w:val="16"/>
          <w:color w:val="auto"/>
        </w:rPr>
        <w:t>The provisional purchase price allocation includes estimated fair value adjustments related to the balance of deferred rent expense as of September 30, 2017. The final fair value determination for identifiable assets and liabilities may differ from this preliminary determination.</w:t>
      </w:r>
    </w:p>
    <w:p>
      <w:pPr>
        <w:spacing w:after="0" w:line="10" w:lineRule="exact"/>
        <w:rPr>
          <w:rFonts w:ascii="Arial" w:cs="Arial" w:eastAsia="Arial" w:hAnsi="Arial"/>
          <w:sz w:val="18"/>
          <w:szCs w:val="18"/>
          <w:b w:val="1"/>
          <w:bCs w:val="1"/>
          <w:i w:val="1"/>
          <w:iCs w:val="1"/>
          <w:color w:val="auto"/>
        </w:rPr>
      </w:pPr>
    </w:p>
    <w:p>
      <w:pPr>
        <w:ind w:left="780" w:hanging="488"/>
        <w:spacing w:after="0" w:line="290" w:lineRule="auto"/>
        <w:tabs>
          <w:tab w:leader="none" w:pos="78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5"/>
          <w:szCs w:val="15"/>
          <w:color w:val="auto"/>
        </w:rPr>
        <w:t>Reflects the total net deferred income tax liabilities resulting from the pro forma provisional estimated fair value adjustments for the assets and liabilities to be acquired in the SSNI Acquisition based on Itron’s overall corporate blended statutory tax rate of 38.6%. The adjustment also includes the release of the valuation allowance for federal and certain state deferred tax assets, which are expected to be realizable. These estimates are preliminary and adjustments to established deferred tax assets and liabilities could change due to changes in the estimates of the provisional estimated fair values of assets acquired and liabilities assumed in conjunction with the finalization of the acquisition accounting, could result in changes to these estimates which could be material.</w:t>
      </w:r>
    </w:p>
    <w:p>
      <w:pPr>
        <w:spacing w:after="0" w:line="10" w:lineRule="exact"/>
        <w:rPr>
          <w:rFonts w:ascii="Arial" w:cs="Arial" w:eastAsia="Arial" w:hAnsi="Arial"/>
          <w:sz w:val="17"/>
          <w:szCs w:val="17"/>
          <w:b w:val="1"/>
          <w:bCs w:val="1"/>
          <w:i w:val="1"/>
          <w:iCs w:val="1"/>
          <w:color w:val="auto"/>
        </w:rPr>
      </w:pPr>
    </w:p>
    <w:p>
      <w:pPr>
        <w:ind w:left="780" w:right="120" w:hanging="488"/>
        <w:spacing w:after="0" w:line="281" w:lineRule="auto"/>
        <w:tabs>
          <w:tab w:leader="none" w:pos="7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6"/>
          <w:szCs w:val="16"/>
          <w:color w:val="auto"/>
        </w:rPr>
        <w:t>The provisional purchase price allocation includes estimated fair value adjustments related to the balance of inventories as of September 30, 2017. The final fair value determination for identifiable assets and liabilities may differ from this preliminary determination.</w:t>
      </w:r>
    </w:p>
    <w:p>
      <w:pPr>
        <w:spacing w:after="0" w:line="163" w:lineRule="exact"/>
        <w:rPr>
          <w:rFonts w:ascii="Arial" w:cs="Arial" w:eastAsia="Arial" w:hAnsi="Arial"/>
          <w:sz w:val="18"/>
          <w:szCs w:val="18"/>
          <w:b w:val="1"/>
          <w:bCs w:val="1"/>
          <w:i w:val="1"/>
          <w:iCs w:val="1"/>
          <w:color w:val="auto"/>
        </w:rPr>
      </w:pPr>
    </w:p>
    <w:p>
      <w:pPr>
        <w:ind w:left="780" w:right="80" w:hanging="488"/>
        <w:spacing w:after="0" w:line="281" w:lineRule="auto"/>
        <w:tabs>
          <w:tab w:leader="none" w:pos="7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6"/>
          <w:szCs w:val="16"/>
          <w:color w:val="auto"/>
        </w:rPr>
        <w:t>Goodwill is calculated as the difference between the fair value of consideration transferred and the fair values assigned to the identifiable tangible and intangible assets acquired and liabilities assumed.</w:t>
      </w:r>
    </w:p>
    <w:p>
      <w:pPr>
        <w:sectPr>
          <w:pgSz w:w="11900" w:h="16838" w:orient="portrait"/>
          <w:cols w:equalWidth="0" w:num="1">
            <w:col w:w="11280"/>
          </w:cols>
          <w:pgMar w:left="280" w:top="74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Note 4. Unaudited Pro Forma Condensed Combined Balance Sheet Adjustments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pro forma adjustments included in this unaudited pro forma condensed combined financial information relates to the SSNI Acquisition, including the Financing.</w:t>
      </w:r>
    </w:p>
    <w:p>
      <w:pPr>
        <w:spacing w:after="0" w:line="184" w:lineRule="exact"/>
        <w:rPr>
          <w:sz w:val="20"/>
          <w:szCs w:val="20"/>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record the cash portion of the estimated total consideration payable to SSNI stockholders based on the number of shares of SSNI common stock outstanding prior to the closing date of the SSNI Acquisition as detailed in Note 3.</w:t>
      </w:r>
    </w:p>
    <w:p>
      <w:pPr>
        <w:spacing w:after="0" w:line="170" w:lineRule="exact"/>
        <w:rPr>
          <w:rFonts w:ascii="Arial" w:cs="Arial" w:eastAsia="Arial" w:hAnsi="Arial"/>
          <w:sz w:val="18"/>
          <w:szCs w:val="18"/>
          <w:color w:val="auto"/>
        </w:rPr>
      </w:pPr>
    </w:p>
    <w:p>
      <w:pPr>
        <w:ind w:left="660" w:right="120"/>
        <w:spacing w:after="0" w:line="256" w:lineRule="auto"/>
        <w:rPr>
          <w:rFonts w:ascii="Arial" w:cs="Arial" w:eastAsia="Arial" w:hAnsi="Arial"/>
          <w:sz w:val="18"/>
          <w:szCs w:val="18"/>
          <w:color w:val="auto"/>
        </w:rPr>
      </w:pPr>
      <w:r>
        <w:rPr>
          <w:rFonts w:ascii="Arial" w:cs="Arial" w:eastAsia="Arial" w:hAnsi="Arial"/>
          <w:sz w:val="18"/>
          <w:szCs w:val="18"/>
          <w:color w:val="auto"/>
        </w:rPr>
        <w:t>Adjustment also reflects a reduction of $5.7 million to Cash and cash equivalents and to Other current liabilities related to transaction fees recorded in the historical balance sheet for Itron and SSNI. Adjustment also reflects a reduction of $66.8 million to Cash and cash equivalents related to additional transaction fees incurred.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record fair value adjustments to inventories for the provisional purchase price allocation as detailed in Note 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record fair value adjustments to unearned revenue and deferred cost of revenue for the provisional purchase price allocation as detailed in Note 3.</w:t>
      </w:r>
    </w:p>
    <w:p>
      <w:pPr>
        <w:spacing w:after="0" w:line="32" w:lineRule="exact"/>
        <w:rPr>
          <w:rFonts w:ascii="Arial" w:cs="Arial" w:eastAsia="Arial" w:hAnsi="Arial"/>
          <w:sz w:val="16"/>
          <w:szCs w:val="16"/>
          <w:color w:val="auto"/>
        </w:rPr>
      </w:pPr>
    </w:p>
    <w:p>
      <w:pPr>
        <w:jc w:val="both"/>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record the estimated fair value of identifiable intangible assets for the purchase price allocation as detailed in Note 3. The pro forma adjustment is net of the elimination of historical SSNI intangible assets of $1.7 million. Refer to Note 5(H) below for details related to the amortization expense of the intangible assets.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record the estimated goodwill created as a result of this transaction as detailed in Note 3. The pro forma adjustment is net of the elimination of historical SSNI goodwill of $8.8 million. The goodwill will not be amortized, rather it will be tested for impairment at least annually and whenever events or circumstances have occurred that may indicate that a potential impairment exists. In the event that management determines that an impairment exists, Itron will incur an accounting charge for the amount of the impairment in the period in which the determination is made. The change in goodwill is not expected to be deductible for tax purposes.</w:t>
      </w:r>
    </w:p>
    <w:p>
      <w:pPr>
        <w:spacing w:after="0" w:line="2"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record the tax effects of fair value adjustments resulting from the provisional purchase price allocation detailed in Note 3. Adjustments are based on the estimated blended federal and statutory tax rate in effect for the period of 38.6%.</w:t>
      </w:r>
    </w:p>
    <w:p>
      <w:pPr>
        <w:spacing w:after="0" w:line="183" w:lineRule="exact"/>
        <w:rPr>
          <w:rFonts w:ascii="Arial" w:cs="Arial" w:eastAsia="Arial" w:hAnsi="Arial"/>
          <w:sz w:val="18"/>
          <w:szCs w:val="18"/>
          <w:color w:val="auto"/>
        </w:rPr>
      </w:pPr>
    </w:p>
    <w:p>
      <w:pPr>
        <w:ind w:left="660" w:right="120"/>
        <w:spacing w:after="0" w:line="257" w:lineRule="auto"/>
        <w:rPr>
          <w:rFonts w:ascii="Arial" w:cs="Arial" w:eastAsia="Arial" w:hAnsi="Arial"/>
          <w:sz w:val="18"/>
          <w:szCs w:val="18"/>
          <w:color w:val="auto"/>
        </w:rPr>
      </w:pPr>
      <w:r>
        <w:rPr>
          <w:rFonts w:ascii="Arial" w:cs="Arial" w:eastAsia="Arial" w:hAnsi="Arial"/>
          <w:sz w:val="18"/>
          <w:szCs w:val="18"/>
          <w:color w:val="auto"/>
        </w:rPr>
        <w:t>The historical SSNI balance sheet also includes a valuation allowance on substantially all of its net deferred tax assets. The pro forma adjustments also reflect a reduction to the valuation allowance on federal and certain state deferred tax balances of $134.1 million as of September 30, 2017, which as a result of the business combination are more likely than not to be realized. The final reduction to the valuation allowance will differ from the pro forma adjustment due to changes in the enacted tax rate and the other changes to the deferred tax balances between September 30, 2017 and the close of the transaction on January 5, 2018.</w:t>
      </w:r>
    </w:p>
    <w:p>
      <w:pPr>
        <w:spacing w:after="0" w:line="188"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record the adjustment to eliminate SSNI’s historical equity balances. The pro forma adjustment also includes an adjustment of $6.7 million for purchase consideration related to the fair value of replacement equity awards attributable to pre-acquisition service as detailed in Note 3.</w:t>
      </w:r>
    </w:p>
    <w:p>
      <w:pPr>
        <w:spacing w:after="0" w:line="1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Adjustment also includes a reduction to Accumulated deficit of $66.8 million related to additional transaction fees incurred.</w:t>
      </w:r>
    </w:p>
    <w:p>
      <w:pPr>
        <w:sectPr>
          <w:pgSz w:w="11900" w:h="16838" w:orient="portrait"/>
          <w:cols w:equalWidth="0" w:num="1">
            <w:col w:w="11400"/>
          </w:cols>
          <w:pgMar w:left="240" w:top="584" w:right="259" w:bottom="1440" w:gutter="0" w:footer="0" w:header="0"/>
        </w:sectPr>
      </w:pPr>
    </w:p>
    <w:bookmarkStart w:id="16" w:name="page17"/>
    <w:bookmarkEnd w:id="16"/>
    <w:p>
      <w:pPr>
        <w:ind w:right="300" w:hanging="323"/>
        <w:spacing w:after="0" w:line="277" w:lineRule="auto"/>
        <w:rPr>
          <w:sz w:val="20"/>
          <w:szCs w:val="20"/>
          <w:color w:val="auto"/>
        </w:rPr>
      </w:pPr>
      <w:r>
        <w:rPr>
          <w:rFonts w:ascii="Arial" w:cs="Arial" w:eastAsia="Arial" w:hAnsi="Arial"/>
          <w:sz w:val="18"/>
          <w:szCs w:val="18"/>
          <w:color w:val="auto"/>
        </w:rPr>
        <w:t>H.To record the net effects of the Financing, including cash received from the Revolving Credit Facility, Term Loan and Notes, net of related fees and expenses, less funds used to repay the existing term loan.</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Long-term debt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Cash and cash</w:t>
            </w: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Other long-term</w:t>
            </w:r>
          </w:p>
        </w:tc>
        <w:tc>
          <w:tcPr>
            <w:tcW w:w="1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8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equivalents</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8"/>
              </w:rPr>
              <w:t>assets</w:t>
            </w:r>
          </w:p>
        </w:tc>
        <w:tc>
          <w:tcPr>
            <w:tcW w:w="1720" w:type="dxa"/>
            <w:vAlign w:val="bottom"/>
          </w:tcPr>
          <w:p>
            <w:pPr>
              <w:jc w:val="right"/>
              <w:ind w:right="530"/>
              <w:spacing w:after="0"/>
              <w:rPr>
                <w:sz w:val="20"/>
                <w:szCs w:val="20"/>
                <w:color w:val="auto"/>
              </w:rPr>
            </w:pPr>
            <w:r>
              <w:rPr>
                <w:rFonts w:ascii="Arial" w:cs="Arial" w:eastAsia="Arial" w:hAnsi="Arial"/>
                <w:sz w:val="18"/>
                <w:szCs w:val="18"/>
                <w:b w:val="1"/>
                <w:bCs w:val="1"/>
                <w:color w:val="auto"/>
              </w:rPr>
              <w:t>Current</w:t>
            </w: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Non-current</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Arial" w:cs="Arial" w:eastAsia="Arial" w:hAnsi="Arial"/>
                <w:sz w:val="18"/>
                <w:szCs w:val="18"/>
                <w:color w:val="auto"/>
              </w:rPr>
              <w:t>Revolving Credit Facility proceeds</w:t>
            </w: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1620" w:type="dxa"/>
            <w:vAlign w:val="bottom"/>
            <w:vMerge w:val="restart"/>
          </w:tcPr>
          <w:p>
            <w:pPr>
              <w:jc w:val="right"/>
              <w:ind w:right="10"/>
              <w:spacing w:after="0"/>
              <w:rPr>
                <w:sz w:val="20"/>
                <w:szCs w:val="20"/>
                <w:color w:val="auto"/>
              </w:rPr>
            </w:pPr>
            <w:r>
              <w:rPr>
                <w:rFonts w:ascii="Arial" w:cs="Arial" w:eastAsia="Arial" w:hAnsi="Arial"/>
                <w:sz w:val="18"/>
                <w:szCs w:val="18"/>
                <w:color w:val="auto"/>
              </w:rPr>
              <w:t>236,380</w:t>
            </w:r>
          </w:p>
        </w:tc>
        <w:tc>
          <w:tcPr>
            <w:tcW w:w="120" w:type="dxa"/>
            <w:vAlign w:val="bottom"/>
          </w:tcPr>
          <w:p>
            <w:pPr>
              <w:spacing w:after="0"/>
              <w:rPr>
                <w:sz w:val="19"/>
                <w:szCs w:val="19"/>
                <w:color w:val="auto"/>
              </w:rPr>
            </w:pPr>
          </w:p>
        </w:tc>
        <w:tc>
          <w:tcPr>
            <w:tcW w:w="17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color w:val="auto"/>
              </w:rPr>
              <w:t>236,380</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Term Loan proceeds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23"/>
                <w:szCs w:val="23"/>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12,188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637,812</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Notes proceeds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3"/>
                <w:szCs w:val="23"/>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3"/>
              </w:rPr>
              <w:t>Less: Fees and expenses related to financing activities</w:t>
            </w:r>
          </w:p>
        </w:tc>
        <w:tc>
          <w:tcPr>
            <w:tcW w:w="1620" w:type="dxa"/>
            <w:vAlign w:val="bottom"/>
          </w:tcPr>
          <w:p>
            <w:pPr>
              <w:jc w:val="right"/>
              <w:spacing w:after="0"/>
              <w:rPr>
                <w:sz w:val="20"/>
                <w:szCs w:val="20"/>
                <w:color w:val="auto"/>
              </w:rPr>
            </w:pPr>
            <w:r>
              <w:rPr>
                <w:rFonts w:ascii="Arial" w:cs="Arial" w:eastAsia="Arial" w:hAnsi="Arial"/>
                <w:sz w:val="18"/>
                <w:szCs w:val="18"/>
                <w:color w:val="auto"/>
              </w:rPr>
              <w:t>(28,446)</w:t>
            </w:r>
          </w:p>
        </w:tc>
        <w:tc>
          <w:tcPr>
            <w:tcW w:w="1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11,083</w:t>
            </w:r>
          </w:p>
        </w:tc>
        <w:tc>
          <w:tcPr>
            <w:tcW w:w="120" w:type="dxa"/>
            <w:vAlign w:val="bottom"/>
          </w:tcPr>
          <w:p>
            <w:pPr>
              <w:spacing w:after="0"/>
              <w:rPr>
                <w:sz w:val="23"/>
                <w:szCs w:val="23"/>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(17,363)</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Less: Payoff of existing term loan</w:t>
            </w:r>
          </w:p>
        </w:tc>
        <w:tc>
          <w:tcPr>
            <w:tcW w:w="1620" w:type="dxa"/>
            <w:vAlign w:val="bottom"/>
          </w:tcPr>
          <w:p>
            <w:pPr>
              <w:jc w:val="right"/>
              <w:spacing w:after="0"/>
              <w:rPr>
                <w:sz w:val="20"/>
                <w:szCs w:val="20"/>
                <w:color w:val="auto"/>
              </w:rPr>
            </w:pPr>
            <w:r>
              <w:rPr>
                <w:rFonts w:ascii="Arial" w:cs="Arial" w:eastAsia="Arial" w:hAnsi="Arial"/>
                <w:sz w:val="18"/>
                <w:szCs w:val="18"/>
                <w:color w:val="auto"/>
              </w:rPr>
              <w:t>(322,804)</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3"/>
                <w:szCs w:val="23"/>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(18,281)</w:t>
            </w:r>
          </w:p>
        </w:tc>
        <w:tc>
          <w:tcPr>
            <w:tcW w:w="1460" w:type="dxa"/>
            <w:vAlign w:val="bottom"/>
          </w:tcPr>
          <w:p>
            <w:pPr>
              <w:jc w:val="right"/>
              <w:spacing w:after="0"/>
              <w:rPr>
                <w:sz w:val="20"/>
                <w:szCs w:val="20"/>
                <w:color w:val="auto"/>
              </w:rPr>
            </w:pPr>
            <w:r>
              <w:rPr>
                <w:rFonts w:ascii="Arial" w:cs="Arial" w:eastAsia="Arial" w:hAnsi="Arial"/>
                <w:sz w:val="18"/>
                <w:szCs w:val="18"/>
                <w:color w:val="auto"/>
              </w:rPr>
              <w:t>(303,949)</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Financing adjustment to Cash and cash</w:t>
            </w: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80" w:type="dxa"/>
            <w:vAlign w:val="bottom"/>
          </w:tcPr>
          <w:p>
            <w:pPr>
              <w:ind w:left="220"/>
              <w:spacing w:after="0"/>
              <w:rPr>
                <w:sz w:val="20"/>
                <w:szCs w:val="20"/>
                <w:color w:val="auto"/>
              </w:rPr>
            </w:pPr>
            <w:r>
              <w:rPr>
                <w:rFonts w:ascii="Arial" w:cs="Arial" w:eastAsia="Arial" w:hAnsi="Arial"/>
                <w:sz w:val="18"/>
                <w:szCs w:val="18"/>
                <w:b w:val="1"/>
                <w:bCs w:val="1"/>
                <w:color w:val="auto"/>
              </w:rPr>
              <w:t>equivalents, Long-term debt - current</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80" w:type="dxa"/>
            <w:vAlign w:val="bottom"/>
          </w:tcPr>
          <w:p>
            <w:pPr>
              <w:ind w:left="220"/>
              <w:spacing w:after="0"/>
              <w:rPr>
                <w:sz w:val="20"/>
                <w:szCs w:val="20"/>
                <w:color w:val="auto"/>
              </w:rPr>
            </w:pPr>
            <w:r>
              <w:rPr>
                <w:rFonts w:ascii="Arial" w:cs="Arial" w:eastAsia="Arial" w:hAnsi="Arial"/>
                <w:sz w:val="18"/>
                <w:szCs w:val="18"/>
                <w:b w:val="1"/>
                <w:bCs w:val="1"/>
                <w:color w:val="auto"/>
              </w:rPr>
              <w:t>portion and Long-term debt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835,130</w:t>
            </w:r>
          </w:p>
        </w:tc>
        <w:tc>
          <w:tcPr>
            <w:tcW w:w="120" w:type="dxa"/>
            <w:vAlign w:val="bottom"/>
          </w:tcPr>
          <w:p>
            <w:pPr>
              <w:spacing w:after="0"/>
              <w:rPr>
                <w:sz w:val="24"/>
                <w:szCs w:val="24"/>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9,194</w:t>
            </w:r>
          </w:p>
        </w:tc>
        <w:tc>
          <w:tcPr>
            <w:tcW w:w="120" w:type="dxa"/>
            <w:vAlign w:val="bottom"/>
          </w:tcPr>
          <w:p>
            <w:pPr>
              <w:spacing w:after="0"/>
              <w:rPr>
                <w:sz w:val="24"/>
                <w:szCs w:val="24"/>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(6,093)</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852,880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reduction in Cash and cash equivalents is greater than the net reduction to Other long-term assets and Long-term debt by approximately $2.5 million. The difference is attributable to the balance of unamortized debt issuance costs for existing long-term debt, which has been recorded as a pro forma adjustment to Accumulated deficit.</w:t>
      </w:r>
    </w:p>
    <w:p>
      <w:pPr>
        <w:spacing w:after="0"/>
        <w:rPr>
          <w:sz w:val="20"/>
          <w:szCs w:val="20"/>
          <w:color w:val="auto"/>
        </w:rPr>
      </w:pPr>
      <w:r>
        <w:rPr>
          <w:rFonts w:ascii="Arial" w:cs="Arial" w:eastAsia="Arial" w:hAnsi="Arial"/>
          <w:sz w:val="18"/>
          <w:szCs w:val="18"/>
          <w:color w:val="auto"/>
        </w:rPr>
        <w:t>Refer to Note 5(I) below for details related to the estimated adjustments to interest expense.</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Adjustment also reflects the proceeds from the sale of Short-term investments of $67.3 million. To facilitate the SSNI Acquisition, Short-term investments held by SSNI were sold prior to closing. The amount of the adjustment was based on the total balance of Short-term investments as of September 30, 2017.</w:t>
      </w:r>
    </w:p>
    <w:p>
      <w:pPr>
        <w:sectPr>
          <w:pgSz w:w="11900" w:h="16838" w:orient="portrait"/>
          <w:cols w:equalWidth="0" w:num="1">
            <w:col w:w="10760"/>
          </w:cols>
          <w:pgMar w:left="90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Note 5. Unaudited Pro Forma Condensed Combined Statement of Operations Adjustments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preliminary pro forma adjustments included in this unaudited pro forma condensed combined financial information relates to the SSNI Acquisition, including the Financing.</w:t>
      </w:r>
    </w:p>
    <w:p>
      <w:pPr>
        <w:spacing w:after="0" w:line="184" w:lineRule="exact"/>
        <w:rPr>
          <w:sz w:val="20"/>
          <w:szCs w:val="20"/>
          <w:color w:val="auto"/>
        </w:rPr>
      </w:pPr>
    </w:p>
    <w:p>
      <w:pPr>
        <w:ind w:left="660" w:right="20" w:hanging="328"/>
        <w:spacing w:after="0" w:line="257" w:lineRule="auto"/>
        <w:tabs>
          <w:tab w:leader="none" w:pos="61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record incremental amortization expense associated with the provisional fair value step-up of definite lived intangible assets. The intangible assets are being amortized on the basis of discounted expected future cash flows during the period as a proportion of fair value. We estimated the useful life of intangible assets, which included customer relationships, developed technology, and the trade name. Estimated useful lives for these intangible assets range between three and 10 years. The following table summarizes the pro forma adjustment to amortization of intangible assets (in thousands):</w:t>
      </w:r>
    </w:p>
    <w:p>
      <w:pPr>
        <w:spacing w:after="0" w:line="130"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4840" w:type="dxa"/>
            <w:vAlign w:val="bottom"/>
          </w:tcPr>
          <w:p>
            <w:pPr>
              <w:spacing w:after="0"/>
              <w:rPr>
                <w:sz w:val="20"/>
                <w:szCs w:val="20"/>
                <w:color w:val="auto"/>
              </w:rPr>
            </w:pPr>
          </w:p>
        </w:tc>
        <w:tc>
          <w:tcPr>
            <w:tcW w:w="222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Year ended December 31,</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0"/>
        </w:trPr>
        <w:tc>
          <w:tcPr>
            <w:tcW w:w="4840" w:type="dxa"/>
            <w:vAlign w:val="bottom"/>
          </w:tcPr>
          <w:p>
            <w:pPr>
              <w:spacing w:after="0"/>
              <w:rPr>
                <w:sz w:val="23"/>
                <w:szCs w:val="23"/>
                <w:color w:val="auto"/>
              </w:rPr>
            </w:pPr>
          </w:p>
        </w:tc>
        <w:tc>
          <w:tcPr>
            <w:tcW w:w="21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84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561"/>
        </w:trPr>
        <w:tc>
          <w:tcPr>
            <w:tcW w:w="4840" w:type="dxa"/>
            <w:vAlign w:val="bottom"/>
          </w:tcPr>
          <w:p>
            <w:pPr>
              <w:spacing w:after="0"/>
              <w:rPr>
                <w:sz w:val="20"/>
                <w:szCs w:val="20"/>
                <w:color w:val="auto"/>
              </w:rPr>
            </w:pPr>
            <w:r>
              <w:rPr>
                <w:rFonts w:ascii="Arial" w:cs="Arial" w:eastAsia="Arial" w:hAnsi="Arial"/>
                <w:sz w:val="18"/>
                <w:szCs w:val="18"/>
                <w:color w:val="auto"/>
              </w:rPr>
              <w:t>Provisional estimated amortization expense</w:t>
            </w:r>
          </w:p>
        </w:tc>
        <w:tc>
          <w:tcPr>
            <w:tcW w:w="2100" w:type="dxa"/>
            <w:vAlign w:val="bottom"/>
          </w:tcPr>
          <w:p>
            <w:pPr>
              <w:jc w:val="right"/>
              <w:spacing w:after="0"/>
              <w:rPr>
                <w:sz w:val="20"/>
                <w:szCs w:val="20"/>
                <w:color w:val="auto"/>
              </w:rPr>
            </w:pPr>
            <w:r>
              <w:rPr>
                <w:rFonts w:ascii="Arial" w:cs="Arial" w:eastAsia="Arial" w:hAnsi="Arial"/>
                <w:sz w:val="18"/>
                <w:szCs w:val="18"/>
                <w:color w:val="auto"/>
              </w:rPr>
              <w:t>47,288</w:t>
            </w:r>
          </w:p>
        </w:tc>
        <w:tc>
          <w:tcPr>
            <w:tcW w:w="120" w:type="dxa"/>
            <w:vAlign w:val="bottom"/>
          </w:tcPr>
          <w:p>
            <w:pPr>
              <w:spacing w:after="0"/>
              <w:rPr>
                <w:sz w:val="24"/>
                <w:szCs w:val="24"/>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33,373</w:t>
            </w:r>
          </w:p>
        </w:tc>
      </w:tr>
      <w:tr>
        <w:trPr>
          <w:trHeight w:val="270"/>
        </w:trPr>
        <w:tc>
          <w:tcPr>
            <w:tcW w:w="4840" w:type="dxa"/>
            <w:vAlign w:val="bottom"/>
          </w:tcPr>
          <w:p>
            <w:pPr>
              <w:spacing w:after="0"/>
              <w:rPr>
                <w:sz w:val="20"/>
                <w:szCs w:val="20"/>
                <w:color w:val="auto"/>
              </w:rPr>
            </w:pPr>
            <w:r>
              <w:rPr>
                <w:rFonts w:ascii="Arial" w:cs="Arial" w:eastAsia="Arial" w:hAnsi="Arial"/>
                <w:sz w:val="18"/>
                <w:szCs w:val="18"/>
                <w:color w:val="auto"/>
              </w:rPr>
              <w:t>Less: Historical SSNI amortization expense</w:t>
            </w:r>
          </w:p>
        </w:tc>
        <w:tc>
          <w:tcPr>
            <w:tcW w:w="210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7"/>
        </w:trPr>
        <w:tc>
          <w:tcPr>
            <w:tcW w:w="484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b w:val="1"/>
                <w:bCs w:val="1"/>
                <w:color w:val="auto"/>
              </w:rPr>
              <w:t>Pro forma adjustment to amortization expense</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46,107</w:t>
            </w:r>
          </w:p>
        </w:tc>
        <w:tc>
          <w:tcPr>
            <w:tcW w:w="120" w:type="dxa"/>
            <w:vAlign w:val="bottom"/>
          </w:tcPr>
          <w:p>
            <w:pPr>
              <w:spacing w:after="0"/>
              <w:rPr>
                <w:sz w:val="22"/>
                <w:szCs w:val="22"/>
                <w:color w:val="auto"/>
              </w:rPr>
            </w:pP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32,796</w:t>
            </w:r>
          </w:p>
        </w:tc>
      </w:tr>
      <w:tr>
        <w:trPr>
          <w:trHeight w:val="20"/>
        </w:trPr>
        <w:tc>
          <w:tcPr>
            <w:tcW w:w="48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1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record adjustment for incremental interest expense resulting from interest on the portion of the incremental term loans used to finance the SSNI Acquisition and the amortization of related debt issuance costs, partially offset by the elimination of interest on financing repaid in connection with the SSNI Acquisition, as follows (in thousands):</w:t>
      </w:r>
    </w:p>
    <w:p>
      <w:pPr>
        <w:spacing w:after="0" w:line="123"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5140" w:type="dxa"/>
            <w:vAlign w:val="bottom"/>
          </w:tcPr>
          <w:p>
            <w:pPr>
              <w:spacing w:after="0"/>
              <w:rPr>
                <w:sz w:val="20"/>
                <w:szCs w:val="20"/>
                <w:color w:val="auto"/>
              </w:rPr>
            </w:pPr>
          </w:p>
        </w:tc>
        <w:tc>
          <w:tcPr>
            <w:tcW w:w="234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Year ended December 31,</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0"/>
        </w:trPr>
        <w:tc>
          <w:tcPr>
            <w:tcW w:w="5140" w:type="dxa"/>
            <w:vAlign w:val="bottom"/>
          </w:tcPr>
          <w:p>
            <w:pPr>
              <w:spacing w:after="0"/>
              <w:rPr>
                <w:sz w:val="23"/>
                <w:szCs w:val="23"/>
                <w:color w:val="auto"/>
              </w:rPr>
            </w:pPr>
          </w:p>
        </w:tc>
        <w:tc>
          <w:tcPr>
            <w:tcW w:w="2220" w:type="dxa"/>
            <w:vAlign w:val="bottom"/>
          </w:tcPr>
          <w:p>
            <w:pPr>
              <w:jc w:val="right"/>
              <w:ind w:right="8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1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561"/>
        </w:trPr>
        <w:tc>
          <w:tcPr>
            <w:tcW w:w="5140" w:type="dxa"/>
            <w:vAlign w:val="bottom"/>
          </w:tcPr>
          <w:p>
            <w:pPr>
              <w:spacing w:after="0"/>
              <w:rPr>
                <w:sz w:val="20"/>
                <w:szCs w:val="20"/>
                <w:color w:val="auto"/>
              </w:rPr>
            </w:pPr>
            <w:r>
              <w:rPr>
                <w:rFonts w:ascii="Arial" w:cs="Arial" w:eastAsia="Arial" w:hAnsi="Arial"/>
                <w:sz w:val="18"/>
                <w:szCs w:val="18"/>
                <w:color w:val="auto"/>
              </w:rPr>
              <w:t>Interest expense on incremental long-term debt</w:t>
            </w:r>
          </w:p>
        </w:tc>
        <w:tc>
          <w:tcPr>
            <w:tcW w:w="2220" w:type="dxa"/>
            <w:vAlign w:val="bottom"/>
          </w:tcPr>
          <w:p>
            <w:pPr>
              <w:jc w:val="right"/>
              <w:spacing w:after="0"/>
              <w:rPr>
                <w:sz w:val="20"/>
                <w:szCs w:val="20"/>
                <w:color w:val="auto"/>
              </w:rPr>
            </w:pPr>
            <w:r>
              <w:rPr>
                <w:rFonts w:ascii="Arial" w:cs="Arial" w:eastAsia="Arial" w:hAnsi="Arial"/>
                <w:sz w:val="18"/>
                <w:szCs w:val="18"/>
                <w:color w:val="auto"/>
              </w:rPr>
              <w:t>46,401</w:t>
            </w:r>
          </w:p>
        </w:tc>
        <w:tc>
          <w:tcPr>
            <w:tcW w:w="120" w:type="dxa"/>
            <w:vAlign w:val="bottom"/>
          </w:tcPr>
          <w:p>
            <w:pPr>
              <w:spacing w:after="0"/>
              <w:rPr>
                <w:sz w:val="24"/>
                <w:szCs w:val="24"/>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34,412</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Amortization of debt issuance costs related to</w:t>
            </w:r>
          </w:p>
        </w:tc>
        <w:tc>
          <w:tcPr>
            <w:tcW w:w="2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70"/>
        </w:trPr>
        <w:tc>
          <w:tcPr>
            <w:tcW w:w="5140" w:type="dxa"/>
            <w:vAlign w:val="bottom"/>
          </w:tcPr>
          <w:p>
            <w:pPr>
              <w:ind w:left="80"/>
              <w:spacing w:after="0"/>
              <w:rPr>
                <w:sz w:val="20"/>
                <w:szCs w:val="20"/>
                <w:color w:val="auto"/>
              </w:rPr>
            </w:pPr>
            <w:r>
              <w:rPr>
                <w:rFonts w:ascii="Arial" w:cs="Arial" w:eastAsia="Arial" w:hAnsi="Arial"/>
                <w:sz w:val="18"/>
                <w:szCs w:val="18"/>
                <w:color w:val="auto"/>
              </w:rPr>
              <w:t>incremental commitment</w:t>
            </w:r>
          </w:p>
        </w:tc>
        <w:tc>
          <w:tcPr>
            <w:tcW w:w="2220" w:type="dxa"/>
            <w:vAlign w:val="bottom"/>
          </w:tcPr>
          <w:p>
            <w:pPr>
              <w:jc w:val="right"/>
              <w:spacing w:after="0"/>
              <w:rPr>
                <w:sz w:val="20"/>
                <w:szCs w:val="20"/>
                <w:color w:val="auto"/>
              </w:rPr>
            </w:pPr>
            <w:r>
              <w:rPr>
                <w:rFonts w:ascii="Arial" w:cs="Arial" w:eastAsia="Arial" w:hAnsi="Arial"/>
                <w:sz w:val="18"/>
                <w:szCs w:val="18"/>
                <w:color w:val="auto"/>
              </w:rPr>
              <w:t>3,989</w:t>
            </w:r>
          </w:p>
        </w:tc>
        <w:tc>
          <w:tcPr>
            <w:tcW w:w="120" w:type="dxa"/>
            <w:vAlign w:val="bottom"/>
          </w:tcPr>
          <w:p>
            <w:pPr>
              <w:spacing w:after="0"/>
              <w:rPr>
                <w:sz w:val="23"/>
                <w:szCs w:val="23"/>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3,062</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Less: Historical interest expense on extinguished debt</w:t>
            </w:r>
          </w:p>
        </w:tc>
        <w:tc>
          <w:tcPr>
            <w:tcW w:w="2220" w:type="dxa"/>
            <w:vAlign w:val="bottom"/>
          </w:tcPr>
          <w:p>
            <w:pPr>
              <w:jc w:val="right"/>
              <w:spacing w:after="0"/>
              <w:rPr>
                <w:sz w:val="20"/>
                <w:szCs w:val="20"/>
                <w:color w:val="auto"/>
              </w:rPr>
            </w:pPr>
            <w:r>
              <w:rPr>
                <w:rFonts w:ascii="Arial" w:cs="Arial" w:eastAsia="Arial" w:hAnsi="Arial"/>
                <w:sz w:val="18"/>
                <w:szCs w:val="18"/>
                <w:color w:val="auto"/>
              </w:rPr>
              <w:t>(10,084)</w:t>
            </w:r>
          </w:p>
        </w:tc>
        <w:tc>
          <w:tcPr>
            <w:tcW w:w="12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(8,340)</w:t>
            </w:r>
          </w:p>
        </w:tc>
      </w:tr>
      <w:tr>
        <w:trPr>
          <w:trHeight w:val="27"/>
        </w:trPr>
        <w:tc>
          <w:tcPr>
            <w:tcW w:w="51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7"/>
        </w:trPr>
        <w:tc>
          <w:tcPr>
            <w:tcW w:w="5140" w:type="dxa"/>
            <w:vAlign w:val="bottom"/>
          </w:tcPr>
          <w:p>
            <w:pPr>
              <w:spacing w:after="0"/>
              <w:rPr>
                <w:sz w:val="20"/>
                <w:szCs w:val="20"/>
                <w:color w:val="auto"/>
              </w:rPr>
            </w:pPr>
            <w:r>
              <w:rPr>
                <w:rFonts w:ascii="Arial" w:cs="Arial" w:eastAsia="Arial" w:hAnsi="Arial"/>
                <w:sz w:val="18"/>
                <w:szCs w:val="18"/>
                <w:b w:val="1"/>
                <w:bCs w:val="1"/>
                <w:color w:val="auto"/>
              </w:rPr>
              <w:t>Financing adjustment to Interest expense</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40,306</w:t>
            </w:r>
          </w:p>
        </w:tc>
        <w:tc>
          <w:tcPr>
            <w:tcW w:w="120" w:type="dxa"/>
            <w:vAlign w:val="bottom"/>
          </w:tcPr>
          <w:p>
            <w:pPr>
              <w:spacing w:after="0"/>
              <w:rPr>
                <w:sz w:val="22"/>
                <w:szCs w:val="22"/>
                <w:color w:val="auto"/>
              </w:rPr>
            </w:pPr>
          </w:p>
        </w:tc>
        <w:tc>
          <w:tcPr>
            <w:tcW w:w="2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29,134</w:t>
            </w:r>
          </w:p>
        </w:tc>
      </w:tr>
      <w:tr>
        <w:trPr>
          <w:trHeight w:val="20"/>
        </w:trPr>
        <w:tc>
          <w:tcPr>
            <w:tcW w:w="514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record tax effects of pro forma adjustments made to the unaudited pro forma condensed combined statements of operations calculated based on the estimated blended federal and statutory tax rate in effect for the period of 38.6%.</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 tax effect is recorded for the elimination of transaction costs as such amounts are not expected to be tax deductible.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transaction costs related to the SSNI Acquisition.</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Roman"/>
      <w:start w:val="1"/>
    </w:lvl>
  </w:abstractNum>
  <w:abstractNum w:abstractNumId="2">
    <w:nsid w:val="46E87CCD"/>
    <w:multiLevelType w:val="hybridMultilevel"/>
    <w:lvl w:ilvl="0">
      <w:lvlJc w:val="left"/>
      <w:lvlText w:val="(%1)"/>
      <w:numFmt w:val="lowerRoman"/>
      <w:start w:val="4"/>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upperLetter"/>
      <w:start w:val="9"/>
    </w:lvl>
  </w:abstractNum>
  <w:abstractNum w:abstractNumId="5">
    <w:nsid w:val="2EB141F2"/>
    <w:multiLevelType w:val="hybridMultilevel"/>
    <w:lvl w:ilvl="0">
      <w:lvlJc w:val="left"/>
      <w:lvlText w:val="%1."/>
      <w:numFmt w:val="upperLetter"/>
      <w:start w:val="10"/>
    </w:lvl>
  </w:abstractNum>
  <w:abstractNum w:abstractNumId="6">
    <w:nsid w:val="41B71EFB"/>
    <w:multiLevelType w:val="hybridMultilevel"/>
    <w:lvl w:ilvl="0">
      <w:lvlJc w:val="left"/>
      <w:lvlText w:val="%1."/>
      <w:numFmt w:val="upp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Archives/edgar/data/1180079/000156459017003988/ssni-10k_20161231.htm#ITEM_8_FINANCIAL_STATEMENTS_SUPPLEMENTAR" TargetMode="External"/><Relationship Id="rId14" Type="http://schemas.openxmlformats.org/officeDocument/2006/relationships/hyperlink" Target="http://www.sec.gov/Archives/edgar/data/1180079/000156459017023250/ssni-10q_2017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2019-12-28T23:25:43Z</dcterms:created>
  <dcterms:modified xsi:type="dcterms:W3CDTF">2019-12-28T23:25:43Z</dcterms:modified>
</cp:coreProperties>
</file>