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49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4939"/>
        <w:spacing w:after="0"/>
        <w:rPr>
          <w:sz w:val="20"/>
          <w:szCs w:val="20"/>
          <w:color w:val="auto"/>
        </w:rPr>
      </w:pPr>
      <w:r>
        <w:rPr>
          <w:rFonts w:ascii="Courier New" w:cs="Courier New" w:eastAsia="Courier New" w:hAnsi="Courier New"/>
          <w:sz w:val="18"/>
          <w:szCs w:val="18"/>
          <w:color w:val="auto"/>
        </w:rPr>
        <w:t>SCHEDULE 13G</w:t>
      </w:r>
    </w:p>
    <w:p>
      <w:pPr>
        <w:spacing w:after="0" w:line="4" w:lineRule="exact"/>
        <w:rPr>
          <w:sz w:val="24"/>
          <w:szCs w:val="24"/>
          <w:color w:val="auto"/>
        </w:rPr>
      </w:pPr>
    </w:p>
    <w:p>
      <w:pPr>
        <w:jc w:val="center"/>
        <w:ind w:right="4819"/>
        <w:spacing w:after="0"/>
        <w:rPr>
          <w:sz w:val="20"/>
          <w:szCs w:val="20"/>
          <w:color w:val="auto"/>
        </w:rPr>
      </w:pPr>
      <w:r>
        <w:rPr>
          <w:rFonts w:ascii="Courier New" w:cs="Courier New" w:eastAsia="Courier New" w:hAnsi="Courier New"/>
          <w:sz w:val="16"/>
          <w:szCs w:val="16"/>
          <w:color w:val="auto"/>
        </w:rPr>
        <w:t>Under the Securities Exchange Act of 1934</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26" w:lineRule="exact"/>
        <w:rPr>
          <w:sz w:val="24"/>
          <w:szCs w:val="24"/>
          <w:color w:val="auto"/>
        </w:rPr>
      </w:pPr>
    </w:p>
    <w:p>
      <w:pPr>
        <w:ind w:left="1480"/>
        <w:spacing w:after="0"/>
        <w:rPr>
          <w:sz w:val="20"/>
          <w:szCs w:val="20"/>
          <w:color w:val="auto"/>
        </w:rPr>
      </w:pPr>
      <w:r>
        <w:rPr>
          <w:rFonts w:ascii="Courier New" w:cs="Courier New" w:eastAsia="Courier New" w:hAnsi="Courier New"/>
          <w:sz w:val="16"/>
          <w:szCs w:val="16"/>
          <w:color w:val="auto"/>
        </w:rPr>
        <w:t>(Amendment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ectPr>
          <w:pgSz w:w="11900" w:h="16838" w:orient="portrait"/>
          <w:cols w:equalWidth="0" w:num="3">
            <w:col w:w="2960" w:space="200"/>
            <w:col w:w="120" w:space="300"/>
            <w:col w:w="6639"/>
          </w:cols>
          <w:pgMar w:left="240" w:top="244" w:right="1440" w:bottom="0" w:gutter="0" w:footer="0" w:header="0"/>
          <w:type w:val="continuous"/>
        </w:sectPr>
      </w:pPr>
    </w:p>
    <w:p>
      <w:pPr>
        <w:spacing w:after="0" w:line="204"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Itron, Inc.</w:t>
      </w:r>
    </w:p>
    <w:p>
      <w:pPr>
        <w:ind w:left="180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380"/>
        <w:spacing w:after="0"/>
        <w:tabs>
          <w:tab w:leader="none" w:pos="3140" w:val="left"/>
        </w:tabs>
        <w:rPr>
          <w:sz w:val="20"/>
          <w:szCs w:val="20"/>
          <w:color w:val="auto"/>
        </w:rPr>
      </w:pPr>
      <w:r>
        <w:rPr>
          <w:rFonts w:ascii="Courier New" w:cs="Courier New" w:eastAsia="Courier New" w:hAnsi="Courier New"/>
          <w:sz w:val="18"/>
          <w:szCs w:val="18"/>
          <w:color w:val="auto"/>
        </w:rPr>
        <w:t>Common Stock</w:t>
      </w:r>
      <w:r>
        <w:rPr>
          <w:sz w:val="20"/>
          <w:szCs w:val="20"/>
          <w:color w:val="auto"/>
        </w:rPr>
        <w:tab/>
      </w:r>
      <w:r>
        <w:rPr>
          <w:rFonts w:ascii="Courier New" w:cs="Courier New" w:eastAsia="Courier New" w:hAnsi="Courier New"/>
          <w:sz w:val="16"/>
          <w:szCs w:val="16"/>
          <w:color w:val="auto"/>
        </w:rPr>
        <w:t>No Par Value</w:t>
      </w:r>
    </w:p>
    <w:p>
      <w:pPr>
        <w:sectPr>
          <w:pgSz w:w="11900" w:h="16838" w:orient="portrait"/>
          <w:cols w:equalWidth="0" w:num="1">
            <w:col w:w="10219"/>
          </w:cols>
          <w:pgMar w:left="240" w:top="244" w:right="1440" w:bottom="0" w:gutter="0" w:footer="0" w:header="0"/>
          <w:type w:val="continuous"/>
        </w:sectPr>
      </w:pPr>
    </w:p>
    <w:p>
      <w:pPr>
        <w:ind w:left="1280"/>
        <w:spacing w:after="0" w:line="238" w:lineRule="auto"/>
        <w:rPr>
          <w:sz w:val="20"/>
          <w:szCs w:val="20"/>
          <w:color w:val="auto"/>
        </w:rPr>
      </w:pPr>
      <w:r>
        <w:rPr>
          <w:rFonts w:ascii="Courier New" w:cs="Courier New" w:eastAsia="Courier New" w:hAnsi="Courier New"/>
          <w:sz w:val="18"/>
          <w:szCs w:val="18"/>
          <w:color w:val="auto"/>
        </w:rPr>
        <w:t>(Title of Class Securities)</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465741106</w:t>
      </w:r>
    </w:p>
    <w:tbl>
      <w:tblPr>
        <w:tblLayout w:type="fixed"/>
        <w:tblInd w:w="0" w:type="dxa"/>
        <w:tblCellMar>
          <w:top w:w="0" w:type="dxa"/>
          <w:left w:w="0" w:type="dxa"/>
          <w:bottom w:w="0" w:type="dxa"/>
          <w:right w:w="0" w:type="dxa"/>
        </w:tblCellMar>
      </w:tblPr>
      <w:tr>
        <w:trPr>
          <w:trHeight w:val="203"/>
        </w:trPr>
        <w:tc>
          <w:tcPr>
            <w:tcW w:w="1860" w:type="dxa"/>
            <w:vAlign w:val="bottom"/>
          </w:tcPr>
          <w:p>
            <w:pPr>
              <w:spacing w:after="0"/>
              <w:rPr>
                <w:sz w:val="17"/>
                <w:szCs w:val="17"/>
                <w:color w:val="auto"/>
              </w:rPr>
            </w:pPr>
          </w:p>
        </w:tc>
        <w:tc>
          <w:tcPr>
            <w:tcW w:w="22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9"/>
              </w:rPr>
              <w:t>(CUSIP Number)</w:t>
            </w:r>
          </w:p>
        </w:tc>
        <w:tc>
          <w:tcPr>
            <w:tcW w:w="3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810"/>
        </w:trPr>
        <w:tc>
          <w:tcPr>
            <w:tcW w:w="4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Check the following box if a fee is</w:t>
            </w:r>
          </w:p>
        </w:tc>
        <w:tc>
          <w:tcPr>
            <w:tcW w:w="35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being paid with this statement</w:t>
            </w:r>
          </w:p>
        </w:tc>
        <w:tc>
          <w:tcPr>
            <w:tcW w:w="6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(A fee is not required only if the filing</w:t>
            </w:r>
          </w:p>
        </w:tc>
        <w:tc>
          <w:tcPr>
            <w:tcW w:w="3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person: (1) has a previous statement</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on file reporting</w:t>
            </w:r>
          </w:p>
        </w:tc>
        <w:tc>
          <w:tcPr>
            <w:tcW w:w="2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beneficial ownership</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3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more than five percent of the class</w:t>
            </w: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of securities described in Item 1; and</w:t>
            </w:r>
          </w:p>
        </w:tc>
        <w:tc>
          <w:tcPr>
            <w:tcW w:w="41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(2) has filed no amendment subsequent</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thereto reporting</w:t>
            </w:r>
          </w:p>
        </w:tc>
        <w:tc>
          <w:tcPr>
            <w:tcW w:w="2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beneficial ownership</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3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five percent or less of such class.)</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(See Rule 13d-7.)</w:t>
            </w:r>
          </w:p>
        </w:tc>
        <w:tc>
          <w:tcPr>
            <w:tcW w:w="2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620" w:type="dxa"/>
            <w:vAlign w:val="bottom"/>
          </w:tcPr>
          <w:p>
            <w:pPr>
              <w:spacing w:after="0"/>
              <w:rPr>
                <w:sz w:val="17"/>
                <w:szCs w:val="17"/>
                <w:color w:val="auto"/>
              </w:rPr>
            </w:pPr>
          </w:p>
        </w:tc>
      </w:tr>
    </w:tbl>
    <w:p>
      <w:pPr>
        <w:spacing w:after="0" w:line="207" w:lineRule="exact"/>
        <w:rPr>
          <w:sz w:val="24"/>
          <w:szCs w:val="24"/>
          <w:color w:val="auto"/>
        </w:rPr>
      </w:pPr>
    </w:p>
    <w:p>
      <w:pPr>
        <w:ind w:right="2319" w:firstLine="535"/>
        <w:spacing w:after="0" w:line="275" w:lineRule="auto"/>
        <w:tabs>
          <w:tab w:leader="none" w:pos="73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 provided in a prior cover page.</w:t>
      </w:r>
    </w:p>
    <w:p>
      <w:pPr>
        <w:spacing w:after="0" w:line="182"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(1)</w:t>
      </w:r>
    </w:p>
    <w:p>
      <w:pPr>
        <w:ind w:left="7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1480"/>
        <w:spacing w:after="0"/>
        <w:tabs>
          <w:tab w:leader="none" w:pos="33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465741106</w:t>
            </w:r>
          </w:p>
        </w:tc>
      </w:tr>
    </w:tbl>
    <w:p>
      <w:pPr>
        <w:spacing w:after="0" w:line="207" w:lineRule="exact"/>
        <w:rPr>
          <w:sz w:val="24"/>
          <w:szCs w:val="24"/>
          <w:color w:val="auto"/>
        </w:rPr>
      </w:pPr>
    </w:p>
    <w:p>
      <w:pPr>
        <w:ind w:left="960" w:right="5059" w:hanging="425"/>
        <w:spacing w:after="0" w:line="290" w:lineRule="auto"/>
        <w:tabs>
          <w:tab w:leader="none" w:pos="85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S.S. or I.R.S. Identification Nos. of Above Persons:</w:t>
      </w:r>
    </w:p>
    <w:p>
      <w:pPr>
        <w:spacing w:after="0" w:line="164"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Kopp Investment Advisors, Inc.</w:t>
      </w:r>
    </w:p>
    <w:p>
      <w:pPr>
        <w:ind w:left="1280"/>
        <w:spacing w:after="0" w:line="238" w:lineRule="auto"/>
        <w:rPr>
          <w:sz w:val="20"/>
          <w:szCs w:val="20"/>
          <w:color w:val="auto"/>
        </w:rPr>
      </w:pPr>
      <w:r>
        <w:rPr>
          <w:rFonts w:ascii="Courier New" w:cs="Courier New" w:eastAsia="Courier New" w:hAnsi="Courier New"/>
          <w:sz w:val="18"/>
          <w:szCs w:val="18"/>
          <w:color w:val="auto"/>
        </w:rPr>
        <w:t>I.D. No. 41-1663810</w:t>
      </w:r>
    </w:p>
    <w:p>
      <w:pPr>
        <w:spacing w:after="0" w:line="207" w:lineRule="exact"/>
        <w:rPr>
          <w:sz w:val="24"/>
          <w:szCs w:val="24"/>
          <w:color w:val="auto"/>
        </w:rPr>
      </w:pPr>
    </w:p>
    <w:p>
      <w:pPr>
        <w:ind w:left="960" w:right="4319" w:hanging="425"/>
        <w:spacing w:after="0" w:line="235" w:lineRule="auto"/>
        <w:tabs>
          <w:tab w:leader="none" w:pos="85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5" w:lineRule="exact"/>
        <w:rPr>
          <w:rFonts w:ascii="Courier New" w:cs="Courier New" w:eastAsia="Courier New" w:hAnsi="Courier New"/>
          <w:sz w:val="18"/>
          <w:szCs w:val="18"/>
          <w:color w:val="auto"/>
        </w:rPr>
      </w:pPr>
    </w:p>
    <w:p>
      <w:pPr>
        <w:spacing w:after="0"/>
        <w:tabs>
          <w:tab w:leader="none" w:pos="0" w:val="left"/>
        </w:tabs>
        <w:numPr>
          <w:ilvl w:val="1"/>
          <w:numId w:val="3"/>
        </w:numPr>
        <w:rPr>
          <w:rFonts w:ascii="Courier New" w:cs="Courier New" w:eastAsia="Courier New" w:hAnsi="Courier New"/>
          <w:sz w:val="18"/>
          <w:szCs w:val="18"/>
          <w:color w:val="auto"/>
        </w:rPr>
      </w:pPr>
    </w:p>
    <w:p>
      <w:pPr>
        <w:spacing w:after="0" w:line="195" w:lineRule="exact"/>
        <w:rPr>
          <w:rFonts w:ascii="Courier New" w:cs="Courier New" w:eastAsia="Courier New" w:hAnsi="Courier New"/>
          <w:sz w:val="18"/>
          <w:szCs w:val="18"/>
          <w:color w:val="auto"/>
        </w:rPr>
      </w:pPr>
    </w:p>
    <w:p>
      <w:pPr>
        <w:ind w:left="1480" w:hanging="524"/>
        <w:spacing w:after="0"/>
        <w:tabs>
          <w:tab w:leader="none" w:pos="14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Minnesota</w:t>
      </w:r>
    </w:p>
    <w:p>
      <w:pPr>
        <w:sectPr>
          <w:pgSz w:w="11900" w:h="16838"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09"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Number of shares</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5) Sole Voting Power: 497,500</w:t>
      </w:r>
    </w:p>
    <w:p>
      <w:pPr>
        <w:spacing w:after="0" w:line="21" w:lineRule="exact"/>
        <w:rPr>
          <w:sz w:val="24"/>
          <w:szCs w:val="24"/>
          <w:color w:val="auto"/>
        </w:rPr>
      </w:pPr>
    </w:p>
    <w:p>
      <w:pPr>
        <w:sectPr>
          <w:pgSz w:w="11900" w:h="16838" w:orient="portrait"/>
          <w:cols w:equalWidth="0" w:num="2">
            <w:col w:w="3080" w:space="720"/>
            <w:col w:w="6419"/>
          </w:cols>
          <w:pgMar w:left="240" w:top="244"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by Each Reporting</w:t>
      </w:r>
    </w:p>
    <w:p>
      <w:pPr>
        <w:sectPr>
          <w:pgSz w:w="11900" w:h="16838" w:orient="portrait"/>
          <w:cols w:equalWidth="0" w:num="1">
            <w:col w:w="10219"/>
          </w:cols>
          <w:pgMar w:left="240" w:top="244" w:right="1440" w:bottom="0" w:gutter="0" w:footer="0" w:header="0"/>
          <w:type w:val="continuous"/>
        </w:sectPr>
      </w:pP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4"/>
          <w:szCs w:val="24"/>
          <w:color w:val="auto"/>
        </w:rPr>
      </w:pPr>
    </w:p>
    <w:p>
      <w:pPr>
        <w:sectPr>
          <w:pgSz w:w="11900" w:h="16838" w:orient="portrait"/>
          <w:cols w:equalWidth="0" w:num="2">
            <w:col w:w="1920" w:space="720"/>
            <w:col w:w="7579"/>
          </w:cols>
          <w:pgMar w:left="240" w:top="244" w:right="1440" w:bottom="0" w:gutter="0" w:footer="0" w:header="0"/>
          <w:type w:val="continuous"/>
        </w:sectPr>
      </w:pPr>
    </w:p>
    <w:p>
      <w:pPr>
        <w:spacing w:after="0" w:line="221" w:lineRule="exact"/>
        <w:rPr>
          <w:sz w:val="24"/>
          <w:szCs w:val="24"/>
          <w:color w:val="auto"/>
        </w:rPr>
      </w:pPr>
    </w:p>
    <w:p>
      <w:pPr>
        <w:ind w:left="2440" w:hanging="325"/>
        <w:spacing w:after="0"/>
        <w:tabs>
          <w:tab w:leader="none" w:pos="24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230,000</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440" w:hanging="325"/>
        <w:spacing w:after="0"/>
        <w:tabs>
          <w:tab w:leader="none" w:pos="24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4" w:lineRule="exact"/>
        <w:rPr>
          <w:sz w:val="24"/>
          <w:szCs w:val="24"/>
          <w:color w:val="auto"/>
        </w:rPr>
      </w:pPr>
    </w:p>
    <w:p>
      <w:pPr>
        <w:ind w:left="5800"/>
        <w:spacing w:after="0"/>
        <w:rPr>
          <w:sz w:val="20"/>
          <w:szCs w:val="20"/>
          <w:color w:val="auto"/>
        </w:rPr>
      </w:pPr>
      <w:r>
        <w:rPr>
          <w:rFonts w:ascii="Courier New" w:cs="Courier New" w:eastAsia="Courier New" w:hAnsi="Courier New"/>
          <w:sz w:val="16"/>
          <w:szCs w:val="16"/>
          <w:color w:val="auto"/>
        </w:rPr>
        <w:t>* 1,904,821</w:t>
      </w:r>
    </w:p>
    <w:p>
      <w:pPr>
        <w:sectPr>
          <w:pgSz w:w="11900" w:h="16838" w:orient="portrait"/>
          <w:cols w:equalWidth="0" w:num="1">
            <w:col w:w="10219"/>
          </w:cols>
          <w:pgMar w:left="240" w:top="244" w:right="1440" w:bottom="0" w:gutter="0" w:footer="0" w:header="0"/>
          <w:type w:val="continuous"/>
        </w:sectPr>
      </w:pPr>
    </w:p>
    <w:bookmarkStart w:id="1" w:name="page2"/>
    <w:bookmarkEnd w:id="1"/>
    <w:p>
      <w:pPr>
        <w:jc w:val="center"/>
        <w:ind w:left="3700" w:right="2939" w:hanging="3165"/>
        <w:spacing w:after="0" w:line="235" w:lineRule="auto"/>
        <w:tabs>
          <w:tab w:leader="none" w:pos="85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2,134,821</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w:t>
      </w:r>
    </w:p>
    <w:p>
      <w:pPr>
        <w:ind w:left="1280"/>
        <w:spacing w:after="0" w:line="238" w:lineRule="auto"/>
        <w:rPr>
          <w:sz w:val="20"/>
          <w:szCs w:val="20"/>
          <w:color w:val="auto"/>
        </w:rPr>
      </w:pPr>
      <w:r>
        <w:rPr>
          <w:rFonts w:ascii="Courier New" w:cs="Courier New" w:eastAsia="Courier New" w:hAnsi="Courier New"/>
          <w:sz w:val="18"/>
          <w:szCs w:val="18"/>
          <w:color w:val="auto"/>
        </w:rPr>
        <w:t>Excludes Certain Shares (See Instructions)</w:t>
      </w:r>
    </w:p>
    <w:p>
      <w:pPr>
        <w:spacing w:after="0" w:line="202" w:lineRule="exact"/>
        <w:rPr>
          <w:sz w:val="20"/>
          <w:szCs w:val="20"/>
          <w:color w:val="auto"/>
        </w:rPr>
      </w:pPr>
    </w:p>
    <w:p>
      <w:pPr>
        <w:ind w:left="1060" w:hanging="525"/>
        <w:spacing w:after="0"/>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3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Approx.14.6%</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*Although Kopp Investment Advisors, Inc. exercises investment discretion as to these shares, it is not the record owner of them.</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(2)</w:t>
      </w:r>
    </w:p>
    <w:p>
      <w:pPr>
        <w:ind w:left="7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1480"/>
        <w:spacing w:after="0"/>
        <w:tabs>
          <w:tab w:leader="none" w:pos="33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465741106</w:t>
            </w:r>
          </w:p>
        </w:tc>
      </w:tr>
    </w:tbl>
    <w:p>
      <w:pPr>
        <w:spacing w:after="0" w:line="207" w:lineRule="exact"/>
        <w:rPr>
          <w:sz w:val="20"/>
          <w:szCs w:val="20"/>
          <w:color w:val="auto"/>
        </w:rPr>
      </w:pPr>
    </w:p>
    <w:p>
      <w:pPr>
        <w:ind w:left="960" w:right="5059" w:hanging="425"/>
        <w:spacing w:after="0" w:line="290" w:lineRule="auto"/>
        <w:tabs>
          <w:tab w:leader="none" w:pos="85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S.S. or I.R.S. Identification Nos. of Above Persons:</w:t>
      </w:r>
    </w:p>
    <w:p>
      <w:pPr>
        <w:spacing w:after="0" w:line="16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Kopp Holding Company</w:t>
      </w:r>
    </w:p>
    <w:p>
      <w:pPr>
        <w:ind w:left="1280"/>
        <w:spacing w:after="0" w:line="238" w:lineRule="auto"/>
        <w:rPr>
          <w:sz w:val="20"/>
          <w:szCs w:val="20"/>
          <w:color w:val="auto"/>
        </w:rPr>
      </w:pPr>
      <w:r>
        <w:rPr>
          <w:rFonts w:ascii="Courier New" w:cs="Courier New" w:eastAsia="Courier New" w:hAnsi="Courier New"/>
          <w:sz w:val="18"/>
          <w:szCs w:val="18"/>
          <w:color w:val="auto"/>
        </w:rPr>
        <w:t>I.D. No. 41-1875362</w:t>
      </w:r>
    </w:p>
    <w:p>
      <w:pPr>
        <w:spacing w:after="0" w:line="207" w:lineRule="exact"/>
        <w:rPr>
          <w:sz w:val="20"/>
          <w:szCs w:val="20"/>
          <w:color w:val="auto"/>
        </w:rPr>
      </w:pPr>
    </w:p>
    <w:p>
      <w:pPr>
        <w:ind w:left="960" w:right="4319" w:hanging="425"/>
        <w:spacing w:after="0" w:line="235" w:lineRule="auto"/>
        <w:tabs>
          <w:tab w:leader="none" w:pos="85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5" w:lineRule="exact"/>
        <w:rPr>
          <w:rFonts w:ascii="Courier New" w:cs="Courier New" w:eastAsia="Courier New" w:hAnsi="Courier New"/>
          <w:sz w:val="18"/>
          <w:szCs w:val="18"/>
          <w:color w:val="auto"/>
        </w:rPr>
      </w:pPr>
    </w:p>
    <w:p>
      <w:pPr>
        <w:spacing w:after="0"/>
        <w:tabs>
          <w:tab w:leader="none" w:pos="0" w:val="left"/>
        </w:tabs>
        <w:numPr>
          <w:ilvl w:val="1"/>
          <w:numId w:val="8"/>
        </w:numPr>
        <w:rPr>
          <w:rFonts w:ascii="Courier New" w:cs="Courier New" w:eastAsia="Courier New" w:hAnsi="Courier New"/>
          <w:sz w:val="18"/>
          <w:szCs w:val="18"/>
          <w:color w:val="auto"/>
        </w:rPr>
      </w:pPr>
    </w:p>
    <w:p>
      <w:pPr>
        <w:spacing w:after="0" w:line="195" w:lineRule="exact"/>
        <w:rPr>
          <w:rFonts w:ascii="Courier New" w:cs="Courier New" w:eastAsia="Courier New" w:hAnsi="Courier New"/>
          <w:sz w:val="18"/>
          <w:szCs w:val="18"/>
          <w:color w:val="auto"/>
        </w:rPr>
      </w:pPr>
    </w:p>
    <w:p>
      <w:pPr>
        <w:ind w:left="1480" w:hanging="524"/>
        <w:spacing w:after="0"/>
        <w:tabs>
          <w:tab w:leader="none" w:pos="14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Minnesota</w:t>
      </w:r>
    </w:p>
    <w:p>
      <w:pPr>
        <w:sectPr>
          <w:pgSz w:w="11900" w:h="16838" w:orient="portrait"/>
          <w:cols w:equalWidth="0" w:num="1">
            <w:col w:w="10219"/>
          </w:cols>
          <w:pgMar w:left="240" w:top="344"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Number of shares</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Sole Voting Power:</w:t>
      </w:r>
    </w:p>
    <w:p>
      <w:pPr>
        <w:spacing w:after="0" w:line="21" w:lineRule="exact"/>
        <w:rPr>
          <w:sz w:val="20"/>
          <w:szCs w:val="20"/>
          <w:color w:val="auto"/>
        </w:rPr>
      </w:pPr>
    </w:p>
    <w:p>
      <w:pPr>
        <w:sectPr>
          <w:pgSz w:w="11900" w:h="16838" w:orient="portrait"/>
          <w:cols w:equalWidth="0" w:num="2">
            <w:col w:w="3080" w:space="720"/>
            <w:col w:w="6419"/>
          </w:cols>
          <w:pgMar w:left="240" w:top="344"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by Each Reporting</w:t>
      </w:r>
    </w:p>
    <w:p>
      <w:pPr>
        <w:sectPr>
          <w:pgSz w:w="11900" w:h="16838" w:orient="portrait"/>
          <w:cols w:equalWidth="0" w:num="1">
            <w:col w:w="10219"/>
          </w:cols>
          <w:pgMar w:left="240" w:top="344" w:right="1440" w:bottom="0" w:gutter="0" w:footer="0" w:header="0"/>
          <w:type w:val="continuous"/>
        </w:sectPr>
      </w:pP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0"/>
          <w:szCs w:val="20"/>
          <w:color w:val="auto"/>
        </w:rPr>
      </w:pPr>
    </w:p>
    <w:p>
      <w:pPr>
        <w:sectPr>
          <w:pgSz w:w="11900" w:h="16838" w:orient="portrait"/>
          <w:cols w:equalWidth="0" w:num="2">
            <w:col w:w="1920" w:space="720"/>
            <w:col w:w="7579"/>
          </w:cols>
          <w:pgMar w:left="240" w:top="344" w:right="1440" w:bottom="0" w:gutter="0" w:footer="0" w:header="0"/>
          <w:type w:val="continuous"/>
        </w:sectPr>
      </w:pPr>
    </w:p>
    <w:p>
      <w:pPr>
        <w:spacing w:after="0" w:line="221" w:lineRule="exact"/>
        <w:rPr>
          <w:sz w:val="20"/>
          <w:szCs w:val="20"/>
          <w:color w:val="auto"/>
        </w:rPr>
      </w:pPr>
    </w:p>
    <w:p>
      <w:pPr>
        <w:ind w:left="2440" w:hanging="325"/>
        <w:spacing w:after="0"/>
        <w:tabs>
          <w:tab w:leader="none" w:pos="24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201" w:lineRule="exact"/>
        <w:rPr>
          <w:rFonts w:ascii="Courier New" w:cs="Courier New" w:eastAsia="Courier New" w:hAnsi="Courier New"/>
          <w:sz w:val="18"/>
          <w:szCs w:val="18"/>
          <w:color w:val="auto"/>
        </w:rPr>
      </w:pPr>
    </w:p>
    <w:p>
      <w:pPr>
        <w:ind w:left="2440" w:hanging="325"/>
        <w:spacing w:after="0"/>
        <w:tabs>
          <w:tab w:leader="none" w:pos="24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jc w:val="center"/>
        <w:ind w:left="3700" w:right="2939" w:hanging="3165"/>
        <w:spacing w:after="0" w:line="235" w:lineRule="auto"/>
        <w:tabs>
          <w:tab w:leader="none" w:pos="85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2,134,821</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w:t>
      </w:r>
    </w:p>
    <w:p>
      <w:pPr>
        <w:ind w:left="1280"/>
        <w:spacing w:after="0" w:line="238" w:lineRule="auto"/>
        <w:rPr>
          <w:sz w:val="20"/>
          <w:szCs w:val="20"/>
          <w:color w:val="auto"/>
        </w:rPr>
      </w:pPr>
      <w:r>
        <w:rPr>
          <w:rFonts w:ascii="Courier New" w:cs="Courier New" w:eastAsia="Courier New" w:hAnsi="Courier New"/>
          <w:sz w:val="18"/>
          <w:szCs w:val="18"/>
          <w:color w:val="auto"/>
        </w:rPr>
        <w:t>Excludes Certain Shares (See Instructions)</w:t>
      </w:r>
    </w:p>
    <w:p>
      <w:pPr>
        <w:spacing w:after="0" w:line="202" w:lineRule="exact"/>
        <w:rPr>
          <w:sz w:val="20"/>
          <w:szCs w:val="20"/>
          <w:color w:val="auto"/>
        </w:rPr>
      </w:pPr>
    </w:p>
    <w:p>
      <w:pPr>
        <w:ind w:left="1060" w:hanging="525"/>
        <w:spacing w:after="0"/>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3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Approx.</w:t>
      </w:r>
      <w:r>
        <w:rPr>
          <w:rFonts w:ascii="Courier New" w:cs="Courier New" w:eastAsia="Courier New" w:hAnsi="Courier New"/>
          <w:sz w:val="16"/>
          <w:szCs w:val="16"/>
          <w:color w:val="auto"/>
        </w:rPr>
        <w:t>14.6%</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(2a)</w:t>
      </w:r>
    </w:p>
    <w:p>
      <w:pPr>
        <w:ind w:left="7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1480"/>
        <w:spacing w:after="0"/>
        <w:tabs>
          <w:tab w:leader="none" w:pos="33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465741106</w:t>
            </w:r>
          </w:p>
        </w:tc>
      </w:tr>
    </w:tbl>
    <w:p>
      <w:pPr>
        <w:spacing w:after="0" w:line="207" w:lineRule="exact"/>
        <w:rPr>
          <w:sz w:val="20"/>
          <w:szCs w:val="20"/>
          <w:color w:val="auto"/>
        </w:rPr>
      </w:pPr>
    </w:p>
    <w:p>
      <w:pPr>
        <w:ind w:left="860" w:right="5059" w:hanging="325"/>
        <w:spacing w:after="0" w:line="290" w:lineRule="auto"/>
        <w:tabs>
          <w:tab w:leader="none" w:pos="8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S.S. or I.R.S. Identification Nos. of Above Persons:</w:t>
      </w:r>
    </w:p>
    <w:p>
      <w:pPr>
        <w:spacing w:after="0" w:line="16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LeRoy C. Kopp</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 Check the appropriate box if a Member of a Group</w:t>
      </w:r>
    </w:p>
    <w:p>
      <w:pPr>
        <w:sectPr>
          <w:pgSz w:w="11900" w:h="16838" w:orient="portrait"/>
          <w:cols w:equalWidth="0" w:num="1">
            <w:col w:w="10219"/>
          </w:cols>
          <w:pgMar w:left="240" w:top="344" w:right="1440" w:bottom="0" w:gutter="0" w:footer="0" w:header="0"/>
          <w:type w:val="continuous"/>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(See Instructions)</w:t>
      </w:r>
    </w:p>
    <w:p>
      <w:pPr>
        <w:ind w:left="860"/>
        <w:spacing w:after="0" w:line="238" w:lineRule="auto"/>
        <w:rPr>
          <w:sz w:val="20"/>
          <w:szCs w:val="20"/>
          <w:color w:val="auto"/>
        </w:rPr>
      </w:pPr>
      <w:r>
        <w:rPr>
          <w:rFonts w:ascii="Courier New" w:cs="Courier New" w:eastAsia="Courier New" w:hAnsi="Courier New"/>
          <w:sz w:val="18"/>
          <w:szCs w:val="18"/>
          <w:color w:val="auto"/>
        </w:rPr>
        <w:t>(a)</w:t>
      </w:r>
    </w:p>
    <w:p>
      <w:pPr>
        <w:spacing w:after="0" w:line="202" w:lineRule="exact"/>
        <w:rPr>
          <w:sz w:val="20"/>
          <w:szCs w:val="20"/>
          <w:color w:val="auto"/>
        </w:rPr>
      </w:pPr>
    </w:p>
    <w:p>
      <w:pPr>
        <w:ind w:left="1380" w:hanging="529"/>
        <w:spacing w:after="0"/>
        <w:tabs>
          <w:tab w:leader="none" w:pos="13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1580" w:right="5479" w:hanging="1045"/>
        <w:spacing w:after="0" w:line="470" w:lineRule="auto"/>
        <w:tabs>
          <w:tab w:leader="none" w:pos="84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sectPr>
          <w:pgSz w:w="11900" w:h="16838" w:orient="portrait"/>
          <w:cols w:equalWidth="0" w:num="1">
            <w:col w:w="10219"/>
          </w:cols>
          <w:pgMar w:left="240" w:top="136" w:right="1440" w:bottom="0" w:gutter="0" w:footer="0" w:header="0"/>
        </w:sectPr>
      </w:pPr>
    </w:p>
    <w:p>
      <w:pPr>
        <w:spacing w:after="0" w:line="21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Number of shares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Sole Voting Power: 120,000</w:t>
      </w:r>
    </w:p>
    <w:p>
      <w:pPr>
        <w:spacing w:after="0" w:line="21" w:lineRule="exact"/>
        <w:rPr>
          <w:sz w:val="20"/>
          <w:szCs w:val="20"/>
          <w:color w:val="auto"/>
        </w:rPr>
      </w:pPr>
    </w:p>
    <w:p>
      <w:pPr>
        <w:sectPr>
          <w:pgSz w:w="11900" w:h="16838" w:orient="portrait"/>
          <w:cols w:equalWidth="0" w:num="2">
            <w:col w:w="3080" w:space="720"/>
            <w:col w:w="6419"/>
          </w:cols>
          <w:pgMar w:left="240" w:top="136"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by Each Reporting</w:t>
      </w:r>
    </w:p>
    <w:p>
      <w:pPr>
        <w:sectPr>
          <w:pgSz w:w="11900" w:h="16838" w:orient="portrait"/>
          <w:cols w:equalWidth="0" w:num="1">
            <w:col w:w="10219"/>
          </w:cols>
          <w:pgMar w:left="240" w:top="136" w:right="1440" w:bottom="0" w:gutter="0" w:footer="0" w:header="0"/>
          <w:type w:val="continuous"/>
        </w:sectPr>
      </w:pP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0"/>
          <w:szCs w:val="20"/>
          <w:color w:val="auto"/>
        </w:rPr>
      </w:pPr>
    </w:p>
    <w:p>
      <w:pPr>
        <w:sectPr>
          <w:pgSz w:w="11900" w:h="16838" w:orient="portrait"/>
          <w:cols w:equalWidth="0" w:num="2">
            <w:col w:w="1920" w:space="720"/>
            <w:col w:w="7579"/>
          </w:cols>
          <w:pgMar w:left="240" w:top="136" w:right="1440" w:bottom="0" w:gutter="0" w:footer="0" w:header="0"/>
          <w:type w:val="continuous"/>
        </w:sectPr>
      </w:pPr>
    </w:p>
    <w:p>
      <w:pPr>
        <w:spacing w:after="0" w:line="221" w:lineRule="exact"/>
        <w:rPr>
          <w:sz w:val="20"/>
          <w:szCs w:val="20"/>
          <w:color w:val="auto"/>
        </w:rPr>
      </w:pPr>
    </w:p>
    <w:p>
      <w:pPr>
        <w:ind w:left="2440" w:hanging="325"/>
        <w:spacing w:after="0"/>
        <w:tabs>
          <w:tab w:leader="none" w:pos="24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120,000</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440" w:hanging="325"/>
        <w:spacing w:after="0"/>
        <w:tabs>
          <w:tab w:leader="none" w:pos="24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jc w:val="center"/>
        <w:ind w:left="3700" w:right="2939" w:hanging="3165"/>
        <w:spacing w:after="0" w:line="235" w:lineRule="auto"/>
        <w:tabs>
          <w:tab w:leader="none" w:pos="856"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2,254,821</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w:t>
      </w:r>
    </w:p>
    <w:p>
      <w:pPr>
        <w:ind w:left="1380"/>
        <w:spacing w:after="0" w:line="238" w:lineRule="auto"/>
        <w:rPr>
          <w:sz w:val="20"/>
          <w:szCs w:val="20"/>
          <w:color w:val="auto"/>
        </w:rPr>
      </w:pPr>
      <w:r>
        <w:rPr>
          <w:rFonts w:ascii="Courier New" w:cs="Courier New" w:eastAsia="Courier New" w:hAnsi="Courier New"/>
          <w:sz w:val="18"/>
          <w:szCs w:val="18"/>
          <w:color w:val="auto"/>
        </w:rPr>
        <w:t>Excludes Certain Shares (See Instructions)</w:t>
      </w:r>
    </w:p>
    <w:p>
      <w:pPr>
        <w:spacing w:after="0" w:line="202" w:lineRule="exact"/>
        <w:rPr>
          <w:sz w:val="20"/>
          <w:szCs w:val="20"/>
          <w:color w:val="auto"/>
        </w:rPr>
      </w:pPr>
    </w:p>
    <w:p>
      <w:pPr>
        <w:ind w:left="1060" w:hanging="525"/>
        <w:spacing w:after="0"/>
        <w:tabs>
          <w:tab w:leader="none" w:pos="10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3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Approx.</w:t>
      </w:r>
      <w:r>
        <w:rPr>
          <w:rFonts w:ascii="Courier New" w:cs="Courier New" w:eastAsia="Courier New" w:hAnsi="Courier New"/>
          <w:sz w:val="16"/>
          <w:szCs w:val="16"/>
          <w:color w:val="auto"/>
        </w:rPr>
        <w:t>15.4%</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(2b)</w:t>
      </w:r>
    </w:p>
    <w:p>
      <w:pPr>
        <w:ind w:left="86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1480"/>
        <w:spacing w:after="0"/>
        <w:tabs>
          <w:tab w:leader="none" w:pos="33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0"/>
          <w:szCs w:val="20"/>
          <w:color w:val="auto"/>
        </w:rPr>
      </w:pPr>
    </w:p>
    <w:p>
      <w:pPr>
        <w:spacing w:after="0" w:line="20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Itron,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w:t>
      </w:r>
    </w:p>
    <w:p>
      <w:pPr>
        <w:ind w:left="2540"/>
        <w:spacing w:after="0" w:line="238" w:lineRule="auto"/>
        <w:rPr>
          <w:sz w:val="20"/>
          <w:szCs w:val="20"/>
          <w:color w:val="auto"/>
        </w:rPr>
      </w:pPr>
      <w:r>
        <w:rPr>
          <w:rFonts w:ascii="Courier New" w:cs="Courier New" w:eastAsia="Courier New" w:hAnsi="Courier New"/>
          <w:sz w:val="18"/>
          <w:szCs w:val="18"/>
          <w:color w:val="auto"/>
        </w:rPr>
        <w:t>Offices.</w:t>
      </w:r>
    </w:p>
    <w:p>
      <w:pPr>
        <w:ind w:left="4320"/>
        <w:spacing w:after="0"/>
        <w:rPr>
          <w:sz w:val="20"/>
          <w:szCs w:val="20"/>
          <w:color w:val="auto"/>
        </w:rPr>
      </w:pPr>
      <w:r>
        <w:rPr>
          <w:rFonts w:ascii="Courier New" w:cs="Courier New" w:eastAsia="Courier New" w:hAnsi="Courier New"/>
          <w:sz w:val="18"/>
          <w:szCs w:val="18"/>
          <w:color w:val="auto"/>
        </w:rPr>
        <w:t>2818 North Sullivan Road</w:t>
      </w:r>
    </w:p>
    <w:p>
      <w:pPr>
        <w:ind w:left="4320"/>
        <w:spacing w:after="0" w:line="237" w:lineRule="auto"/>
        <w:rPr>
          <w:sz w:val="20"/>
          <w:szCs w:val="20"/>
          <w:color w:val="auto"/>
        </w:rPr>
      </w:pPr>
      <w:r>
        <w:rPr>
          <w:rFonts w:ascii="Courier New" w:cs="Courier New" w:eastAsia="Courier New" w:hAnsi="Courier New"/>
          <w:sz w:val="18"/>
          <w:szCs w:val="18"/>
          <w:color w:val="auto"/>
        </w:rPr>
        <w:t>Spokane, WA 99216</w:t>
      </w:r>
    </w:p>
    <w:p>
      <w:pPr>
        <w:spacing w:after="0" w:line="200" w:lineRule="exact"/>
        <w:rPr>
          <w:sz w:val="20"/>
          <w:szCs w:val="20"/>
          <w:color w:val="auto"/>
        </w:rPr>
      </w:pPr>
    </w:p>
    <w:p>
      <w:pPr>
        <w:spacing w:after="0" w:line="20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580" w:hanging="308"/>
        <w:spacing w:after="0"/>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Kopp Investment Advisors, Inc.</w:t>
      </w:r>
    </w:p>
    <w:p>
      <w:pPr>
        <w:ind w:left="1580" w:hanging="308"/>
        <w:spacing w:after="0" w:line="238" w:lineRule="auto"/>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Kopp Holding Company</w:t>
      </w:r>
    </w:p>
    <w:p>
      <w:pPr>
        <w:ind w:left="1580" w:hanging="308"/>
        <w:spacing w:after="0" w:line="238" w:lineRule="auto"/>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LeRoy C. Kopp</w:t>
      </w:r>
    </w:p>
    <w:p>
      <w:pPr>
        <w:spacing w:after="0" w:line="200" w:lineRule="exact"/>
        <w:rPr>
          <w:sz w:val="20"/>
          <w:szCs w:val="20"/>
          <w:color w:val="auto"/>
        </w:rPr>
      </w:pPr>
    </w:p>
    <w:p>
      <w:pPr>
        <w:spacing w:after="0" w:line="210" w:lineRule="exact"/>
        <w:rPr>
          <w:sz w:val="20"/>
          <w:szCs w:val="20"/>
          <w:color w:val="auto"/>
        </w:rPr>
      </w:pPr>
    </w:p>
    <w:p>
      <w:pPr>
        <w:ind w:left="1160" w:right="1999"/>
        <w:spacing w:after="0" w:line="268" w:lineRule="auto"/>
        <w:rPr>
          <w:sz w:val="20"/>
          <w:szCs w:val="20"/>
          <w:color w:val="auto"/>
        </w:rPr>
      </w:pPr>
      <w:r>
        <w:rPr>
          <w:rFonts w:ascii="Courier New" w:cs="Courier New" w:eastAsia="Courier New" w:hAnsi="Courier New"/>
          <w:sz w:val="16"/>
          <w:szCs w:val="16"/>
          <w:color w:val="auto"/>
        </w:rPr>
        <w:t>This Statement is filed by Kopp Investment Advisors, Inc., ("KIA") on behalf of all of the above persons pursuant to Rule 13d-1(f). Attached is an agreement in writing among the above persons that this Statement be so filed on behalf of each of them.</w:t>
      </w:r>
    </w:p>
    <w:p>
      <w:pPr>
        <w:spacing w:after="0" w:line="1" w:lineRule="exact"/>
        <w:rPr>
          <w:sz w:val="20"/>
          <w:szCs w:val="20"/>
          <w:color w:val="auto"/>
        </w:rPr>
      </w:pPr>
    </w:p>
    <w:p>
      <w:pPr>
        <w:ind w:left="1060" w:right="2839"/>
        <w:spacing w:after="0" w:line="236" w:lineRule="auto"/>
        <w:rPr>
          <w:sz w:val="20"/>
          <w:szCs w:val="20"/>
          <w:color w:val="auto"/>
        </w:rPr>
      </w:pPr>
      <w:r>
        <w:rPr>
          <w:rFonts w:ascii="Courier New" w:cs="Courier New" w:eastAsia="Courier New" w:hAnsi="Courier New"/>
          <w:sz w:val="18"/>
          <w:szCs w:val="18"/>
          <w:color w:val="auto"/>
        </w:rPr>
        <w:t>KIA is an investment adviser registered under the Investment Advisers Act of 1940. It is wholly-owned by Kopp Holding Company, which is wholly-owned by Mr. Kopp.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Item 2(b),2(c),2(d), and 2(e). Address of Principal Business Office; Citizenship; Title of Class of Securities; CUSIP Number.</w:t>
      </w:r>
    </w:p>
    <w:p>
      <w:pPr>
        <w:spacing w:after="0" w:line="200" w:lineRule="exact"/>
        <w:rPr>
          <w:sz w:val="20"/>
          <w:szCs w:val="20"/>
          <w:color w:val="auto"/>
        </w:rPr>
      </w:pPr>
    </w:p>
    <w:p>
      <w:pPr>
        <w:spacing w:after="0" w:line="211" w:lineRule="exact"/>
        <w:rPr>
          <w:sz w:val="20"/>
          <w:szCs w:val="20"/>
          <w:color w:val="auto"/>
        </w:rPr>
      </w:pPr>
    </w:p>
    <w:p>
      <w:pPr>
        <w:jc w:val="both"/>
        <w:ind w:left="1160" w:right="2739"/>
        <w:spacing w:after="0" w:line="268" w:lineRule="auto"/>
        <w:rPr>
          <w:sz w:val="20"/>
          <w:szCs w:val="20"/>
          <w:color w:val="auto"/>
        </w:rPr>
      </w:pPr>
      <w:r>
        <w:rPr>
          <w:rFonts w:ascii="Courier New" w:cs="Courier New" w:eastAsia="Courier New" w:hAnsi="Courier New"/>
          <w:sz w:val="16"/>
          <w:szCs w:val="16"/>
          <w:color w:val="auto"/>
        </w:rPr>
        <w:t>All reporting persons may be contacted at 7701 France Avenue South, Suite 500, Edina, MN 55435. Kopp Investment Advisors, Inc. and Kopp Holding Company are Minnesota corporations.</w:t>
      </w:r>
    </w:p>
    <w:p>
      <w:pPr>
        <w:ind w:left="1160"/>
        <w:spacing w:after="0"/>
        <w:tabs>
          <w:tab w:leader="none" w:pos="5140" w:val="left"/>
        </w:tabs>
        <w:rPr>
          <w:sz w:val="20"/>
          <w:szCs w:val="20"/>
          <w:color w:val="auto"/>
        </w:rPr>
      </w:pPr>
      <w:r>
        <w:rPr>
          <w:rFonts w:ascii="Courier New" w:cs="Courier New" w:eastAsia="Courier New" w:hAnsi="Courier New"/>
          <w:sz w:val="18"/>
          <w:szCs w:val="18"/>
          <w:color w:val="auto"/>
        </w:rPr>
        <w:t>Mr. Kopp is a United States citizen.</w:t>
      </w:r>
      <w:r>
        <w:rPr>
          <w:sz w:val="20"/>
          <w:szCs w:val="20"/>
          <w:color w:val="auto"/>
        </w:rPr>
        <w:tab/>
      </w:r>
      <w:r>
        <w:rPr>
          <w:rFonts w:ascii="Courier New" w:cs="Courier New" w:eastAsia="Courier New" w:hAnsi="Courier New"/>
          <w:sz w:val="16"/>
          <w:szCs w:val="16"/>
          <w:color w:val="auto"/>
        </w:rPr>
        <w:t>This report pertains to the</w:t>
      </w:r>
    </w:p>
    <w:p>
      <w:pPr>
        <w:sectPr>
          <w:pgSz w:w="11900" w:h="16838" w:orient="portrait"/>
          <w:cols w:equalWidth="0" w:num="1">
            <w:col w:w="10219"/>
          </w:cols>
          <w:pgMar w:left="240" w:top="136" w:right="1440" w:bottom="0" w:gutter="0" w:footer="0" w:header="0"/>
          <w:type w:val="continuous"/>
        </w:sectPr>
      </w:pPr>
    </w:p>
    <w:bookmarkStart w:id="3" w:name="page4"/>
    <w:bookmarkEnd w:id="3"/>
    <w:p>
      <w:pPr>
        <w:ind w:left="1160"/>
        <w:spacing w:after="0"/>
        <w:rPr>
          <w:sz w:val="20"/>
          <w:szCs w:val="20"/>
          <w:color w:val="auto"/>
        </w:rPr>
      </w:pPr>
      <w:r>
        <w:rPr>
          <w:rFonts w:ascii="Courier New" w:cs="Courier New" w:eastAsia="Courier New" w:hAnsi="Courier New"/>
          <w:sz w:val="18"/>
          <w:szCs w:val="18"/>
          <w:color w:val="auto"/>
        </w:rPr>
        <w:t>Common Shares, no par value, of Itron, Inc.,</w:t>
      </w:r>
    </w:p>
    <w:p>
      <w:pPr>
        <w:ind w:left="1160"/>
        <w:spacing w:after="0" w:line="238" w:lineRule="auto"/>
        <w:rPr>
          <w:sz w:val="20"/>
          <w:szCs w:val="20"/>
          <w:color w:val="auto"/>
        </w:rPr>
      </w:pPr>
      <w:r>
        <w:rPr>
          <w:rFonts w:ascii="Courier New" w:cs="Courier New" w:eastAsia="Courier New" w:hAnsi="Courier New"/>
          <w:sz w:val="18"/>
          <w:szCs w:val="18"/>
          <w:color w:val="auto"/>
        </w:rPr>
        <w:t>CUSIP #465741106.</w:t>
      </w:r>
    </w:p>
    <w:p>
      <w:pPr>
        <w:spacing w:after="0" w:line="207" w:lineRule="exact"/>
        <w:rPr>
          <w:sz w:val="20"/>
          <w:szCs w:val="20"/>
          <w:color w:val="auto"/>
        </w:rPr>
      </w:pPr>
    </w:p>
    <w:p>
      <w:pPr>
        <w:ind w:left="1160" w:right="1999" w:hanging="1684"/>
        <w:spacing w:after="0" w:line="237" w:lineRule="auto"/>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This statement is filed pursuant to Rule 13d-1(b), or 13d-2(b). The persons filing include an investment adviser registered under Section 203 of the Investment Advisors Act of 1940 and a parent holding company in accordance with 13d-1 (b) (ii) (G). The other reporting person is filing under SEC release number 34-39538 II.F.5.</w:t>
      </w: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 as of 10/31/98</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3">
            <w:col w:w="760" w:space="720"/>
            <w:col w:w="2540" w:space="300"/>
            <w:col w:w="5899"/>
          </w:cols>
          <w:pgMar w:left="240" w:top="136" w:right="1440" w:bottom="0" w:gutter="0" w:footer="0" w:header="0"/>
          <w:type w:val="continuous"/>
        </w:sectPr>
      </w:pP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information contained in Items 5 - 11 on the</w:t>
      </w:r>
    </w:p>
    <w:p>
      <w:pPr>
        <w:ind w:left="1060"/>
        <w:spacing w:after="0" w:line="238" w:lineRule="auto"/>
        <w:rPr>
          <w:sz w:val="20"/>
          <w:szCs w:val="20"/>
          <w:color w:val="auto"/>
        </w:rPr>
      </w:pPr>
      <w:r>
        <w:rPr>
          <w:rFonts w:ascii="Courier New" w:cs="Courier New" w:eastAsia="Courier New" w:hAnsi="Courier New"/>
          <w:sz w:val="18"/>
          <w:szCs w:val="18"/>
          <w:color w:val="auto"/>
        </w:rPr>
        <w:t>cover pages is incorporated herein by reference.</w:t>
      </w:r>
    </w:p>
    <w:p>
      <w:pPr>
        <w:spacing w:after="0" w:line="200" w:lineRule="exact"/>
        <w:rPr>
          <w:sz w:val="20"/>
          <w:szCs w:val="20"/>
          <w:color w:val="auto"/>
        </w:rPr>
      </w:pP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filing of this Statement shall not be construed as an</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admission that the persons filing are beneficial owners</w:t>
      </w:r>
    </w:p>
    <w:p>
      <w:pPr>
        <w:sectPr>
          <w:pgSz w:w="11900" w:h="16838" w:orient="portrait"/>
          <w:cols w:equalWidth="0" w:num="1">
            <w:col w:w="10219"/>
          </w:cols>
          <w:pgMar w:left="240" w:top="136" w:right="1440" w:bottom="0" w:gutter="0" w:footer="0" w:header="0"/>
          <w:type w:val="continuous"/>
        </w:sectPr>
      </w:pPr>
    </w:p>
    <w:p>
      <w:pPr>
        <w:spacing w:after="0" w:line="21" w:lineRule="exact"/>
        <w:rPr>
          <w:sz w:val="20"/>
          <w:szCs w:val="20"/>
          <w:color w:val="auto"/>
        </w:rPr>
      </w:pPr>
    </w:p>
    <w:p>
      <w:pPr>
        <w:ind w:left="2540" w:right="1779"/>
        <w:spacing w:after="0" w:line="236" w:lineRule="auto"/>
        <w:rPr>
          <w:sz w:val="20"/>
          <w:szCs w:val="20"/>
          <w:color w:val="auto"/>
        </w:rPr>
      </w:pPr>
      <w:r>
        <w:rPr>
          <w:rFonts w:ascii="Courier New" w:cs="Courier New" w:eastAsia="Courier New" w:hAnsi="Courier New"/>
          <w:sz w:val="18"/>
          <w:szCs w:val="18"/>
          <w:color w:val="auto"/>
        </w:rPr>
        <w:t>of the shares covered by this Statement for any purpose, including purposes of Sections 13, 14 or 16 of the Securities Exchange Act of 1934, as amended.</w:t>
      </w:r>
    </w:p>
    <w:p>
      <w:pPr>
        <w:spacing w:after="0" w:line="200" w:lineRule="exact"/>
        <w:rPr>
          <w:sz w:val="20"/>
          <w:szCs w:val="20"/>
          <w:color w:val="auto"/>
        </w:rPr>
      </w:pPr>
    </w:p>
    <w:p>
      <w:pPr>
        <w:spacing w:after="0" w:line="206"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w:t>
      </w:r>
    </w:p>
    <w:p>
      <w:pPr>
        <w:ind w:left="2320"/>
        <w:spacing w:after="0" w:line="238" w:lineRule="auto"/>
        <w:rPr>
          <w:sz w:val="20"/>
          <w:szCs w:val="20"/>
          <w:color w:val="auto"/>
        </w:rPr>
      </w:pPr>
      <w:r>
        <w:rPr>
          <w:rFonts w:ascii="Courier New" w:cs="Courier New" w:eastAsia="Courier New" w:hAnsi="Courier New"/>
          <w:sz w:val="18"/>
          <w:szCs w:val="18"/>
          <w:color w:val="auto"/>
        </w:rPr>
        <w:t>Class.</w:t>
      </w:r>
    </w:p>
    <w:p>
      <w:pPr>
        <w:spacing w:after="0" w:line="202"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w:t>
      </w:r>
    </w:p>
    <w:p>
      <w:pPr>
        <w:ind w:left="2320"/>
        <w:spacing w:after="0" w:line="238" w:lineRule="auto"/>
        <w:rPr>
          <w:sz w:val="20"/>
          <w:szCs w:val="20"/>
          <w:color w:val="auto"/>
        </w:rPr>
      </w:pPr>
      <w:r>
        <w:rPr>
          <w:rFonts w:ascii="Courier New" w:cs="Courier New" w:eastAsia="Courier New" w:hAnsi="Courier New"/>
          <w:sz w:val="18"/>
          <w:szCs w:val="18"/>
          <w:color w:val="auto"/>
        </w:rPr>
        <w:t>Behalf of Another Person.</w:t>
      </w:r>
    </w:p>
    <w:p>
      <w:pPr>
        <w:spacing w:after="0" w:line="207" w:lineRule="exact"/>
        <w:rPr>
          <w:sz w:val="20"/>
          <w:szCs w:val="20"/>
          <w:color w:val="auto"/>
        </w:rPr>
      </w:pPr>
    </w:p>
    <w:p>
      <w:pPr>
        <w:ind w:left="540" w:right="2419"/>
        <w:spacing w:after="0" w:line="237" w:lineRule="auto"/>
        <w:rPr>
          <w:sz w:val="20"/>
          <w:szCs w:val="20"/>
          <w:color w:val="auto"/>
        </w:rPr>
      </w:pPr>
      <w:r>
        <w:rPr>
          <w:rFonts w:ascii="Courier New" w:cs="Courier New" w:eastAsia="Courier New" w:hAnsi="Courier New"/>
          <w:sz w:val="18"/>
          <w:szCs w:val="18"/>
          <w:color w:val="auto"/>
        </w:rPr>
        <w:t>Of the shares covered by this Statement, 2,104,821 are held in a fiduciary or representative capacity. Accordingly, persons other than the reporting persons have the right to receive, or the power to direct the receipt of, dividends from, or the proceeds from the sale of, such sales. No person individually has an interest that relates to more than five percent of the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480" w:right="2739" w:hanging="1895"/>
        <w:spacing w:after="0" w:line="236" w:lineRule="auto"/>
        <w:tabs>
          <w:tab w:leader="none" w:pos="14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0" w:lineRule="exact"/>
        <w:rPr>
          <w:sz w:val="20"/>
          <w:szCs w:val="20"/>
          <w:color w:val="auto"/>
        </w:rPr>
      </w:pPr>
    </w:p>
    <w:p>
      <w:pPr>
        <w:spacing w:after="0" w:line="20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w:t>
      </w:r>
    </w:p>
    <w:p>
      <w:pPr>
        <w:ind w:left="2320"/>
        <w:spacing w:after="0" w:line="238" w:lineRule="auto"/>
        <w:rPr>
          <w:sz w:val="20"/>
          <w:szCs w:val="20"/>
          <w:color w:val="auto"/>
        </w:rPr>
      </w:pPr>
      <w:r>
        <w:rPr>
          <w:rFonts w:ascii="Courier New" w:cs="Courier New" w:eastAsia="Courier New" w:hAnsi="Courier New"/>
          <w:sz w:val="18"/>
          <w:szCs w:val="18"/>
          <w:color w:val="auto"/>
        </w:rPr>
        <w:t>Members of the Group.</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jc w:val="both"/>
        <w:ind w:right="2839" w:firstLine="527"/>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w:t>
      </w:r>
    </w:p>
    <w:p>
      <w:pPr>
        <w:spacing w:after="0" w:line="1" w:lineRule="exact"/>
        <w:rPr>
          <w:sz w:val="20"/>
          <w:szCs w:val="20"/>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is true, complete and correct.</w:t>
      </w:r>
    </w:p>
    <w:p>
      <w:pPr>
        <w:sectPr>
          <w:pgSz w:w="11900" w:h="16838" w:orient="portrait"/>
          <w:cols w:equalWidth="0" w:num="1">
            <w:col w:w="10219"/>
          </w:cols>
          <w:pgMar w:left="240" w:top="136" w:right="1440" w:bottom="0" w:gutter="0" w:footer="0" w:header="0"/>
          <w:type w:val="continuous"/>
        </w:sectPr>
      </w:pPr>
    </w:p>
    <w:bookmarkStart w:id="4" w:name="page5"/>
    <w:bookmarkEnd w:id="4"/>
    <w:p>
      <w:pPr>
        <w:spacing w:after="0"/>
        <w:tabs>
          <w:tab w:leader="none" w:pos="168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11/09/98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KOPP INVESTMENT ADVISORS,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640"/>
        <w:spacing w:after="0" w:line="238" w:lineRule="auto"/>
        <w:rPr>
          <w:sz w:val="20"/>
          <w:szCs w:val="20"/>
          <w:color w:val="auto"/>
        </w:rPr>
      </w:pPr>
      <w:r>
        <w:rPr>
          <w:rFonts w:ascii="Courier New" w:cs="Courier New" w:eastAsia="Courier New" w:hAnsi="Courier New"/>
          <w:sz w:val="18"/>
          <w:szCs w:val="18"/>
          <w:color w:val="auto"/>
        </w:rPr>
        <w:t>Donald B. Cornelius, Secretary/Treasurer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AGREEMENT</w:t>
      </w:r>
    </w:p>
    <w:p>
      <w:pPr>
        <w:spacing w:after="0" w:line="200" w:lineRule="exact"/>
        <w:rPr>
          <w:sz w:val="20"/>
          <w:szCs w:val="20"/>
          <w:color w:val="auto"/>
        </w:rPr>
      </w:pPr>
    </w:p>
    <w:p>
      <w:pPr>
        <w:spacing w:after="0" w:line="209" w:lineRule="exact"/>
        <w:rPr>
          <w:sz w:val="20"/>
          <w:szCs w:val="20"/>
          <w:color w:val="auto"/>
        </w:rPr>
      </w:pPr>
    </w:p>
    <w:p>
      <w:pPr>
        <w:ind w:right="2619" w:firstLine="527"/>
        <w:spacing w:after="0" w:line="268" w:lineRule="auto"/>
        <w:rPr>
          <w:sz w:val="20"/>
          <w:szCs w:val="20"/>
          <w:color w:val="auto"/>
        </w:rPr>
      </w:pPr>
      <w:r>
        <w:rPr>
          <w:rFonts w:ascii="Courier New" w:cs="Courier New" w:eastAsia="Courier New" w:hAnsi="Courier New"/>
          <w:sz w:val="16"/>
          <w:szCs w:val="16"/>
          <w:color w:val="auto"/>
        </w:rPr>
        <w:t>The undersigned hereby agrees that the Statement on Schedule 13G to which this Agreement is attached be filed on behalf of Kopp Investment Advisors, Inc., a Minnesota corporation; Kopp Holding Company, a Minnesota Corporation, of which Kopp Investment Advisors, Inc. is</w:t>
      </w:r>
    </w:p>
    <w:p>
      <w:pPr>
        <w:spacing w:after="0" w:line="1"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a wholly-owned subsidiary; LeRoy C. Kopp, who holds 100% of the outstanding capital stock of Kopp Holding Company.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11/09/98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KOPP INVESTMENT ADVISORS,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2640"/>
        <w:spacing w:after="0" w:line="238" w:lineRule="auto"/>
        <w:rPr>
          <w:sz w:val="20"/>
          <w:szCs w:val="20"/>
          <w:color w:val="auto"/>
        </w:rPr>
      </w:pPr>
      <w:r>
        <w:rPr>
          <w:rFonts w:ascii="Courier New" w:cs="Courier New" w:eastAsia="Courier New" w:hAnsi="Courier New"/>
          <w:sz w:val="18"/>
          <w:szCs w:val="18"/>
          <w:color w:val="auto"/>
        </w:rPr>
        <w:t>LeRoy C. Kopp</w:t>
      </w:r>
    </w:p>
    <w:p>
      <w:pPr>
        <w:spacing w:after="0" w:line="200" w:lineRule="exact"/>
        <w:rPr>
          <w:sz w:val="20"/>
          <w:szCs w:val="20"/>
          <w:color w:val="auto"/>
        </w:rPr>
      </w:pPr>
    </w:p>
    <w:p>
      <w:pPr>
        <w:spacing w:after="0" w:line="204" w:lineRule="exact"/>
        <w:rPr>
          <w:sz w:val="20"/>
          <w:szCs w:val="20"/>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LeRoy C. Kopp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KOPP HOLDING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1480"/>
        <w:spacing w:after="0" w:line="238" w:lineRule="auto"/>
        <w:rPr>
          <w:sz w:val="20"/>
          <w:szCs w:val="20"/>
          <w:color w:val="auto"/>
        </w:rPr>
      </w:pPr>
      <w:r>
        <w:rPr>
          <w:rFonts w:ascii="Courier New" w:cs="Courier New" w:eastAsia="Courier New" w:hAnsi="Courier New"/>
          <w:sz w:val="18"/>
          <w:szCs w:val="18"/>
          <w:color w:val="auto"/>
        </w:rPr>
        <w:t>LeRoy C. Kopp, President</w:t>
      </w:r>
    </w:p>
    <w:p>
      <w:pPr>
        <w:sectPr>
          <w:pgSz w:w="11900" w:h="16838" w:orient="portrait"/>
          <w:cols w:equalWidth="0" w:num="1">
            <w:col w:w="10219"/>
          </w:cols>
          <w:pgMar w:left="240" w:top="744" w:right="1440" w:bottom="943" w:gutter="0" w:footer="0" w:header="0"/>
        </w:sectPr>
      </w:pPr>
    </w:p>
    <w:bookmarkStart w:id="5" w:name="page6"/>
    <w:bookmarkEnd w:id="5"/>
    <w:p>
      <w:pPr>
        <w:ind w:left="1340"/>
        <w:spacing w:after="0"/>
        <w:rPr>
          <w:sz w:val="20"/>
          <w:szCs w:val="20"/>
          <w:color w:val="auto"/>
        </w:rPr>
      </w:pPr>
      <w:r>
        <w:rPr>
          <w:rFonts w:ascii="Courier New" w:cs="Courier New" w:eastAsia="Courier New" w:hAnsi="Courier New"/>
          <w:sz w:val="16"/>
          <w:szCs w:val="16"/>
          <w:color w:val="auto"/>
        </w:rPr>
        <w:t>(6)</w:t>
      </w:r>
    </w:p>
    <w:sectPr>
      <w:pgSz w:w="11900" w:h="16838" w:orient="portrait"/>
      <w:cols w:equalWidth="0" w:num="1">
        <w:col w:w="9019"/>
      </w:cols>
      <w:pgMar w:left="1440" w:top="135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decimal"/>
      <w:start w:val="2"/>
    </w:lvl>
    <w:lvl w:ilvl="1">
      <w:lvlJc w:val="left"/>
      <w:lvlText w:val="(%2)"/>
      <w:numFmt w:val="lowerLetter"/>
      <w:start w:val="1"/>
    </w:lvl>
  </w:abstractNum>
  <w:abstractNum w:abstractNumId="3">
    <w:nsid w:val="1F16E9E8"/>
    <w:multiLevelType w:val="hybridMultilevel"/>
    <w:lvl w:ilvl="0">
      <w:lvlJc w:val="left"/>
      <w:lvlText w:val="%1)"/>
      <w:numFmt w:val="decimal"/>
      <w:start w:val="7"/>
    </w:lvl>
  </w:abstractNum>
  <w:abstractNum w:abstractNumId="4">
    <w:nsid w:val="1190CDE7"/>
    <w:multiLevelType w:val="hybridMultilevel"/>
    <w:lvl w:ilvl="0">
      <w:lvlJc w:val="left"/>
      <w:lvlText w:val="%1)"/>
      <w:numFmt w:val="decimal"/>
      <w:start w:val="9"/>
    </w:lvl>
  </w:abstractNum>
  <w:abstractNum w:abstractNumId="5">
    <w:nsid w:val="66EF438D"/>
    <w:multiLevelType w:val="hybridMultilevel"/>
    <w:lvl w:ilvl="0">
      <w:lvlJc w:val="left"/>
      <w:lvlText w:val="%1)"/>
      <w:numFmt w:val="decimal"/>
      <w:start w:val="1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2"/>
    </w:lvl>
    <w:lvl w:ilvl="1">
      <w:lvlJc w:val="left"/>
      <w:lvlText w:val="(%2)"/>
      <w:numFmt w:val="lowerLetter"/>
      <w:start w:val="1"/>
    </w:lvl>
  </w:abstractNum>
  <w:abstractNum w:abstractNumId="8">
    <w:nsid w:val="109CF92E"/>
    <w:multiLevelType w:val="hybridMultilevel"/>
    <w:lvl w:ilvl="0">
      <w:lvlJc w:val="left"/>
      <w:lvlText w:val="%1"/>
      <w:numFmt w:val="decimal"/>
      <w:start w:val="1"/>
    </w:lvl>
    <w:lvl w:ilvl="1">
      <w:lvlJc w:val="left"/>
      <w:lvlText w:val="%2)"/>
      <w:numFmt w:val="decimal"/>
      <w:start w:val="7"/>
    </w:lvl>
  </w:abstractNum>
  <w:abstractNum w:abstractNumId="9">
    <w:nsid w:val="DED7263"/>
    <w:multiLevelType w:val="hybridMultilevel"/>
    <w:lvl w:ilvl="0">
      <w:lvlJc w:val="left"/>
      <w:lvlText w:val="%1)"/>
      <w:numFmt w:val="decimal"/>
      <w:start w:val="9"/>
    </w:lvl>
    <w:lvl w:ilvl="1">
      <w:lvlJc w:val="left"/>
      <w:lvlText w:val="%2"/>
      <w:numFmt w:val="decimal"/>
      <w:start w:val="1"/>
    </w:lvl>
  </w:abstractNum>
  <w:abstractNum w:abstractNumId="10">
    <w:nsid w:val="7FDCC233"/>
    <w:multiLevelType w:val="hybridMultilevel"/>
    <w:lvl w:ilvl="0">
      <w:lvlJc w:val="left"/>
      <w:lvlText w:val="%1)"/>
      <w:numFmt w:val="decimal"/>
      <w:start w:val="1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lvl w:ilvl="1">
      <w:lvlJc w:val="left"/>
      <w:lvlText w:val="(%2)"/>
      <w:numFmt w:val="lowerLetter"/>
      <w:start w:val="2"/>
    </w:lvl>
  </w:abstractNum>
  <w:abstractNum w:abstractNumId="13">
    <w:nsid w:val="6B68079A"/>
    <w:multiLevelType w:val="hybridMultilevel"/>
    <w:lvl w:ilvl="0">
      <w:lvlJc w:val="left"/>
      <w:lvlText w:val="%1)"/>
      <w:numFmt w:val="decimal"/>
      <w:start w:val="3"/>
    </w:lvl>
    <w:lvl w:ilvl="1">
      <w:lvlJc w:val="left"/>
      <w:lvlText w:val="%2"/>
      <w:numFmt w:val="lowerLetter"/>
      <w:start w:val="1"/>
    </w:lvl>
  </w:abstractNum>
  <w:abstractNum w:abstractNumId="14">
    <w:nsid w:val="4E6AFB66"/>
    <w:multiLevelType w:val="hybridMultilevel"/>
    <w:lvl w:ilvl="0">
      <w:lvlJc w:val="left"/>
      <w:lvlText w:val="%1"/>
      <w:numFmt w:val="decimal"/>
      <w:start w:val="1"/>
    </w:lvl>
    <w:lvl w:ilvl="1">
      <w:lvlJc w:val="left"/>
      <w:lvlText w:val="%2)"/>
      <w:numFmt w:val="decimal"/>
      <w:start w:val="7"/>
    </w:lvl>
  </w:abstractNum>
  <w:abstractNum w:abstractNumId="15">
    <w:nsid w:val="25E45D32"/>
    <w:multiLevelType w:val="hybridMultilevel"/>
    <w:lvl w:ilvl="0">
      <w:lvlJc w:val="left"/>
      <w:lvlText w:val="%1)"/>
      <w:numFmt w:val="decimal"/>
      <w:start w:val="9"/>
    </w:lvl>
    <w:lvl w:ilvl="1">
      <w:lvlJc w:val="left"/>
      <w:lvlText w:val="%2"/>
      <w:numFmt w:val="decimal"/>
      <w:start w:val="1"/>
    </w:lvl>
  </w:abstractNum>
  <w:abstractNum w:abstractNumId="16">
    <w:nsid w:val="519B500D"/>
    <w:multiLevelType w:val="hybridMultilevel"/>
    <w:lvl w:ilvl="0">
      <w:lvlJc w:val="left"/>
      <w:lvlText w:val="%1)"/>
      <w:numFmt w:val="decimal"/>
      <w:start w:val="1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2019-12-13T15:49:36Z</dcterms:created>
  <dcterms:modified xsi:type="dcterms:W3CDTF">2019-12-13T15:49:36Z</dcterms:modified>
</cp:coreProperties>
</file>