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380" w:right="220"/>
        <w:spacing w:after="0" w:line="277" w:lineRule="auto"/>
        <w:rPr>
          <w:sz w:val="20"/>
          <w:szCs w:val="20"/>
          <w:color w:val="auto"/>
        </w:rPr>
      </w:pPr>
      <w:r>
        <w:rPr>
          <w:rFonts w:ascii="Arial" w:cs="Arial" w:eastAsia="Arial" w:hAnsi="Arial"/>
          <w:sz w:val="18"/>
          <w:szCs w:val="18"/>
          <w:color w:val="auto"/>
        </w:rPr>
        <w:t>On August 5, 2015, Itron, Inc. (the Company) issued a press release announcing its financial results for the three and six months ended June 30, 2015.</w:t>
      </w:r>
    </w:p>
    <w:p>
      <w:pPr>
        <w:spacing w:after="0" w:line="22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 copy of this press release and accompanying financial statements are attached as Exhibit 99.1.</w:t>
      </w:r>
    </w:p>
    <w:p>
      <w:pPr>
        <w:spacing w:after="0" w:line="27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 Exhibits.</w:t>
      </w:r>
    </w:p>
    <w:p>
      <w:pPr>
        <w:spacing w:after="0" w:line="2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80"/>
        <w:spacing w:after="0"/>
        <w:tabs>
          <w:tab w:leader="none" w:pos="14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40"/>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5, 2015.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3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ITRON, INC.</w:t>
            </w:r>
          </w:p>
        </w:tc>
      </w:tr>
      <w:tr>
        <w:trPr>
          <w:trHeight w:val="493"/>
        </w:trPr>
        <w:tc>
          <w:tcPr>
            <w:tcW w:w="3760" w:type="dxa"/>
            <w:vAlign w:val="bottom"/>
          </w:tcPr>
          <w:p>
            <w:pPr>
              <w:spacing w:after="0"/>
              <w:rPr>
                <w:sz w:val="20"/>
                <w:szCs w:val="20"/>
                <w:color w:val="auto"/>
              </w:rPr>
            </w:pPr>
            <w:r>
              <w:rPr>
                <w:rFonts w:ascii="Arial" w:cs="Arial" w:eastAsia="Arial" w:hAnsi="Arial"/>
                <w:sz w:val="18"/>
                <w:szCs w:val="18"/>
                <w:color w:val="auto"/>
              </w:rPr>
              <w:t>Dated:   August 5, 2015</w:t>
            </w:r>
          </w:p>
        </w:tc>
        <w:tc>
          <w:tcPr>
            <w:tcW w:w="2420" w:type="dxa"/>
            <w:vAlign w:val="bottom"/>
          </w:tcPr>
          <w:p>
            <w:pPr>
              <w:ind w:left="1960"/>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/s/ W. Mark Schmitz</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 Mark Schmitz</w:t>
            </w:r>
          </w:p>
        </w:tc>
        <w:tc>
          <w:tcPr>
            <w:tcW w:w="1360" w:type="dxa"/>
            <w:vAlign w:val="bottom"/>
          </w:tcPr>
          <w:p>
            <w:pPr>
              <w:spacing w:after="0"/>
              <w:rPr>
                <w:sz w:val="20"/>
                <w:szCs w:val="20"/>
                <w:color w:val="auto"/>
              </w:rPr>
            </w:pPr>
          </w:p>
        </w:tc>
      </w:tr>
      <w:tr>
        <w:trPr>
          <w:trHeight w:val="242"/>
        </w:trPr>
        <w:tc>
          <w:tcPr>
            <w:tcW w:w="37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149"/>
        </w:trPr>
        <w:tc>
          <w:tcPr>
            <w:tcW w:w="3760" w:type="dxa"/>
            <w:vAlign w:val="bottom"/>
            <w:tcBorders>
              <w:bottom w:val="single" w:sz="8" w:color="9A9A9A"/>
            </w:tcBorders>
          </w:tcPr>
          <w:p>
            <w:pPr>
              <w:spacing w:after="0"/>
              <w:rPr>
                <w:sz w:val="12"/>
                <w:szCs w:val="12"/>
                <w:color w:val="auto"/>
              </w:rPr>
            </w:pPr>
          </w:p>
        </w:tc>
        <w:tc>
          <w:tcPr>
            <w:tcW w:w="2420" w:type="dxa"/>
            <w:vAlign w:val="bottom"/>
            <w:tcBorders>
              <w:bottom w:val="single" w:sz="8" w:color="9A9A9A"/>
            </w:tcBorders>
          </w:tcPr>
          <w:p>
            <w:pPr>
              <w:spacing w:after="0"/>
              <w:rPr>
                <w:sz w:val="12"/>
                <w:szCs w:val="12"/>
                <w:color w:val="auto"/>
              </w:rPr>
            </w:pPr>
          </w:p>
        </w:tc>
        <w:tc>
          <w:tcPr>
            <w:tcW w:w="38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r>
      <w:tr>
        <w:trPr>
          <w:trHeight w:val="21"/>
        </w:trPr>
        <w:tc>
          <w:tcPr>
            <w:tcW w:w="376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388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5, 2015.</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Second Quarter 2015 Financial Results</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LIBERTY LAKE, Wash.--(BUSINESS WIRE)--August 5, 2015--Itron, Inc. (NASDAQ:ITRI) announced today financial results for its second quarter and six months ended June 30, 2015. The financial results include:</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six month revenues of $470 million and $918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six month Electricity segment revenues increased 11 percent and 9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six month GAAP net loss per share of 37 cents and 24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six month non-GAAP net loss per share of 38 cents and 18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60"/>
        <w:spacing w:after="0" w:line="251" w:lineRule="auto"/>
        <w:rPr>
          <w:sz w:val="20"/>
          <w:szCs w:val="20"/>
          <w:color w:val="auto"/>
        </w:rPr>
      </w:pPr>
      <w:r>
        <w:rPr>
          <w:rFonts w:ascii="Arial" w:cs="Arial" w:eastAsia="Arial" w:hAnsi="Arial"/>
          <w:sz w:val="22"/>
          <w:szCs w:val="22"/>
          <w:color w:val="auto"/>
        </w:rPr>
        <w:t>A previously announced warranty charge of $23.6 million in the quarter and $26.7 million in the six month period impacted per share results by 38 cents and 43 cents,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740"/>
        <w:spacing w:after="0" w:line="251" w:lineRule="auto"/>
        <w:rPr>
          <w:sz w:val="20"/>
          <w:szCs w:val="20"/>
          <w:color w:val="auto"/>
        </w:rPr>
      </w:pPr>
      <w:r>
        <w:rPr>
          <w:rFonts w:ascii="Arial" w:cs="Arial" w:eastAsia="Arial" w:hAnsi="Arial"/>
          <w:sz w:val="22"/>
          <w:szCs w:val="22"/>
          <w:color w:val="auto"/>
        </w:rPr>
        <w:t>An unfavorable tax adjustment due to losses in countries with full valuation allowances impacted per share results by approximately 18 cents in the quarter, and 21 cents in the six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six month adjusted EBITDA of $4 million and $33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Twelve-month backlog of $791 million and total backlog of $1.4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bookings of $398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“Revenues for the quarter increased by six percent excluding the impact of foreign currency, however, our earnings were unacceptable,” said Philip Mezey, Itron’s president and chief executive officer. “Strong improvement in the Electricity business was offset by the previously announced warranty cost in the Water segment, as well as weaker than expected Gas gross margin in the EMEA region. In addition, tax expense contributed to the unfavorable earnings. The higher tax rate in the quarter was due to operating losses in countries where deferred tax assets have been impaired. Improved profitability in these countries should result in a lower tax rate for the balance of the year.”</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“We are taking aggressive steps to strengthen our quality processes and improve operational performance, including immediate cost control measures to strengthen earnings in the second half of the year,” continued Mr. Mezey. “Itron has a strong competitive position in a growing industry. We are also on track with our restructuring initiatives, which will deliver long-term sustainable cost savings. We are confident that we are taking the right steps to create increased value for shareholders in 2016 and beyond.”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 - Quarter</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Revenues were $470 million for the quarter compared with $489 million in 2014. Changes in foreign currency exchange rates unfavorably impacted revenues by approximately $50 million for the quarter. Excluding the impact from foreign currency, revenues increased $31 million, or 6 percent, compared with the 2014 quarter. The increase in revenues was driven by the Electricity segment, which grew 19 percent year-over-year,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320"/>
        <w:spacing w:after="0" w:line="298" w:lineRule="auto"/>
        <w:rPr>
          <w:sz w:val="20"/>
          <w:szCs w:val="20"/>
          <w:color w:val="auto"/>
        </w:rPr>
      </w:pPr>
      <w:r>
        <w:rPr>
          <w:rFonts w:ascii="Arial" w:cs="Arial" w:eastAsia="Arial" w:hAnsi="Arial"/>
          <w:sz w:val="19"/>
          <w:szCs w:val="19"/>
          <w:color w:val="auto"/>
        </w:rPr>
        <w:t>Gross margin for the quarter was 25.2 percent compared with the prior year period margin of 33.3 percent. Increased warranty expense, primarily due to $23.6 million recorded in the Water segment, negatively impacted gross margin by approximately 570 basis points. In addition, lower volumes and an unfavorable product mix in the Gas segment negatively impacted gross margin.</w:t>
      </w:r>
    </w:p>
    <w:p>
      <w:pPr>
        <w:spacing w:after="0" w:line="132"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GAAP operating expenses in the quarter were $123 million compared with $131 million in same period of 2014. Changes in foreign currency exchange rates favorably impacted GAAP expenses by approximately $13 million in the quarter. Excluding the impact from foreign currency, expenses in the quarter increased $4 million compared with the prior year quarter. The increase was driven by restructuring, higher sales and marketing expenses in Electricity and increased product development investments in Gas and Water. These increases were partially offset by lower general and administrative costs driven by a recovery of $4.6 million from a litigation matter associated with the 2012 SmartSynch acquisition and lower intangible asset amortization expense.</w:t>
      </w:r>
    </w:p>
    <w:p>
      <w:pPr>
        <w:spacing w:after="0" w:line="151"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GAAP operating loss for the quarter was $4 million compared with operating income of $32 million in the same period of 2014. GAAP net loss for the quarter was $14 million, or 37 cents per share, compared with net income of $19 million, or 49 cents per diluted share. The operating and net losses for the quarter were primarily attributable to the Water segment warranty charge and decreased contribution from the Gas segment. Interest expense in the quarter increased $1 million compared with the prior year due to the write-off of unamortized debt fees associated with the refinancing of a previous debt agreement. In addition, despite having a pre-tax net loss, tax expense was recorded due to valuation allowances applied to deferred tax assets in certain jurisdictions. These valuation allowances currently restrict the ability to recognize a tax benefit on losses in these jurisdictions.</w:t>
      </w:r>
    </w:p>
    <w:p>
      <w:pPr>
        <w:spacing w:after="0" w:line="153"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Non-GAAP operating expenses, which exclude amortization of intangibles, restructuring charges, acquisition related expenses and goodwill impairment, were $123 million for the quarter compared with $128 million in the prior year quarter. Changes in foreign currency exchange rates favorably impacted Non-GAAP expenses by approximately $13 million in the quarter. Excluding the foreign currency impact, expenses increased by $8 million driven by higher sales and marketing costs in Electricity, increased product development investments in Gas and Water and higher general and administrative expenses due to employee related benefits and information technology support.</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Non-GAAP operating loss was $5 million for the quarter compared with operating income of $35 million in the same period in 2014. Non-GAAP net loss for the quarter was $15 million, or 38 cents per share, compared with net income of $21 million, or 54 cents per diluted share in the prior year quarter. The Non-GAAP operating and net loss for the quarter were primarily attributable to the Water segment warranty charge and decreased contribution from the Gas segment. In addition, despite having a pre-tax net loss, tax expense was recorded due to valuation allowances applied to deferred tax assets in certain jurisdictions. These valuation allowances currently restrict the ability to recognize a tax benefit on losses in these jurisdictions.</w:t>
      </w:r>
    </w:p>
    <w:p>
      <w:pPr>
        <w:spacing w:after="0" w:line="151"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Free cash flow was $10 million for the quarter compared with negative $10 million in the prior year quarter. Free cash flow for the quarter was positively impacted by timing of accounts payable disbursements, offset by increased inventory to support future production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ind w:right="320"/>
        <w:spacing w:after="0" w:line="238" w:lineRule="auto"/>
        <w:rPr>
          <w:sz w:val="20"/>
          <w:szCs w:val="20"/>
          <w:color w:val="auto"/>
        </w:rPr>
      </w:pPr>
      <w:r>
        <w:rPr>
          <w:rFonts w:ascii="Arial" w:cs="Arial" w:eastAsia="Arial" w:hAnsi="Arial"/>
          <w:sz w:val="22"/>
          <w:szCs w:val="22"/>
          <w:color w:val="auto"/>
        </w:rPr>
        <w:t>During the quarter, the company repurchased 188,775 shares of Itron common stock at an average price of $36.25 per share pursuant to Board authorization to repurchase up to $50 million of Itron common stock during a 12-month period beginning February 2015. As of June 30, 2015, the company had repurchased 272,775 shares of Itron common stock at an average price of $36.30 per share, since the inception of the plan.</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company recently concluded discussions with several work councils in Europe regarding its restructuring plans and expects the pace of activities to accelerate. Adjustments to restructuring expense were made during the quarter to reflect changes in estimates and assumptions following labor negotiations. The company continues to expect annualized savings of approximately $40 million upon completion of the restructuring activities by the end of 2016.</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 – Six Months</w:t>
      </w:r>
    </w:p>
    <w:p>
      <w:pPr>
        <w:spacing w:after="0" w:line="212"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Revenues were $918 million for the first six months of 2015, compared with $964 million in the 2014 period. Changes in foreign currency exchange rates unfavorably impacted revenues by $94 million for the first six months. Excluding the impact from foreign currency, revenues increased $48 million, or 5 percent, compared with the 2014 period. The increase in revenues was driven by the Electricity segment, which grew nearly 17 percent year-over-year, on a constant currency basis.</w:t>
      </w:r>
    </w:p>
    <w:p>
      <w:pPr>
        <w:spacing w:after="0" w:line="14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Gross margin for the first six months of 2015 was 28.0 percent compared with 32.9 percent in 2014. Increased warranty expenses, primarily due to $26.7 million recorded in the Water segment, negatively impacted gross margin by approximately 320 basis points. In addition, lower volumes and an unfavorable product mix in the Gas segment negatively impacted gross margin.</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GAAP operating expenses for the six month period were $247 million compared with $281 million in the prior year period. Changes in foreign currency exchange rates favorably impacted GAAP expenses by approximately $28 million for the six month period. Excluding the impact from foreign currency, expenses in the six month period decreased $6 million compared with the 2014 period. The decrease was driven by lower intangible asset amortization expense and adjustments to restructuring reserves.</w:t>
      </w:r>
    </w:p>
    <w:p>
      <w:pPr>
        <w:spacing w:after="0" w:line="143"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GAAP operating income for the six month period was $10 million compared with $36 million in the 2014 period. GAAP net loss in the first six months was $9 million, or 24 cents per share, compared with net income of $19 million, or 48 cents per share, in the 2014 period. The decrease in GAAP net earnings compared with the prior year period was driven by lower gross profit in the Water and Gas segments and an increased effective tax rate and expense as a result of valuation allowances applied to deferred tax assets in certain jurisdictions. These valuation allowances currently restrict the ability to recognize a tax benefit on losses in these jurisdictions.</w:t>
      </w:r>
    </w:p>
    <w:p>
      <w:pPr>
        <w:spacing w:after="0" w:line="188" w:lineRule="exact"/>
        <w:rPr>
          <w:sz w:val="20"/>
          <w:szCs w:val="20"/>
          <w:color w:val="auto"/>
        </w:rPr>
      </w:pPr>
    </w:p>
    <w:p>
      <w:pPr>
        <w:jc w:val="both"/>
        <w:ind w:right="120"/>
        <w:spacing w:after="0" w:line="273" w:lineRule="auto"/>
        <w:rPr>
          <w:sz w:val="20"/>
          <w:szCs w:val="20"/>
          <w:color w:val="auto"/>
        </w:rPr>
      </w:pPr>
      <w:r>
        <w:rPr>
          <w:rFonts w:ascii="Arial" w:cs="Arial" w:eastAsia="Arial" w:hAnsi="Arial"/>
          <w:sz w:val="19"/>
          <w:szCs w:val="19"/>
          <w:color w:val="auto"/>
        </w:rPr>
        <w:t>Non-GAAP operating expenses, which exclude amortization of intangibles, restructuring charges, acquisition related expenses and goodwill impairment, for the six month period were $243 million compared with $260 million in the prior year period. Changes in foreign currency exchange rates favorably impacted Non-GAAP expenses by approximately $25 million in the six month period.</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Excluding the foreign currency impact, expenses increased due to higher sales and marketing expenses in both the Electricity and Water segments, increased product development investments in Gas and Water and higher general and administrative expenses due to employee related benefits and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line="248" w:lineRule="auto"/>
        <w:rPr>
          <w:sz w:val="20"/>
          <w:szCs w:val="20"/>
          <w:color w:val="auto"/>
        </w:rPr>
      </w:pPr>
      <w:r>
        <w:rPr>
          <w:rFonts w:ascii="Arial" w:cs="Arial" w:eastAsia="Arial" w:hAnsi="Arial"/>
          <w:sz w:val="21"/>
          <w:szCs w:val="21"/>
          <w:color w:val="auto"/>
        </w:rPr>
        <w:t>Non-GAAP operating income for the first six months of 2015 was $13 million compared with $58 million in 2014. Non-GAAP net loss for the first six months of 2015 was $7 million, or 18 cents per share, compared with non-GAAP net income of $34 million, or 85 cents per diluted share, in 2014. The decrease in non-GAAP operating income for the six month period was attributable to lower gross profit. Non-GAAP net income for the year was negatively impacted by a higher effective tax rate driven primarily by the valuation allowances applied to deferred tax assets in certain jurisdictions. These valuation allowances currently restrict the ability to recognize a tax benefit on losses in these jurisdictions.</w:t>
      </w:r>
    </w:p>
    <w:p>
      <w:pPr>
        <w:spacing w:after="0" w:line="178"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During the first six months of 2015, free cash flow was negative $3 million compared with positive $48 million in 2014. The decrease over the prior year was primarily due to lower earnings and increased inventory levels.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 year 2015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$1.85 and $1.95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diluted earnings per share between $1.00 and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360"/>
        <w:spacing w:after="0" w:line="282" w:lineRule="auto"/>
        <w:rPr>
          <w:sz w:val="20"/>
          <w:szCs w:val="20"/>
          <w:color w:val="auto"/>
        </w:rPr>
      </w:pPr>
      <w:r>
        <w:rPr>
          <w:rFonts w:ascii="Arial" w:cs="Arial" w:eastAsia="Arial" w:hAnsi="Arial"/>
          <w:sz w:val="19"/>
          <w:szCs w:val="19"/>
          <w:color w:val="auto"/>
        </w:rPr>
        <w:t>The company’s guidance includes the effect of the $26.7 million Water warranty charge recorded in the first half of the year, accounting for 43 cents of decreased earnings per share. The guidance assumes a Euro to U.S. dollar average exchange rate of $1.12 in 2015 compared with an average rate of $1.33 in 2014, a gross margin of approximately 30 percent and average shares outstanding of approximately 38.5 million for the year. The company also anticipates modest upward pressure on its previously provided guidance of 37 percent non-GAAP effective tax rate for the full year.</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The guidance reflects the company’s expectation for improvement in results in the second half of 2015 when compared with the first half. Earnings are expected to improve due to increased revenue supported by contracted backlog; higher gross margin reflecting additional volumes across all segments, product cost reductions and factory efficiencies in Gas in the fourth quarter; immediate cost reductions in all categories of discretionary spending; and a lower effective tax rate than realized in the first half of the year.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 xml:space="preserve">Itron will host a conference call to discuss the financial results and guidance contained in this release at 5:00 p.m. Eastern Daylight Time (EDT) on Aug. 5, 2015. The call will be webcast in a listen-only mode. Webcast information and conference call materials will be made available 10 minutes before the start of the call and will be accessible on Itron’s website at </w:t>
      </w:r>
      <w:r>
        <w:rPr>
          <w:rFonts w:ascii="Arial" w:cs="Arial" w:eastAsia="Arial" w:hAnsi="Arial"/>
          <w:sz w:val="22"/>
          <w:szCs w:val="22"/>
          <w:u w:val="single" w:color="auto"/>
          <w:color w:val="auto"/>
        </w:rPr>
        <w:t>http://investors.itron.com/events.cfm</w:t>
      </w:r>
      <w:r>
        <w:rPr>
          <w:rFonts w:ascii="Arial" w:cs="Arial" w:eastAsia="Arial" w:hAnsi="Arial"/>
          <w:sz w:val="22"/>
          <w:szCs w:val="22"/>
          <w:color w:val="auto"/>
        </w:rPr>
        <w:t xml:space="preserve">. A replay of the audio webcast will be available within 90 minutes of the conclusion of the live call and available for one year at </w:t>
      </w:r>
      <w:r>
        <w:rPr>
          <w:rFonts w:ascii="Arial" w:cs="Arial" w:eastAsia="Arial" w:hAnsi="Arial"/>
          <w:sz w:val="22"/>
          <w:szCs w:val="22"/>
          <w:u w:val="single" w:color="auto"/>
          <w:color w:val="auto"/>
        </w:rPr>
        <w:t>http://investors.itron.com/events.cfm</w:t>
      </w:r>
      <w:r>
        <w:rPr>
          <w:rFonts w:ascii="Arial" w:cs="Arial" w:eastAsia="Arial" w:hAnsi="Arial"/>
          <w:sz w:val="22"/>
          <w:szCs w:val="22"/>
          <w:color w:val="auto"/>
        </w:rPr>
        <w:t>. A telephone replay of the conference call will be available through Aug. 10, 2015. To access the telephone replay, dial (888) 203-1112 (Domestic) or (719) 457-0820 (International) and enter passcode 5299205.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Itron</w:t>
      </w:r>
    </w:p>
    <w:p>
      <w:pPr>
        <w:spacing w:after="0" w:line="21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2014 and other reports on file with the Securities and Exchange Commission. Itron undertakes no obligation to update publicly or revise any forward-looking statements, including our business outlook.</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or non-cash costs, particularly those associated with acquisitions. We exclude certain costs in our non-GAAP financial measures as we believe the net result is a measure of our core business.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156"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GAAP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20" w:type="dxa"/>
            <w:vAlign w:val="bottom"/>
          </w:tcPr>
          <w:p>
            <w:pPr>
              <w:spacing w:after="0"/>
              <w:rPr>
                <w:sz w:val="15"/>
                <w:szCs w:val="15"/>
                <w:color w:val="auto"/>
              </w:rPr>
            </w:pPr>
          </w:p>
        </w:tc>
        <w:tc>
          <w:tcPr>
            <w:tcW w:w="2500" w:type="dxa"/>
            <w:vAlign w:val="bottom"/>
            <w:gridSpan w:val="3"/>
            <w:vMerge w:val="restart"/>
          </w:tcPr>
          <w:p>
            <w:pPr>
              <w:jc w:val="right"/>
              <w:ind w:right="40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3"/>
            <w:vMerge w:val="restart"/>
          </w:tcPr>
          <w:p>
            <w:pPr>
              <w:jc w:val="right"/>
              <w:ind w:right="4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5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5860" w:type="dxa"/>
            <w:vAlign w:val="bottom"/>
          </w:tcPr>
          <w:p>
            <w:pPr>
              <w:spacing w:after="0"/>
              <w:rPr>
                <w:sz w:val="20"/>
                <w:szCs w:val="20"/>
                <w:color w:val="auto"/>
              </w:rPr>
            </w:pPr>
            <w:r>
              <w:rPr>
                <w:rFonts w:ascii="Arial" w:cs="Arial" w:eastAsia="Arial" w:hAnsi="Arial"/>
                <w:sz w:val="14"/>
                <w:szCs w:val="14"/>
                <w:color w:val="auto"/>
              </w:rPr>
              <w:t>Revenues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470,103</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489,353</w:t>
            </w:r>
          </w:p>
        </w:tc>
        <w:tc>
          <w:tcPr>
            <w:tcW w:w="100" w:type="dxa"/>
            <w:vAlign w:val="bottom"/>
          </w:tcPr>
          <w:p>
            <w:pPr>
              <w:spacing w:after="0"/>
              <w:rPr>
                <w:sz w:val="14"/>
                <w:szCs w:val="1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918,350</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964,148</w:t>
            </w:r>
          </w:p>
        </w:tc>
        <w:tc>
          <w:tcPr>
            <w:tcW w:w="0" w:type="dxa"/>
            <w:vAlign w:val="bottom"/>
          </w:tcPr>
          <w:p>
            <w:pPr>
              <w:spacing w:after="0"/>
              <w:rPr>
                <w:sz w:val="1"/>
                <w:szCs w:val="1"/>
                <w:color w:val="auto"/>
              </w:rPr>
            </w:pPr>
          </w:p>
        </w:tc>
      </w:tr>
      <w:tr>
        <w:trPr>
          <w:trHeight w:val="181"/>
        </w:trPr>
        <w:tc>
          <w:tcPr>
            <w:tcW w:w="5860" w:type="dxa"/>
            <w:vAlign w:val="bottom"/>
          </w:tcPr>
          <w:p>
            <w:pPr>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351,532</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326,312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661,580</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646,572</w:t>
            </w:r>
          </w:p>
        </w:tc>
        <w:tc>
          <w:tcPr>
            <w:tcW w:w="0" w:type="dxa"/>
            <w:vAlign w:val="bottom"/>
          </w:tcPr>
          <w:p>
            <w:pPr>
              <w:spacing w:after="0"/>
              <w:rPr>
                <w:sz w:val="1"/>
                <w:szCs w:val="1"/>
                <w:color w:val="auto"/>
              </w:rPr>
            </w:pPr>
          </w:p>
        </w:tc>
      </w:tr>
      <w:tr>
        <w:trPr>
          <w:trHeight w:val="176"/>
        </w:trPr>
        <w:tc>
          <w:tcPr>
            <w:tcW w:w="5860" w:type="dxa"/>
            <w:vAlign w:val="bottom"/>
          </w:tcPr>
          <w:p>
            <w:pPr>
              <w:spacing w:after="0"/>
              <w:rPr>
                <w:sz w:val="20"/>
                <w:szCs w:val="20"/>
                <w:color w:val="auto"/>
              </w:rPr>
            </w:pPr>
            <w:r>
              <w:rPr>
                <w:rFonts w:ascii="Arial" w:cs="Arial" w:eastAsia="Arial" w:hAnsi="Arial"/>
                <w:sz w:val="14"/>
                <w:szCs w:val="14"/>
                <w:color w:val="auto"/>
              </w:rPr>
              <w:t>Gross profit</w:t>
            </w:r>
          </w:p>
        </w:tc>
        <w:tc>
          <w:tcPr>
            <w:tcW w:w="32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118,571</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163,041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256,770</w:t>
            </w:r>
          </w:p>
        </w:tc>
        <w:tc>
          <w:tcPr>
            <w:tcW w:w="38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317,576</w:t>
            </w:r>
          </w:p>
        </w:tc>
        <w:tc>
          <w:tcPr>
            <w:tcW w:w="0" w:type="dxa"/>
            <w:vAlign w:val="bottom"/>
          </w:tcPr>
          <w:p>
            <w:pPr>
              <w:spacing w:after="0"/>
              <w:rPr>
                <w:sz w:val="1"/>
                <w:szCs w:val="1"/>
                <w:color w:val="auto"/>
              </w:rPr>
            </w:pPr>
          </w:p>
        </w:tc>
      </w:tr>
      <w:tr>
        <w:trPr>
          <w:trHeight w:val="339"/>
        </w:trPr>
        <w:tc>
          <w:tcPr>
            <w:tcW w:w="5860" w:type="dxa"/>
            <w:vAlign w:val="bottom"/>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2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43,058</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46,119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84,085</w:t>
            </w:r>
          </w:p>
        </w:tc>
        <w:tc>
          <w:tcPr>
            <w:tcW w:w="38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93,728</w:t>
            </w:r>
          </w:p>
        </w:tc>
        <w:tc>
          <w:tcPr>
            <w:tcW w:w="0" w:type="dxa"/>
            <w:vAlign w:val="bottom"/>
          </w:tcPr>
          <w:p>
            <w:pPr>
              <w:spacing w:after="0"/>
              <w:rPr>
                <w:sz w:val="1"/>
                <w:szCs w:val="1"/>
                <w:color w:val="auto"/>
              </w:rPr>
            </w:pPr>
          </w:p>
        </w:tc>
      </w:tr>
      <w:tr>
        <w:trPr>
          <w:trHeight w:val="176"/>
        </w:trPr>
        <w:tc>
          <w:tcPr>
            <w:tcW w:w="5860" w:type="dxa"/>
            <w:vAlign w:val="bottom"/>
          </w:tcPr>
          <w:p>
            <w:pPr>
              <w:ind w:left="220"/>
              <w:spacing w:after="0"/>
              <w:rPr>
                <w:sz w:val="20"/>
                <w:szCs w:val="20"/>
                <w:color w:val="auto"/>
              </w:rPr>
            </w:pPr>
            <w:r>
              <w:rPr>
                <w:rFonts w:ascii="Arial" w:cs="Arial" w:eastAsia="Arial" w:hAnsi="Arial"/>
                <w:sz w:val="14"/>
                <w:szCs w:val="14"/>
                <w:color w:val="auto"/>
              </w:rPr>
              <w:t>Product development</w:t>
            </w:r>
          </w:p>
        </w:tc>
        <w:tc>
          <w:tcPr>
            <w:tcW w:w="32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43,318</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43,999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84,840</w:t>
            </w:r>
          </w:p>
        </w:tc>
        <w:tc>
          <w:tcPr>
            <w:tcW w:w="38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88,408</w:t>
            </w:r>
          </w:p>
        </w:tc>
        <w:tc>
          <w:tcPr>
            <w:tcW w:w="0" w:type="dxa"/>
            <w:vAlign w:val="bottom"/>
          </w:tcPr>
          <w:p>
            <w:pPr>
              <w:spacing w:after="0"/>
              <w:rPr>
                <w:sz w:val="1"/>
                <w:szCs w:val="1"/>
                <w:color w:val="auto"/>
              </w:rPr>
            </w:pPr>
          </w:p>
        </w:tc>
      </w:tr>
      <w:tr>
        <w:trPr>
          <w:trHeight w:val="176"/>
        </w:trPr>
        <w:tc>
          <w:tcPr>
            <w:tcW w:w="5860" w:type="dxa"/>
            <w:vAlign w:val="bottom"/>
          </w:tcPr>
          <w:p>
            <w:pPr>
              <w:ind w:left="22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32,492</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37,680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72,077</w:t>
            </w:r>
          </w:p>
        </w:tc>
        <w:tc>
          <w:tcPr>
            <w:tcW w:w="38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78,087</w:t>
            </w:r>
          </w:p>
        </w:tc>
        <w:tc>
          <w:tcPr>
            <w:tcW w:w="0" w:type="dxa"/>
            <w:vAlign w:val="bottom"/>
          </w:tcPr>
          <w:p>
            <w:pPr>
              <w:spacing w:after="0"/>
              <w:rPr>
                <w:sz w:val="1"/>
                <w:szCs w:val="1"/>
                <w:color w:val="auto"/>
              </w:rPr>
            </w:pPr>
          </w:p>
        </w:tc>
      </w:tr>
      <w:tr>
        <w:trPr>
          <w:trHeight w:val="176"/>
        </w:trPr>
        <w:tc>
          <w:tcPr>
            <w:tcW w:w="5860" w:type="dxa"/>
            <w:vAlign w:val="bottom"/>
          </w:tcPr>
          <w:p>
            <w:pPr>
              <w:ind w:left="220"/>
              <w:spacing w:after="0"/>
              <w:rPr>
                <w:sz w:val="20"/>
                <w:szCs w:val="20"/>
                <w:color w:val="auto"/>
              </w:rPr>
            </w:pPr>
            <w:r>
              <w:rPr>
                <w:rFonts w:ascii="Arial" w:cs="Arial" w:eastAsia="Arial" w:hAnsi="Arial"/>
                <w:sz w:val="14"/>
                <w:szCs w:val="14"/>
                <w:color w:val="auto"/>
              </w:rPr>
              <w:t>Amortization of business acquisition-related intangible assets</w:t>
            </w:r>
          </w:p>
        </w:tc>
        <w:tc>
          <w:tcPr>
            <w:tcW w:w="32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7,888</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11,109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15,861</w:t>
            </w:r>
          </w:p>
        </w:tc>
        <w:tc>
          <w:tcPr>
            <w:tcW w:w="38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22,179</w:t>
            </w:r>
          </w:p>
        </w:tc>
        <w:tc>
          <w:tcPr>
            <w:tcW w:w="0" w:type="dxa"/>
            <w:vAlign w:val="bottom"/>
          </w:tcPr>
          <w:p>
            <w:pPr>
              <w:spacing w:after="0"/>
              <w:rPr>
                <w:sz w:val="1"/>
                <w:szCs w:val="1"/>
                <w:color w:val="auto"/>
              </w:rPr>
            </w:pPr>
          </w:p>
        </w:tc>
      </w:tr>
      <w:tr>
        <w:trPr>
          <w:trHeight w:val="176"/>
        </w:trPr>
        <w:tc>
          <w:tcPr>
            <w:tcW w:w="5860" w:type="dxa"/>
            <w:vAlign w:val="bottom"/>
          </w:tcPr>
          <w:p>
            <w:pPr>
              <w:ind w:left="220"/>
              <w:spacing w:after="0"/>
              <w:rPr>
                <w:sz w:val="20"/>
                <w:szCs w:val="20"/>
                <w:color w:val="auto"/>
              </w:rPr>
            </w:pPr>
            <w:r>
              <w:rPr>
                <w:rFonts w:ascii="Arial" w:cs="Arial" w:eastAsia="Arial" w:hAnsi="Arial"/>
                <w:sz w:val="14"/>
                <w:szCs w:val="14"/>
                <w:color w:val="auto"/>
              </w:rPr>
              <w:t>Restructuring expense</w:t>
            </w:r>
          </w:p>
        </w:tc>
        <w:tc>
          <w:tcPr>
            <w:tcW w:w="32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(4,234)</w:t>
            </w:r>
          </w:p>
        </w:tc>
        <w:tc>
          <w:tcPr>
            <w:tcW w:w="4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(7,793)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(9,681)</w:t>
            </w:r>
          </w:p>
        </w:tc>
        <w:tc>
          <w:tcPr>
            <w:tcW w:w="3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(2,269)</w:t>
            </w:r>
          </w:p>
        </w:tc>
        <w:tc>
          <w:tcPr>
            <w:tcW w:w="0" w:type="dxa"/>
            <w:vAlign w:val="bottom"/>
          </w:tcPr>
          <w:p>
            <w:pPr>
              <w:spacing w:after="0"/>
              <w:rPr>
                <w:sz w:val="1"/>
                <w:szCs w:val="1"/>
                <w:color w:val="auto"/>
              </w:rPr>
            </w:pPr>
          </w:p>
        </w:tc>
      </w:tr>
      <w:tr>
        <w:trPr>
          <w:trHeight w:val="181"/>
        </w:trPr>
        <w:tc>
          <w:tcPr>
            <w:tcW w:w="5860" w:type="dxa"/>
            <w:vAlign w:val="bottom"/>
          </w:tcPr>
          <w:p>
            <w:pPr>
              <w:ind w:left="220"/>
              <w:spacing w:after="0"/>
              <w:rPr>
                <w:sz w:val="20"/>
                <w:szCs w:val="20"/>
                <w:color w:val="auto"/>
              </w:rPr>
            </w:pPr>
            <w:r>
              <w:rPr>
                <w:rFonts w:ascii="Arial" w:cs="Arial" w:eastAsia="Arial" w:hAnsi="Arial"/>
                <w:sz w:val="14"/>
                <w:szCs w:val="14"/>
                <w:color w:val="auto"/>
              </w:rPr>
              <w:t>Goodwill impairment</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586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122,522</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131,114</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247,182</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281,110</w:t>
            </w:r>
          </w:p>
        </w:tc>
        <w:tc>
          <w:tcPr>
            <w:tcW w:w="0" w:type="dxa"/>
            <w:vAlign w:val="bottom"/>
          </w:tcPr>
          <w:p>
            <w:pPr>
              <w:spacing w:after="0"/>
              <w:rPr>
                <w:sz w:val="1"/>
                <w:szCs w:val="1"/>
                <w:color w:val="auto"/>
              </w:rPr>
            </w:pPr>
          </w:p>
        </w:tc>
      </w:tr>
      <w:tr>
        <w:trPr>
          <w:trHeight w:val="339"/>
        </w:trPr>
        <w:tc>
          <w:tcPr>
            <w:tcW w:w="5860" w:type="dxa"/>
            <w:vAlign w:val="bottom"/>
          </w:tcPr>
          <w:p>
            <w:pPr>
              <w:spacing w:after="0"/>
              <w:rPr>
                <w:sz w:val="20"/>
                <w:szCs w:val="20"/>
                <w:color w:val="auto"/>
              </w:rPr>
            </w:pPr>
            <w:r>
              <w:rPr>
                <w:rFonts w:ascii="Arial" w:cs="Arial" w:eastAsia="Arial" w:hAnsi="Arial"/>
                <w:sz w:val="14"/>
                <w:szCs w:val="14"/>
                <w:color w:val="auto"/>
              </w:rPr>
              <w:t>Operating income (loss)</w:t>
            </w:r>
          </w:p>
        </w:tc>
        <w:tc>
          <w:tcPr>
            <w:tcW w:w="32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(3,951)</w:t>
            </w:r>
          </w:p>
        </w:tc>
        <w:tc>
          <w:tcPr>
            <w:tcW w:w="42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31,927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9,588</w:t>
            </w:r>
          </w:p>
        </w:tc>
        <w:tc>
          <w:tcPr>
            <w:tcW w:w="38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36,466</w:t>
            </w:r>
          </w:p>
        </w:tc>
        <w:tc>
          <w:tcPr>
            <w:tcW w:w="0" w:type="dxa"/>
            <w:vAlign w:val="bottom"/>
          </w:tcPr>
          <w:p>
            <w:pPr>
              <w:spacing w:after="0"/>
              <w:rPr>
                <w:sz w:val="1"/>
                <w:szCs w:val="1"/>
                <w:color w:val="auto"/>
              </w:rPr>
            </w:pPr>
          </w:p>
        </w:tc>
      </w:tr>
      <w:tr>
        <w:trPr>
          <w:trHeight w:val="176"/>
        </w:trPr>
        <w:tc>
          <w:tcPr>
            <w:tcW w:w="5860" w:type="dxa"/>
            <w:vAlign w:val="bottom"/>
          </w:tcPr>
          <w:p>
            <w:pPr>
              <w:spacing w:after="0"/>
              <w:rPr>
                <w:sz w:val="20"/>
                <w:szCs w:val="20"/>
                <w:color w:val="auto"/>
              </w:rPr>
            </w:pPr>
            <w:r>
              <w:rPr>
                <w:rFonts w:ascii="Arial" w:cs="Arial" w:eastAsia="Arial" w:hAnsi="Arial"/>
                <w:sz w:val="14"/>
                <w:szCs w:val="14"/>
                <w:color w:val="auto"/>
              </w:rPr>
              <w:t>Other income (expense)</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213</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260</w:t>
            </w:r>
          </w:p>
        </w:tc>
        <w:tc>
          <w:tcPr>
            <w:tcW w:w="38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76"/>
        </w:trPr>
        <w:tc>
          <w:tcPr>
            <w:tcW w:w="586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(3,855)</w:t>
            </w:r>
          </w:p>
        </w:tc>
        <w:tc>
          <w:tcPr>
            <w:tcW w:w="4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(6,537)</w:t>
            </w:r>
          </w:p>
        </w:tc>
        <w:tc>
          <w:tcPr>
            <w:tcW w:w="3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(5,822)</w:t>
            </w:r>
          </w:p>
        </w:tc>
        <w:tc>
          <w:tcPr>
            <w:tcW w:w="0" w:type="dxa"/>
            <w:vAlign w:val="bottom"/>
          </w:tcPr>
          <w:p>
            <w:pPr>
              <w:spacing w:after="0"/>
              <w:rPr>
                <w:sz w:val="1"/>
                <w:szCs w:val="1"/>
                <w:color w:val="auto"/>
              </w:rPr>
            </w:pPr>
          </w:p>
        </w:tc>
      </w:tr>
      <w:tr>
        <w:trPr>
          <w:trHeight w:val="181"/>
        </w:trPr>
        <w:tc>
          <w:tcPr>
            <w:tcW w:w="586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(1,907)</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(1,375)</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(1,883)</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(3,873)</w:t>
            </w:r>
          </w:p>
        </w:tc>
        <w:tc>
          <w:tcPr>
            <w:tcW w:w="0" w:type="dxa"/>
            <w:vAlign w:val="bottom"/>
          </w:tcPr>
          <w:p>
            <w:pPr>
              <w:spacing w:after="0"/>
              <w:rPr>
                <w:sz w:val="1"/>
                <w:szCs w:val="1"/>
                <w:color w:val="auto"/>
              </w:rPr>
            </w:pPr>
          </w:p>
        </w:tc>
      </w:tr>
      <w:tr>
        <w:trPr>
          <w:trHeight w:val="169"/>
        </w:trPr>
        <w:tc>
          <w:tcPr>
            <w:tcW w:w="5860" w:type="dxa"/>
            <w:vAlign w:val="bottom"/>
          </w:tcPr>
          <w:p>
            <w:pPr>
              <w:ind w:left="420"/>
              <w:spacing w:after="0"/>
              <w:rPr>
                <w:sz w:val="20"/>
                <w:szCs w:val="20"/>
                <w:color w:val="auto"/>
              </w:rPr>
            </w:pPr>
            <w:r>
              <w:rPr>
                <w:rFonts w:ascii="Arial" w:cs="Arial" w:eastAsia="Arial" w:hAnsi="Arial"/>
                <w:sz w:val="14"/>
                <w:szCs w:val="14"/>
                <w:color w:val="auto"/>
              </w:rPr>
              <w:t>Total other income (expense)</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(5,549)</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(4,235)</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(8,160)</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(9,545)</w:t>
            </w:r>
          </w:p>
        </w:tc>
        <w:tc>
          <w:tcPr>
            <w:tcW w:w="0" w:type="dxa"/>
            <w:vAlign w:val="bottom"/>
          </w:tcPr>
          <w:p>
            <w:pPr>
              <w:spacing w:after="0"/>
              <w:rPr>
                <w:sz w:val="1"/>
                <w:szCs w:val="1"/>
                <w:color w:val="auto"/>
              </w:rPr>
            </w:pPr>
          </w:p>
        </w:tc>
      </w:tr>
      <w:tr>
        <w:trPr>
          <w:trHeight w:val="339"/>
        </w:trPr>
        <w:tc>
          <w:tcPr>
            <w:tcW w:w="586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32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(9,500)</w:t>
            </w:r>
          </w:p>
        </w:tc>
        <w:tc>
          <w:tcPr>
            <w:tcW w:w="42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27,692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1,428</w:t>
            </w:r>
          </w:p>
        </w:tc>
        <w:tc>
          <w:tcPr>
            <w:tcW w:w="38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26,921</w:t>
            </w:r>
          </w:p>
        </w:tc>
        <w:tc>
          <w:tcPr>
            <w:tcW w:w="0" w:type="dxa"/>
            <w:vAlign w:val="bottom"/>
          </w:tcPr>
          <w:p>
            <w:pPr>
              <w:spacing w:after="0"/>
              <w:rPr>
                <w:sz w:val="1"/>
                <w:szCs w:val="1"/>
                <w:color w:val="auto"/>
              </w:rPr>
            </w:pPr>
          </w:p>
        </w:tc>
      </w:tr>
      <w:tr>
        <w:trPr>
          <w:trHeight w:val="181"/>
        </w:trPr>
        <w:tc>
          <w:tcPr>
            <w:tcW w:w="586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(3,966)</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(7,848)</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(9,529)</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(7,195)</w:t>
            </w:r>
          </w:p>
        </w:tc>
        <w:tc>
          <w:tcPr>
            <w:tcW w:w="0" w:type="dxa"/>
            <w:vAlign w:val="bottom"/>
          </w:tcPr>
          <w:p>
            <w:pPr>
              <w:spacing w:after="0"/>
              <w:rPr>
                <w:sz w:val="1"/>
                <w:szCs w:val="1"/>
                <w:color w:val="auto"/>
              </w:rPr>
            </w:pPr>
          </w:p>
        </w:tc>
      </w:tr>
      <w:tr>
        <w:trPr>
          <w:trHeight w:val="164"/>
        </w:trPr>
        <w:tc>
          <w:tcPr>
            <w:tcW w:w="5860" w:type="dxa"/>
            <w:vAlign w:val="bottom"/>
          </w:tcPr>
          <w:p>
            <w:pPr>
              <w:spacing w:after="0"/>
              <w:rPr>
                <w:sz w:val="20"/>
                <w:szCs w:val="20"/>
                <w:color w:val="auto"/>
              </w:rPr>
            </w:pPr>
            <w:r>
              <w:rPr>
                <w:rFonts w:ascii="Arial" w:cs="Arial" w:eastAsia="Arial" w:hAnsi="Arial"/>
                <w:sz w:val="14"/>
                <w:szCs w:val="14"/>
                <w:color w:val="auto"/>
              </w:rPr>
              <w:t>Net income (loss)</w:t>
            </w:r>
          </w:p>
        </w:tc>
        <w:tc>
          <w:tcPr>
            <w:tcW w:w="32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(13,466)</w:t>
            </w:r>
          </w:p>
        </w:tc>
        <w:tc>
          <w:tcPr>
            <w:tcW w:w="4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19,844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(8,101)</w:t>
            </w:r>
          </w:p>
        </w:tc>
        <w:tc>
          <w:tcPr>
            <w:tcW w:w="38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19,726</w:t>
            </w:r>
          </w:p>
        </w:tc>
        <w:tc>
          <w:tcPr>
            <w:tcW w:w="0" w:type="dxa"/>
            <w:vAlign w:val="bottom"/>
          </w:tcPr>
          <w:p>
            <w:pPr>
              <w:spacing w:after="0"/>
              <w:rPr>
                <w:sz w:val="1"/>
                <w:szCs w:val="1"/>
                <w:color w:val="auto"/>
              </w:rPr>
            </w:pPr>
          </w:p>
        </w:tc>
      </w:tr>
      <w:tr>
        <w:trPr>
          <w:trHeight w:val="181"/>
        </w:trPr>
        <w:tc>
          <w:tcPr>
            <w:tcW w:w="5860" w:type="dxa"/>
            <w:vAlign w:val="bottom"/>
          </w:tcPr>
          <w:p>
            <w:pPr>
              <w:ind w:left="220"/>
              <w:spacing w:after="0"/>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732</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1,187</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69"/>
        </w:trPr>
        <w:tc>
          <w:tcPr>
            <w:tcW w:w="5860" w:type="dxa"/>
            <w:vAlign w:val="bottom"/>
          </w:tcPr>
          <w:p>
            <w:pPr>
              <w:spacing w:after="0"/>
              <w:rPr>
                <w:sz w:val="20"/>
                <w:szCs w:val="20"/>
                <w:color w:val="auto"/>
              </w:rPr>
            </w:pPr>
            <w:r>
              <w:rPr>
                <w:rFonts w:ascii="Arial" w:cs="Arial" w:eastAsia="Arial" w:hAnsi="Arial"/>
                <w:sz w:val="14"/>
                <w:szCs w:val="14"/>
                <w:color w:val="auto"/>
              </w:rPr>
              <w:t>Net income (loss) attributable to Itron, Inc.</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(14,198)</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19,259</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(9,288)</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19,005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60" w:type="dxa"/>
            <w:vAlign w:val="bottom"/>
          </w:tcPr>
          <w:p>
            <w:pPr>
              <w:spacing w:after="0"/>
              <w:rPr>
                <w:sz w:val="20"/>
                <w:szCs w:val="20"/>
                <w:color w:val="auto"/>
              </w:rPr>
            </w:pPr>
            <w:r>
              <w:rPr>
                <w:rFonts w:ascii="Arial" w:cs="Arial" w:eastAsia="Arial" w:hAnsi="Arial"/>
                <w:sz w:val="14"/>
                <w:szCs w:val="14"/>
                <w:color w:val="auto"/>
              </w:rPr>
              <w:t>Earnings (loss) per common share - Basic</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(0.37)</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(0.24)</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color w:val="auto"/>
              </w:rPr>
              <w:t>Earnings (loss) per common share - Diluted</w:t>
            </w: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vMerge w:val="continue"/>
          </w:tcPr>
          <w:p>
            <w:pPr>
              <w:spacing w:after="0"/>
              <w:rPr>
                <w:sz w:val="13"/>
                <w:szCs w:val="13"/>
                <w:color w:val="auto"/>
              </w:rPr>
            </w:pPr>
          </w:p>
        </w:tc>
        <w:tc>
          <w:tcPr>
            <w:tcW w:w="32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(0.37)</w:t>
            </w:r>
          </w:p>
        </w:tc>
        <w:tc>
          <w:tcPr>
            <w:tcW w:w="42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0.49</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(0.24)</w:t>
            </w:r>
          </w:p>
        </w:tc>
        <w:tc>
          <w:tcPr>
            <w:tcW w:w="38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86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3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38,434</w:t>
            </w:r>
          </w:p>
        </w:tc>
        <w:tc>
          <w:tcPr>
            <w:tcW w:w="42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39,356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38,438</w:t>
            </w:r>
          </w:p>
        </w:tc>
        <w:tc>
          <w:tcPr>
            <w:tcW w:w="38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39,296</w:t>
            </w:r>
          </w:p>
        </w:tc>
        <w:tc>
          <w:tcPr>
            <w:tcW w:w="0" w:type="dxa"/>
            <w:vAlign w:val="bottom"/>
          </w:tcPr>
          <w:p>
            <w:pPr>
              <w:spacing w:after="0"/>
              <w:rPr>
                <w:sz w:val="1"/>
                <w:szCs w:val="1"/>
                <w:color w:val="auto"/>
              </w:rPr>
            </w:pPr>
          </w:p>
        </w:tc>
      </w:tr>
      <w:tr>
        <w:trPr>
          <w:trHeight w:val="182"/>
        </w:trPr>
        <w:tc>
          <w:tcPr>
            <w:tcW w:w="586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32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38,434</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39,544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38,438</w:t>
            </w:r>
          </w:p>
        </w:tc>
        <w:tc>
          <w:tcPr>
            <w:tcW w:w="38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39,528</w:t>
            </w:r>
          </w:p>
        </w:tc>
        <w:tc>
          <w:tcPr>
            <w:tcW w:w="0" w:type="dxa"/>
            <w:vAlign w:val="bottom"/>
          </w:tcPr>
          <w:p>
            <w:pPr>
              <w:spacing w:after="0"/>
              <w:rPr>
                <w:sz w:val="1"/>
                <w:szCs w:val="1"/>
                <w:color w:val="auto"/>
              </w:rPr>
            </w:pPr>
          </w:p>
        </w:tc>
      </w:tr>
      <w:tr>
        <w:trPr>
          <w:trHeight w:val="309"/>
        </w:trPr>
        <w:tc>
          <w:tcPr>
            <w:tcW w:w="5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8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40" w:type="dxa"/>
            <w:vAlign w:val="bottom"/>
          </w:tcPr>
          <w:p>
            <w:pPr>
              <w:spacing w:after="0"/>
              <w:rPr>
                <w:sz w:val="15"/>
                <w:szCs w:val="15"/>
                <w:color w:val="auto"/>
              </w:rPr>
            </w:pPr>
          </w:p>
        </w:tc>
        <w:tc>
          <w:tcPr>
            <w:tcW w:w="3120" w:type="dxa"/>
            <w:vAlign w:val="bottom"/>
            <w:gridSpan w:val="4"/>
            <w:vMerge w:val="restart"/>
          </w:tcPr>
          <w:p>
            <w:pPr>
              <w:jc w:val="right"/>
              <w:ind w:right="78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4"/>
            <w:vMerge w:val="restart"/>
          </w:tcPr>
          <w:p>
            <w:pPr>
              <w:jc w:val="right"/>
              <w:ind w:right="7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203,410</w:t>
            </w:r>
          </w:p>
        </w:tc>
        <w:tc>
          <w:tcPr>
            <w:tcW w:w="82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183,755</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397,262</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363,973</w:t>
            </w: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Gas</w:t>
            </w: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139,386</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154,322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264,475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300,431</w:t>
            </w:r>
          </w:p>
        </w:tc>
        <w:tc>
          <w:tcPr>
            <w:tcW w:w="0" w:type="dxa"/>
            <w:vAlign w:val="bottom"/>
          </w:tcPr>
          <w:p>
            <w:pPr>
              <w:spacing w:after="0"/>
              <w:rPr>
                <w:sz w:val="1"/>
                <w:szCs w:val="1"/>
                <w:color w:val="auto"/>
              </w:rPr>
            </w:pPr>
          </w:p>
        </w:tc>
      </w:tr>
      <w:tr>
        <w:trPr>
          <w:trHeight w:val="181"/>
        </w:trPr>
        <w:tc>
          <w:tcPr>
            <w:tcW w:w="4480" w:type="dxa"/>
            <w:vAlign w:val="bottom"/>
          </w:tcPr>
          <w:p>
            <w:pPr>
              <w:ind w:left="220"/>
              <w:spacing w:after="0"/>
              <w:rPr>
                <w:sz w:val="20"/>
                <w:szCs w:val="20"/>
                <w:color w:val="auto"/>
              </w:rPr>
            </w:pPr>
            <w:r>
              <w:rPr>
                <w:rFonts w:ascii="Arial" w:cs="Arial" w:eastAsia="Arial" w:hAnsi="Arial"/>
                <w:sz w:val="14"/>
                <w:szCs w:val="14"/>
                <w:color w:val="auto"/>
              </w:rPr>
              <w:t>Water</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127,307</w:t>
            </w:r>
          </w:p>
        </w:tc>
        <w:tc>
          <w:tcPr>
            <w:tcW w:w="1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151,276</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256,613</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299,744</w:t>
            </w:r>
          </w:p>
        </w:tc>
        <w:tc>
          <w:tcPr>
            <w:tcW w:w="0" w:type="dxa"/>
            <w:vAlign w:val="bottom"/>
          </w:tcPr>
          <w:p>
            <w:pPr>
              <w:spacing w:after="0"/>
              <w:rPr>
                <w:sz w:val="1"/>
                <w:szCs w:val="1"/>
                <w:color w:val="auto"/>
              </w:rPr>
            </w:pPr>
          </w:p>
        </w:tc>
      </w:tr>
      <w:tr>
        <w:trPr>
          <w:trHeight w:val="169"/>
        </w:trPr>
        <w:tc>
          <w:tcPr>
            <w:tcW w:w="44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470,103</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489,353</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918,350</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964,148</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52,622</w:t>
            </w:r>
          </w:p>
        </w:tc>
        <w:tc>
          <w:tcPr>
            <w:tcW w:w="82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52,976</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107,742</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95,716</w:t>
            </w: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Gas</w:t>
            </w: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44,109</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56,711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87,625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115,117</w:t>
            </w:r>
          </w:p>
        </w:tc>
        <w:tc>
          <w:tcPr>
            <w:tcW w:w="0" w:type="dxa"/>
            <w:vAlign w:val="bottom"/>
          </w:tcPr>
          <w:p>
            <w:pPr>
              <w:spacing w:after="0"/>
              <w:rPr>
                <w:sz w:val="1"/>
                <w:szCs w:val="1"/>
                <w:color w:val="auto"/>
              </w:rPr>
            </w:pPr>
          </w:p>
        </w:tc>
      </w:tr>
      <w:tr>
        <w:trPr>
          <w:trHeight w:val="181"/>
        </w:trPr>
        <w:tc>
          <w:tcPr>
            <w:tcW w:w="4480" w:type="dxa"/>
            <w:vAlign w:val="bottom"/>
          </w:tcPr>
          <w:p>
            <w:pPr>
              <w:ind w:left="220"/>
              <w:spacing w:after="0"/>
              <w:rPr>
                <w:sz w:val="20"/>
                <w:szCs w:val="20"/>
                <w:color w:val="auto"/>
              </w:rPr>
            </w:pPr>
            <w:r>
              <w:rPr>
                <w:rFonts w:ascii="Arial" w:cs="Arial" w:eastAsia="Arial" w:hAnsi="Arial"/>
                <w:sz w:val="14"/>
                <w:szCs w:val="14"/>
                <w:color w:val="auto"/>
              </w:rPr>
              <w:t>Water</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21,840</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53,354</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61,403</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106,743</w:t>
            </w:r>
          </w:p>
        </w:tc>
        <w:tc>
          <w:tcPr>
            <w:tcW w:w="0" w:type="dxa"/>
            <w:vAlign w:val="bottom"/>
          </w:tcPr>
          <w:p>
            <w:pPr>
              <w:spacing w:after="0"/>
              <w:rPr>
                <w:sz w:val="1"/>
                <w:szCs w:val="1"/>
                <w:color w:val="auto"/>
              </w:rPr>
            </w:pPr>
          </w:p>
        </w:tc>
      </w:tr>
      <w:tr>
        <w:trPr>
          <w:trHeight w:val="169"/>
        </w:trPr>
        <w:tc>
          <w:tcPr>
            <w:tcW w:w="44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118,571</w:t>
            </w:r>
          </w:p>
        </w:tc>
        <w:tc>
          <w:tcPr>
            <w:tcW w:w="82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163,041</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256,770</w:t>
            </w:r>
          </w:p>
        </w:tc>
        <w:tc>
          <w:tcPr>
            <w:tcW w:w="5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317,576</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3,904</w:t>
            </w:r>
          </w:p>
        </w:tc>
        <w:tc>
          <w:tcPr>
            <w:tcW w:w="82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(1,247)</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6,300</w:t>
            </w:r>
          </w:p>
        </w:tc>
        <w:tc>
          <w:tcPr>
            <w:tcW w:w="5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(24,216)</w:t>
            </w: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Gas</w:t>
            </w: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14,742</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24,329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28,334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50,053</w:t>
            </w: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Water</w:t>
            </w:r>
          </w:p>
        </w:tc>
        <w:tc>
          <w:tcPr>
            <w:tcW w:w="4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(11,511)</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20,519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(3,414)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41,162</w:t>
            </w:r>
          </w:p>
        </w:tc>
        <w:tc>
          <w:tcPr>
            <w:tcW w:w="0" w:type="dxa"/>
            <w:vAlign w:val="bottom"/>
          </w:tcPr>
          <w:p>
            <w:pPr>
              <w:spacing w:after="0"/>
              <w:rPr>
                <w:sz w:val="1"/>
                <w:szCs w:val="1"/>
                <w:color w:val="auto"/>
              </w:rPr>
            </w:pPr>
          </w:p>
        </w:tc>
      </w:tr>
      <w:tr>
        <w:trPr>
          <w:trHeight w:val="181"/>
        </w:trPr>
        <w:tc>
          <w:tcPr>
            <w:tcW w:w="448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(11,086)</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(11,674)</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(21,632)</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(30,533)</w:t>
            </w:r>
          </w:p>
        </w:tc>
        <w:tc>
          <w:tcPr>
            <w:tcW w:w="0" w:type="dxa"/>
            <w:vAlign w:val="bottom"/>
          </w:tcPr>
          <w:p>
            <w:pPr>
              <w:spacing w:after="0"/>
              <w:rPr>
                <w:sz w:val="1"/>
                <w:szCs w:val="1"/>
                <w:color w:val="auto"/>
              </w:rPr>
            </w:pPr>
          </w:p>
        </w:tc>
      </w:tr>
      <w:tr>
        <w:trPr>
          <w:trHeight w:val="169"/>
        </w:trPr>
        <w:tc>
          <w:tcPr>
            <w:tcW w:w="448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(3,951)</w:t>
            </w:r>
          </w:p>
        </w:tc>
        <w:tc>
          <w:tcPr>
            <w:tcW w:w="82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31,927</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9,588</w:t>
            </w:r>
          </w:p>
        </w:tc>
        <w:tc>
          <w:tcPr>
            <w:tcW w:w="5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36,466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480" w:type="dxa"/>
            <w:vAlign w:val="bottom"/>
            <w:tcBorders>
              <w:bottom w:val="single" w:sz="8" w:color="auto"/>
            </w:tcBorders>
            <w:gridSpan w:val="4"/>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480" w:type="dxa"/>
            <w:vAlign w:val="bottom"/>
          </w:tcPr>
          <w:p>
            <w:pPr>
              <w:spacing w:after="0"/>
              <w:rPr>
                <w:sz w:val="24"/>
                <w:szCs w:val="24"/>
                <w:color w:val="auto"/>
              </w:rPr>
            </w:pPr>
          </w:p>
        </w:tc>
        <w:tc>
          <w:tcPr>
            <w:tcW w:w="248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METER AND MODULE SUMMARY</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480" w:type="dxa"/>
            <w:vAlign w:val="bottom"/>
          </w:tcPr>
          <w:p>
            <w:pPr>
              <w:spacing w:after="0"/>
              <w:rPr>
                <w:sz w:val="20"/>
                <w:szCs w:val="20"/>
                <w:color w:val="auto"/>
              </w:rPr>
            </w:pPr>
            <w:r>
              <w:rPr>
                <w:rFonts w:ascii="Arial" w:cs="Arial" w:eastAsia="Arial" w:hAnsi="Arial"/>
                <w:sz w:val="14"/>
                <w:szCs w:val="14"/>
                <w:color w:val="auto"/>
              </w:rPr>
              <w:t>(Units in thousands)</w:t>
            </w:r>
          </w:p>
        </w:tc>
        <w:tc>
          <w:tcPr>
            <w:tcW w:w="440" w:type="dxa"/>
            <w:vAlign w:val="bottom"/>
          </w:tcPr>
          <w:p>
            <w:pPr>
              <w:spacing w:after="0"/>
              <w:rPr>
                <w:sz w:val="24"/>
                <w:szCs w:val="24"/>
                <w:color w:val="auto"/>
              </w:rPr>
            </w:pPr>
          </w:p>
        </w:tc>
        <w:tc>
          <w:tcPr>
            <w:tcW w:w="3120" w:type="dxa"/>
            <w:vAlign w:val="bottom"/>
            <w:gridSpan w:val="4"/>
            <w:vMerge w:val="restart"/>
          </w:tcPr>
          <w:p>
            <w:pPr>
              <w:jc w:val="right"/>
              <w:ind w:right="78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gridSpan w:val="4"/>
            <w:vMerge w:val="restart"/>
          </w:tcPr>
          <w:p>
            <w:pPr>
              <w:jc w:val="right"/>
              <w:ind w:right="7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20"/>
                <w:szCs w:val="20"/>
                <w:color w:val="auto"/>
              </w:rPr>
            </w:pPr>
            <w:r>
              <w:rPr>
                <w:rFonts w:ascii="Arial" w:cs="Arial" w:eastAsia="Arial" w:hAnsi="Arial"/>
                <w:sz w:val="14"/>
                <w:szCs w:val="14"/>
                <w:b w:val="1"/>
                <w:bCs w:val="1"/>
                <w:color w:val="auto"/>
              </w:rPr>
              <w:t>Meters</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220"/>
              <w:spacing w:after="0"/>
              <w:rPr>
                <w:sz w:val="20"/>
                <w:szCs w:val="20"/>
                <w:color w:val="auto"/>
              </w:rPr>
            </w:pPr>
            <w:r>
              <w:rPr>
                <w:rFonts w:ascii="Arial" w:cs="Arial" w:eastAsia="Arial" w:hAnsi="Arial"/>
                <w:sz w:val="14"/>
                <w:szCs w:val="14"/>
                <w:color w:val="auto"/>
              </w:rPr>
              <w:t>Standard</w:t>
            </w:r>
          </w:p>
        </w:tc>
        <w:tc>
          <w:tcPr>
            <w:tcW w:w="4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4,700</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4,480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9,440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9,330</w:t>
            </w:r>
          </w:p>
        </w:tc>
        <w:tc>
          <w:tcPr>
            <w:tcW w:w="0" w:type="dxa"/>
            <w:vAlign w:val="bottom"/>
          </w:tcPr>
          <w:p>
            <w:pPr>
              <w:spacing w:after="0"/>
              <w:rPr>
                <w:sz w:val="1"/>
                <w:szCs w:val="1"/>
                <w:color w:val="auto"/>
              </w:rPr>
            </w:pPr>
          </w:p>
        </w:tc>
      </w:tr>
      <w:tr>
        <w:trPr>
          <w:trHeight w:val="181"/>
        </w:trPr>
        <w:tc>
          <w:tcPr>
            <w:tcW w:w="4480" w:type="dxa"/>
            <w:vAlign w:val="bottom"/>
          </w:tcPr>
          <w:p>
            <w:pPr>
              <w:ind w:left="220"/>
              <w:spacing w:after="0"/>
              <w:rPr>
                <w:sz w:val="20"/>
                <w:szCs w:val="20"/>
                <w:color w:val="auto"/>
              </w:rPr>
            </w:pPr>
            <w:r>
              <w:rPr>
                <w:rFonts w:ascii="Arial" w:cs="Arial" w:eastAsia="Arial" w:hAnsi="Arial"/>
                <w:sz w:val="14"/>
                <w:szCs w:val="14"/>
                <w:color w:val="auto"/>
              </w:rPr>
              <w:t>Advanced and Smart</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1,860</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1,360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3,400</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2,880</w:t>
            </w:r>
          </w:p>
        </w:tc>
        <w:tc>
          <w:tcPr>
            <w:tcW w:w="0" w:type="dxa"/>
            <w:vAlign w:val="bottom"/>
          </w:tcPr>
          <w:p>
            <w:pPr>
              <w:spacing w:after="0"/>
              <w:rPr>
                <w:sz w:val="1"/>
                <w:szCs w:val="1"/>
                <w:color w:val="auto"/>
              </w:rPr>
            </w:pPr>
          </w:p>
        </w:tc>
      </w:tr>
      <w:tr>
        <w:trPr>
          <w:trHeight w:val="169"/>
        </w:trPr>
        <w:tc>
          <w:tcPr>
            <w:tcW w:w="4480" w:type="dxa"/>
            <w:vAlign w:val="bottom"/>
          </w:tcPr>
          <w:p>
            <w:pPr>
              <w:ind w:left="420"/>
              <w:spacing w:after="0"/>
              <w:rPr>
                <w:sz w:val="20"/>
                <w:szCs w:val="20"/>
                <w:color w:val="auto"/>
              </w:rPr>
            </w:pPr>
            <w:r>
              <w:rPr>
                <w:rFonts w:ascii="Arial" w:cs="Arial" w:eastAsia="Arial" w:hAnsi="Arial"/>
                <w:sz w:val="14"/>
                <w:szCs w:val="14"/>
                <w:color w:val="auto"/>
              </w:rPr>
              <w:t>Total meters</w:t>
            </w: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6,560</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5,840</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12,840</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12,210</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Stand-alone communication modules</w:t>
            </w: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480" w:type="dxa"/>
            <w:vAlign w:val="bottom"/>
          </w:tcPr>
          <w:p>
            <w:pPr>
              <w:ind w:left="420"/>
              <w:spacing w:after="0"/>
              <w:rPr>
                <w:sz w:val="20"/>
                <w:szCs w:val="20"/>
                <w:color w:val="auto"/>
              </w:rPr>
            </w:pPr>
            <w:r>
              <w:rPr>
                <w:rFonts w:ascii="Arial" w:cs="Arial" w:eastAsia="Arial" w:hAnsi="Arial"/>
                <w:sz w:val="14"/>
                <w:szCs w:val="14"/>
                <w:color w:val="auto"/>
              </w:rPr>
              <w:t>Advanced and Smart</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1,410</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1,580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2,720</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2,930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4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ITRON,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4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80" w:type="dxa"/>
            <w:vAlign w:val="bottom"/>
          </w:tcPr>
          <w:p>
            <w:pPr>
              <w:spacing w:after="0"/>
              <w:rPr>
                <w:sz w:val="15"/>
                <w:szCs w:val="15"/>
                <w:color w:val="auto"/>
              </w:rPr>
            </w:pPr>
          </w:p>
        </w:tc>
        <w:tc>
          <w:tcPr>
            <w:tcW w:w="170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June 30, 2015</w:t>
            </w:r>
          </w:p>
        </w:tc>
        <w:tc>
          <w:tcPr>
            <w:tcW w:w="580" w:type="dxa"/>
            <w:vAlign w:val="bottom"/>
          </w:tcPr>
          <w:p>
            <w:pPr>
              <w:spacing w:after="0"/>
              <w:rPr>
                <w:sz w:val="15"/>
                <w:szCs w:val="15"/>
                <w:color w:val="auto"/>
              </w:rPr>
            </w:pPr>
          </w:p>
        </w:tc>
        <w:tc>
          <w:tcPr>
            <w:tcW w:w="2220" w:type="dxa"/>
            <w:vAlign w:val="bottom"/>
            <w:vMerge w:val="restart"/>
          </w:tcPr>
          <w:p>
            <w:pPr>
              <w:jc w:val="right"/>
              <w:ind w:right="728"/>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74"/>
        </w:trPr>
        <w:tc>
          <w:tcPr>
            <w:tcW w:w="65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540" w:type="dxa"/>
            <w:vAlign w:val="bottom"/>
          </w:tcPr>
          <w:p>
            <w:pPr>
              <w:ind w:left="2940"/>
              <w:spacing w:after="0"/>
              <w:rPr>
                <w:sz w:val="20"/>
                <w:szCs w:val="20"/>
                <w:color w:val="auto"/>
              </w:rPr>
            </w:pPr>
            <w:r>
              <w:rPr>
                <w:rFonts w:ascii="Arial" w:cs="Arial" w:eastAsia="Arial" w:hAnsi="Arial"/>
                <w:sz w:val="14"/>
                <w:szCs w:val="14"/>
                <w:b w:val="1"/>
                <w:bCs w:val="1"/>
                <w:color w:val="auto"/>
              </w:rPr>
              <w:t>ASSETS</w:t>
            </w: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Arial" w:cs="Arial" w:eastAsia="Arial" w:hAnsi="Arial"/>
                <w:sz w:val="14"/>
                <w:szCs w:val="14"/>
                <w:color w:val="auto"/>
              </w:rPr>
              <w:t>Current assets</w:t>
            </w: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128,814</w:t>
            </w:r>
          </w:p>
        </w:tc>
        <w:tc>
          <w:tcPr>
            <w:tcW w:w="5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112,371</w:t>
            </w: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338,196</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348,389</w:t>
            </w: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195,394</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154,504</w:t>
            </w: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Deferred tax assets current, net</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38,121</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39,115</w:t>
            </w:r>
          </w:p>
        </w:tc>
        <w:tc>
          <w:tcPr>
            <w:tcW w:w="0" w:type="dxa"/>
            <w:vAlign w:val="bottom"/>
          </w:tcPr>
          <w:p>
            <w:pPr>
              <w:spacing w:after="0"/>
              <w:rPr>
                <w:sz w:val="1"/>
                <w:szCs w:val="1"/>
                <w:color w:val="auto"/>
              </w:rPr>
            </w:pPr>
          </w:p>
        </w:tc>
      </w:tr>
      <w:tr>
        <w:trPr>
          <w:trHeight w:val="181"/>
        </w:trPr>
        <w:tc>
          <w:tcPr>
            <w:tcW w:w="654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111,248</w:t>
            </w:r>
          </w:p>
        </w:tc>
        <w:tc>
          <w:tcPr>
            <w:tcW w:w="5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104,307</w:t>
            </w:r>
          </w:p>
        </w:tc>
        <w:tc>
          <w:tcPr>
            <w:tcW w:w="0" w:type="dxa"/>
            <w:vAlign w:val="bottom"/>
          </w:tcPr>
          <w:p>
            <w:pPr>
              <w:spacing w:after="0"/>
              <w:rPr>
                <w:sz w:val="1"/>
                <w:szCs w:val="1"/>
                <w:color w:val="auto"/>
              </w:rPr>
            </w:pPr>
          </w:p>
        </w:tc>
      </w:tr>
      <w:tr>
        <w:trPr>
          <w:trHeight w:val="176"/>
        </w:trPr>
        <w:tc>
          <w:tcPr>
            <w:tcW w:w="654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811,773</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758,686</w:t>
            </w:r>
          </w:p>
        </w:tc>
        <w:tc>
          <w:tcPr>
            <w:tcW w:w="0" w:type="dxa"/>
            <w:vAlign w:val="bottom"/>
          </w:tcPr>
          <w:p>
            <w:pPr>
              <w:spacing w:after="0"/>
              <w:rPr>
                <w:sz w:val="1"/>
                <w:szCs w:val="1"/>
                <w:color w:val="auto"/>
              </w:rPr>
            </w:pPr>
          </w:p>
        </w:tc>
      </w:tr>
      <w:tr>
        <w:trPr>
          <w:trHeight w:val="339"/>
        </w:trPr>
        <w:tc>
          <w:tcPr>
            <w:tcW w:w="654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380" w:type="dxa"/>
            <w:vAlign w:val="bottom"/>
          </w:tcPr>
          <w:p>
            <w:pPr>
              <w:spacing w:after="0"/>
              <w:rPr>
                <w:sz w:val="24"/>
                <w:szCs w:val="24"/>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195,510</w:t>
            </w:r>
          </w:p>
        </w:tc>
        <w:tc>
          <w:tcPr>
            <w:tcW w:w="580" w:type="dxa"/>
            <w:vAlign w:val="bottom"/>
          </w:tcPr>
          <w:p>
            <w:pPr>
              <w:spacing w:after="0"/>
              <w:rPr>
                <w:sz w:val="24"/>
                <w:szCs w:val="24"/>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207,789</w:t>
            </w: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73,861</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74,598</w:t>
            </w: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Arial" w:cs="Arial" w:eastAsia="Arial" w:hAnsi="Arial"/>
                <w:sz w:val="14"/>
                <w:szCs w:val="14"/>
                <w:color w:val="auto"/>
              </w:rPr>
              <w:t>Other long-term assets</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28,741</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28,503</w:t>
            </w: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Arial" w:cs="Arial" w:eastAsia="Arial" w:hAnsi="Arial"/>
                <w:sz w:val="14"/>
                <w:szCs w:val="14"/>
                <w:color w:val="auto"/>
              </w:rPr>
              <w:t>Intangible assets, net</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117,136</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139,909</w:t>
            </w:r>
          </w:p>
        </w:tc>
        <w:tc>
          <w:tcPr>
            <w:tcW w:w="0" w:type="dxa"/>
            <w:vAlign w:val="bottom"/>
          </w:tcPr>
          <w:p>
            <w:pPr>
              <w:spacing w:after="0"/>
              <w:rPr>
                <w:sz w:val="1"/>
                <w:szCs w:val="1"/>
                <w:color w:val="auto"/>
              </w:rPr>
            </w:pPr>
          </w:p>
        </w:tc>
      </w:tr>
      <w:tr>
        <w:trPr>
          <w:trHeight w:val="181"/>
        </w:trPr>
        <w:tc>
          <w:tcPr>
            <w:tcW w:w="6540" w:type="dxa"/>
            <w:vAlign w:val="bottom"/>
          </w:tcPr>
          <w:p>
            <w:pPr>
              <w:spacing w:after="0"/>
              <w:rPr>
                <w:sz w:val="20"/>
                <w:szCs w:val="20"/>
                <w:color w:val="auto"/>
              </w:rPr>
            </w:pPr>
            <w:r>
              <w:rPr>
                <w:rFonts w:ascii="Arial" w:cs="Arial" w:eastAsia="Arial" w:hAnsi="Arial"/>
                <w:sz w:val="14"/>
                <w:szCs w:val="14"/>
                <w:color w:val="auto"/>
              </w:rPr>
              <w:t>Goodwill</w:t>
            </w: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471,648</w:t>
            </w:r>
          </w:p>
        </w:tc>
        <w:tc>
          <w:tcPr>
            <w:tcW w:w="5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500,820</w:t>
            </w:r>
          </w:p>
        </w:tc>
        <w:tc>
          <w:tcPr>
            <w:tcW w:w="0" w:type="dxa"/>
            <w:vAlign w:val="bottom"/>
          </w:tcPr>
          <w:p>
            <w:pPr>
              <w:spacing w:after="0"/>
              <w:rPr>
                <w:sz w:val="1"/>
                <w:szCs w:val="1"/>
                <w:color w:val="auto"/>
              </w:rPr>
            </w:pPr>
          </w:p>
        </w:tc>
      </w:tr>
      <w:tr>
        <w:trPr>
          <w:trHeight w:val="169"/>
        </w:trPr>
        <w:tc>
          <w:tcPr>
            <w:tcW w:w="654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1,698,669</w:t>
            </w: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1,710,305</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2280"/>
              <w:spacing w:after="0"/>
              <w:rPr>
                <w:sz w:val="20"/>
                <w:szCs w:val="20"/>
                <w:color w:val="auto"/>
              </w:rPr>
            </w:pPr>
            <w:r>
              <w:rPr>
                <w:rFonts w:ascii="Arial" w:cs="Arial" w:eastAsia="Arial" w:hAnsi="Arial"/>
                <w:sz w:val="14"/>
                <w:szCs w:val="14"/>
                <w:b w:val="1"/>
                <w:bCs w:val="1"/>
                <w:color w:val="auto"/>
              </w:rPr>
              <w:t>LIABILITIES AND EQUITY</w:t>
            </w: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5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Arial" w:cs="Arial" w:eastAsia="Arial" w:hAnsi="Arial"/>
                <w:sz w:val="14"/>
                <w:szCs w:val="14"/>
                <w:color w:val="auto"/>
              </w:rPr>
              <w:t>Current liabilities</w:t>
            </w: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226,512</w:t>
            </w:r>
          </w:p>
        </w:tc>
        <w:tc>
          <w:tcPr>
            <w:tcW w:w="5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184,132</w:t>
            </w: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Other current liabilities</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60,634</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100,945</w:t>
            </w: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Wages and benefits payable</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84,944</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95,248</w:t>
            </w: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Taxes payable</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16,435</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21,951</w:t>
            </w: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Current portion of debt</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11,250</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Current portion of warranty</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35,589</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21,063</w:t>
            </w:r>
          </w:p>
        </w:tc>
        <w:tc>
          <w:tcPr>
            <w:tcW w:w="0" w:type="dxa"/>
            <w:vAlign w:val="bottom"/>
          </w:tcPr>
          <w:p>
            <w:pPr>
              <w:spacing w:after="0"/>
              <w:rPr>
                <w:sz w:val="1"/>
                <w:szCs w:val="1"/>
                <w:color w:val="auto"/>
              </w:rPr>
            </w:pPr>
          </w:p>
        </w:tc>
      </w:tr>
      <w:tr>
        <w:trPr>
          <w:trHeight w:val="181"/>
        </w:trPr>
        <w:tc>
          <w:tcPr>
            <w:tcW w:w="6540" w:type="dxa"/>
            <w:vAlign w:val="bottom"/>
          </w:tcPr>
          <w:p>
            <w:pPr>
              <w:ind w:left="220"/>
              <w:spacing w:after="0"/>
              <w:rPr>
                <w:sz w:val="20"/>
                <w:szCs w:val="20"/>
                <w:color w:val="auto"/>
              </w:rPr>
            </w:pPr>
            <w:r>
              <w:rPr>
                <w:rFonts w:ascii="Arial" w:cs="Arial" w:eastAsia="Arial" w:hAnsi="Arial"/>
                <w:sz w:val="14"/>
                <w:szCs w:val="14"/>
                <w:color w:val="auto"/>
              </w:rPr>
              <w:t>Unearned revenue</w:t>
            </w: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50,255</w:t>
            </w:r>
          </w:p>
        </w:tc>
        <w:tc>
          <w:tcPr>
            <w:tcW w:w="5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43,436</w:t>
            </w:r>
          </w:p>
        </w:tc>
        <w:tc>
          <w:tcPr>
            <w:tcW w:w="0" w:type="dxa"/>
            <w:vAlign w:val="bottom"/>
          </w:tcPr>
          <w:p>
            <w:pPr>
              <w:spacing w:after="0"/>
              <w:rPr>
                <w:sz w:val="1"/>
                <w:szCs w:val="1"/>
                <w:color w:val="auto"/>
              </w:rPr>
            </w:pPr>
          </w:p>
        </w:tc>
      </w:tr>
      <w:tr>
        <w:trPr>
          <w:trHeight w:val="176"/>
        </w:trPr>
        <w:tc>
          <w:tcPr>
            <w:tcW w:w="654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485,619</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496,775</w:t>
            </w:r>
          </w:p>
        </w:tc>
        <w:tc>
          <w:tcPr>
            <w:tcW w:w="0" w:type="dxa"/>
            <w:vAlign w:val="bottom"/>
          </w:tcPr>
          <w:p>
            <w:pPr>
              <w:spacing w:after="0"/>
              <w:rPr>
                <w:sz w:val="1"/>
                <w:szCs w:val="1"/>
                <w:color w:val="auto"/>
              </w:rPr>
            </w:pPr>
          </w:p>
        </w:tc>
      </w:tr>
      <w:tr>
        <w:trPr>
          <w:trHeight w:val="339"/>
        </w:trPr>
        <w:tc>
          <w:tcPr>
            <w:tcW w:w="6540" w:type="dxa"/>
            <w:vAlign w:val="bottom"/>
          </w:tcPr>
          <w:p>
            <w:pPr>
              <w:spacing w:after="0"/>
              <w:rPr>
                <w:sz w:val="20"/>
                <w:szCs w:val="20"/>
                <w:color w:val="auto"/>
              </w:rPr>
            </w:pPr>
            <w:r>
              <w:rPr>
                <w:rFonts w:ascii="Arial" w:cs="Arial" w:eastAsia="Arial" w:hAnsi="Arial"/>
                <w:sz w:val="14"/>
                <w:szCs w:val="14"/>
                <w:color w:val="auto"/>
              </w:rPr>
              <w:t>Long-term debt</w:t>
            </w:r>
          </w:p>
        </w:tc>
        <w:tc>
          <w:tcPr>
            <w:tcW w:w="380" w:type="dxa"/>
            <w:vAlign w:val="bottom"/>
          </w:tcPr>
          <w:p>
            <w:pPr>
              <w:spacing w:after="0"/>
              <w:rPr>
                <w:sz w:val="24"/>
                <w:szCs w:val="24"/>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361,708</w:t>
            </w:r>
          </w:p>
        </w:tc>
        <w:tc>
          <w:tcPr>
            <w:tcW w:w="580" w:type="dxa"/>
            <w:vAlign w:val="bottom"/>
          </w:tcPr>
          <w:p>
            <w:pPr>
              <w:spacing w:after="0"/>
              <w:rPr>
                <w:sz w:val="24"/>
                <w:szCs w:val="24"/>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293,969</w:t>
            </w: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Arial" w:cs="Arial" w:eastAsia="Arial" w:hAnsi="Arial"/>
                <w:sz w:val="14"/>
                <w:szCs w:val="14"/>
                <w:color w:val="auto"/>
              </w:rPr>
              <w:t>Long-term warranty</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22,550</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15,403</w:t>
            </w: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Arial" w:cs="Arial" w:eastAsia="Arial" w:hAnsi="Arial"/>
                <w:sz w:val="14"/>
                <w:szCs w:val="14"/>
                <w:color w:val="auto"/>
              </w:rPr>
              <w:t>Pension plan benefit liability</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93,918</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101,432</w:t>
            </w: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3,247</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3,808</w:t>
            </w:r>
          </w:p>
        </w:tc>
        <w:tc>
          <w:tcPr>
            <w:tcW w:w="0" w:type="dxa"/>
            <w:vAlign w:val="bottom"/>
          </w:tcPr>
          <w:p>
            <w:pPr>
              <w:spacing w:after="0"/>
              <w:rPr>
                <w:sz w:val="1"/>
                <w:szCs w:val="1"/>
                <w:color w:val="auto"/>
              </w:rPr>
            </w:pPr>
          </w:p>
        </w:tc>
      </w:tr>
      <w:tr>
        <w:trPr>
          <w:trHeight w:val="181"/>
        </w:trPr>
        <w:tc>
          <w:tcPr>
            <w:tcW w:w="654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86,366</w:t>
            </w:r>
          </w:p>
        </w:tc>
        <w:tc>
          <w:tcPr>
            <w:tcW w:w="5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84,437</w:t>
            </w:r>
          </w:p>
        </w:tc>
        <w:tc>
          <w:tcPr>
            <w:tcW w:w="0" w:type="dxa"/>
            <w:vAlign w:val="bottom"/>
          </w:tcPr>
          <w:p>
            <w:pPr>
              <w:spacing w:after="0"/>
              <w:rPr>
                <w:sz w:val="1"/>
                <w:szCs w:val="1"/>
                <w:color w:val="auto"/>
              </w:rPr>
            </w:pPr>
          </w:p>
        </w:tc>
      </w:tr>
      <w:tr>
        <w:trPr>
          <w:trHeight w:val="176"/>
        </w:trPr>
        <w:tc>
          <w:tcPr>
            <w:tcW w:w="654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1,053,408</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995,824</w:t>
            </w:r>
          </w:p>
        </w:tc>
        <w:tc>
          <w:tcPr>
            <w:tcW w:w="0" w:type="dxa"/>
            <w:vAlign w:val="bottom"/>
          </w:tcPr>
          <w:p>
            <w:pPr>
              <w:spacing w:after="0"/>
              <w:rPr>
                <w:sz w:val="1"/>
                <w:szCs w:val="1"/>
                <w:color w:val="auto"/>
              </w:rPr>
            </w:pPr>
          </w:p>
        </w:tc>
      </w:tr>
      <w:tr>
        <w:trPr>
          <w:trHeight w:val="346"/>
        </w:trPr>
        <w:tc>
          <w:tcPr>
            <w:tcW w:w="654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540" w:type="dxa"/>
            <w:vAlign w:val="bottom"/>
          </w:tcPr>
          <w:p>
            <w:pPr>
              <w:spacing w:after="0"/>
              <w:rPr>
                <w:sz w:val="20"/>
                <w:szCs w:val="20"/>
                <w:color w:val="auto"/>
              </w:rPr>
            </w:pPr>
            <w:r>
              <w:rPr>
                <w:rFonts w:ascii="Arial" w:cs="Arial" w:eastAsia="Arial" w:hAnsi="Arial"/>
                <w:sz w:val="14"/>
                <w:szCs w:val="14"/>
                <w:color w:val="auto"/>
              </w:rPr>
              <w:t>Equity</w:t>
            </w: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Preferred stock</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Common stock</w:t>
            </w:r>
          </w:p>
        </w:tc>
        <w:tc>
          <w:tcPr>
            <w:tcW w:w="380" w:type="dxa"/>
            <w:vAlign w:val="bottom"/>
          </w:tcPr>
          <w:p>
            <w:pPr>
              <w:spacing w:after="0"/>
              <w:rPr>
                <w:sz w:val="15"/>
                <w:szCs w:val="15"/>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1,255,154</w:t>
            </w:r>
          </w:p>
        </w:tc>
        <w:tc>
          <w:tcPr>
            <w:tcW w:w="580" w:type="dxa"/>
            <w:vAlign w:val="bottom"/>
          </w:tcPr>
          <w:p>
            <w:pPr>
              <w:spacing w:after="0"/>
              <w:rPr>
                <w:sz w:val="15"/>
                <w:szCs w:val="15"/>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1,270,045</w:t>
            </w: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Accumulated other comprehensive loss, net</w:t>
            </w:r>
          </w:p>
        </w:tc>
        <w:tc>
          <w:tcPr>
            <w:tcW w:w="380" w:type="dxa"/>
            <w:vAlign w:val="bottom"/>
          </w:tcPr>
          <w:p>
            <w:pPr>
              <w:spacing w:after="0"/>
              <w:rPr>
                <w:sz w:val="15"/>
                <w:szCs w:val="15"/>
                <w:color w:val="auto"/>
              </w:rPr>
            </w:pPr>
          </w:p>
        </w:tc>
        <w:tc>
          <w:tcPr>
            <w:tcW w:w="1700" w:type="dxa"/>
            <w:vAlign w:val="bottom"/>
          </w:tcPr>
          <w:p>
            <w:pPr>
              <w:jc w:val="right"/>
              <w:ind w:right="188"/>
              <w:spacing w:after="0"/>
              <w:rPr>
                <w:sz w:val="20"/>
                <w:szCs w:val="20"/>
                <w:color w:val="auto"/>
              </w:rPr>
            </w:pPr>
            <w:r>
              <w:rPr>
                <w:rFonts w:ascii="Arial" w:cs="Arial" w:eastAsia="Arial" w:hAnsi="Arial"/>
                <w:sz w:val="14"/>
                <w:szCs w:val="14"/>
                <w:color w:val="auto"/>
              </w:rPr>
              <w:t>(182,742)</w:t>
            </w:r>
          </w:p>
        </w:tc>
        <w:tc>
          <w:tcPr>
            <w:tcW w:w="580" w:type="dxa"/>
            <w:vAlign w:val="bottom"/>
          </w:tcPr>
          <w:p>
            <w:pPr>
              <w:spacing w:after="0"/>
              <w:rPr>
                <w:sz w:val="15"/>
                <w:szCs w:val="15"/>
                <w:color w:val="auto"/>
              </w:rPr>
            </w:pPr>
          </w:p>
        </w:tc>
        <w:tc>
          <w:tcPr>
            <w:tcW w:w="2220" w:type="dxa"/>
            <w:vAlign w:val="bottom"/>
          </w:tcPr>
          <w:p>
            <w:pPr>
              <w:jc w:val="right"/>
              <w:ind w:right="168"/>
              <w:spacing w:after="0"/>
              <w:rPr>
                <w:sz w:val="20"/>
                <w:szCs w:val="20"/>
                <w:color w:val="auto"/>
              </w:rPr>
            </w:pPr>
            <w:r>
              <w:rPr>
                <w:rFonts w:ascii="Arial" w:cs="Arial" w:eastAsia="Arial" w:hAnsi="Arial"/>
                <w:sz w:val="14"/>
                <w:szCs w:val="14"/>
                <w:color w:val="auto"/>
              </w:rPr>
              <w:t>(136,514)</w:t>
            </w:r>
          </w:p>
        </w:tc>
        <w:tc>
          <w:tcPr>
            <w:tcW w:w="0" w:type="dxa"/>
            <w:vAlign w:val="bottom"/>
          </w:tcPr>
          <w:p>
            <w:pPr>
              <w:spacing w:after="0"/>
              <w:rPr>
                <w:sz w:val="1"/>
                <w:szCs w:val="1"/>
                <w:color w:val="auto"/>
              </w:rPr>
            </w:pPr>
          </w:p>
        </w:tc>
      </w:tr>
      <w:tr>
        <w:trPr>
          <w:trHeight w:val="181"/>
        </w:trPr>
        <w:tc>
          <w:tcPr>
            <w:tcW w:w="654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(445,879)</w:t>
            </w:r>
          </w:p>
        </w:tc>
        <w:tc>
          <w:tcPr>
            <w:tcW w:w="5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(436,591)</w:t>
            </w:r>
          </w:p>
        </w:tc>
        <w:tc>
          <w:tcPr>
            <w:tcW w:w="0" w:type="dxa"/>
            <w:vAlign w:val="bottom"/>
          </w:tcPr>
          <w:p>
            <w:pPr>
              <w:spacing w:after="0"/>
              <w:rPr>
                <w:sz w:val="1"/>
                <w:szCs w:val="1"/>
                <w:color w:val="auto"/>
              </w:rPr>
            </w:pPr>
          </w:p>
        </w:tc>
      </w:tr>
      <w:tr>
        <w:trPr>
          <w:trHeight w:val="164"/>
        </w:trPr>
        <w:tc>
          <w:tcPr>
            <w:tcW w:w="6540" w:type="dxa"/>
            <w:vAlign w:val="bottom"/>
          </w:tcPr>
          <w:p>
            <w:pPr>
              <w:ind w:left="420"/>
              <w:spacing w:after="0"/>
              <w:rPr>
                <w:sz w:val="20"/>
                <w:szCs w:val="20"/>
                <w:color w:val="auto"/>
              </w:rPr>
            </w:pPr>
            <w:r>
              <w:rPr>
                <w:rFonts w:ascii="Arial" w:cs="Arial" w:eastAsia="Arial" w:hAnsi="Arial"/>
                <w:sz w:val="14"/>
                <w:szCs w:val="14"/>
                <w:color w:val="auto"/>
              </w:rPr>
              <w:t>Total Itron, Inc. shareholders' equity</w:t>
            </w:r>
          </w:p>
        </w:tc>
        <w:tc>
          <w:tcPr>
            <w:tcW w:w="380" w:type="dxa"/>
            <w:vAlign w:val="bottom"/>
          </w:tcPr>
          <w:p>
            <w:pPr>
              <w:spacing w:after="0"/>
              <w:rPr>
                <w:sz w:val="14"/>
                <w:szCs w:val="14"/>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626,533</w:t>
            </w:r>
          </w:p>
        </w:tc>
        <w:tc>
          <w:tcPr>
            <w:tcW w:w="580" w:type="dxa"/>
            <w:vAlign w:val="bottom"/>
          </w:tcPr>
          <w:p>
            <w:pPr>
              <w:spacing w:after="0"/>
              <w:rPr>
                <w:sz w:val="14"/>
                <w:szCs w:val="14"/>
                <w:color w:val="auto"/>
              </w:rPr>
            </w:pPr>
          </w:p>
        </w:tc>
        <w:tc>
          <w:tcPr>
            <w:tcW w:w="2220" w:type="dxa"/>
            <w:vAlign w:val="bottom"/>
          </w:tcPr>
          <w:p>
            <w:pPr>
              <w:jc w:val="right"/>
              <w:ind w:right="228"/>
              <w:spacing w:after="0"/>
              <w:rPr>
                <w:sz w:val="20"/>
                <w:szCs w:val="20"/>
                <w:color w:val="auto"/>
              </w:rPr>
            </w:pPr>
            <w:r>
              <w:rPr>
                <w:rFonts w:ascii="Arial" w:cs="Arial" w:eastAsia="Arial" w:hAnsi="Arial"/>
                <w:sz w:val="14"/>
                <w:szCs w:val="14"/>
                <w:color w:val="auto"/>
              </w:rPr>
              <w:t>696,940</w:t>
            </w:r>
          </w:p>
        </w:tc>
        <w:tc>
          <w:tcPr>
            <w:tcW w:w="0" w:type="dxa"/>
            <w:vAlign w:val="bottom"/>
          </w:tcPr>
          <w:p>
            <w:pPr>
              <w:spacing w:after="0"/>
              <w:rPr>
                <w:sz w:val="1"/>
                <w:szCs w:val="1"/>
                <w:color w:val="auto"/>
              </w:rPr>
            </w:pPr>
          </w:p>
        </w:tc>
      </w:tr>
      <w:tr>
        <w:trPr>
          <w:trHeight w:val="181"/>
        </w:trPr>
        <w:tc>
          <w:tcPr>
            <w:tcW w:w="654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18,728</w:t>
            </w:r>
          </w:p>
        </w:tc>
        <w:tc>
          <w:tcPr>
            <w:tcW w:w="5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17,541</w:t>
            </w:r>
          </w:p>
        </w:tc>
        <w:tc>
          <w:tcPr>
            <w:tcW w:w="0" w:type="dxa"/>
            <w:vAlign w:val="bottom"/>
          </w:tcPr>
          <w:p>
            <w:pPr>
              <w:spacing w:after="0"/>
              <w:rPr>
                <w:sz w:val="1"/>
                <w:szCs w:val="1"/>
                <w:color w:val="auto"/>
              </w:rPr>
            </w:pPr>
          </w:p>
        </w:tc>
      </w:tr>
      <w:tr>
        <w:trPr>
          <w:trHeight w:val="169"/>
        </w:trPr>
        <w:tc>
          <w:tcPr>
            <w:tcW w:w="6540" w:type="dxa"/>
            <w:vAlign w:val="bottom"/>
          </w:tcPr>
          <w:p>
            <w:pPr>
              <w:ind w:left="420"/>
              <w:spacing w:after="0"/>
              <w:rPr>
                <w:sz w:val="20"/>
                <w:szCs w:val="20"/>
                <w:color w:val="auto"/>
              </w:rPr>
            </w:pPr>
            <w:r>
              <w:rPr>
                <w:rFonts w:ascii="Arial" w:cs="Arial" w:eastAsia="Arial" w:hAnsi="Arial"/>
                <w:sz w:val="14"/>
                <w:szCs w:val="14"/>
                <w:color w:val="auto"/>
              </w:rPr>
              <w:t>Total equity</w:t>
            </w:r>
          </w:p>
        </w:tc>
        <w:tc>
          <w:tcPr>
            <w:tcW w:w="3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645,261</w:t>
            </w:r>
          </w:p>
        </w:tc>
        <w:tc>
          <w:tcPr>
            <w:tcW w:w="5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714,481</w:t>
            </w:r>
          </w:p>
        </w:tc>
        <w:tc>
          <w:tcPr>
            <w:tcW w:w="0" w:type="dxa"/>
            <w:vAlign w:val="bottom"/>
          </w:tcPr>
          <w:p>
            <w:pPr>
              <w:spacing w:after="0"/>
              <w:rPr>
                <w:sz w:val="1"/>
                <w:szCs w:val="1"/>
                <w:color w:val="auto"/>
              </w:rPr>
            </w:pPr>
          </w:p>
        </w:tc>
      </w:tr>
      <w:tr>
        <w:trPr>
          <w:trHeight w:val="169"/>
        </w:trPr>
        <w:tc>
          <w:tcPr>
            <w:tcW w:w="6540" w:type="dxa"/>
            <w:vAlign w:val="bottom"/>
          </w:tcPr>
          <w:p>
            <w:pPr>
              <w:ind w:left="420"/>
              <w:spacing w:after="0"/>
              <w:rPr>
                <w:sz w:val="20"/>
                <w:szCs w:val="20"/>
                <w:color w:val="auto"/>
              </w:rPr>
            </w:pPr>
            <w:r>
              <w:rPr>
                <w:rFonts w:ascii="Arial" w:cs="Arial" w:eastAsia="Arial" w:hAnsi="Arial"/>
                <w:sz w:val="14"/>
                <w:szCs w:val="14"/>
                <w:color w:val="auto"/>
              </w:rPr>
              <w:t>Total liabilities and equity</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1,698,669</w:t>
            </w: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1,710,305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5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 w:name="page13"/>
    <w:bookmarkEnd w:id="12"/>
    <w:p>
      <w:pPr>
        <w:jc w:val="center"/>
        <w:ind w:left="3480"/>
        <w:spacing w:after="0"/>
        <w:rPr>
          <w:sz w:val="20"/>
          <w:szCs w:val="20"/>
          <w:color w:val="auto"/>
        </w:rPr>
      </w:pPr>
      <w:r>
        <w:rPr>
          <w:rFonts w:ascii="Arial" w:cs="Arial" w:eastAsia="Arial" w:hAnsi="Arial"/>
          <w:sz w:val="14"/>
          <w:szCs w:val="14"/>
          <w:b w:val="1"/>
          <w:bCs w:val="1"/>
          <w:color w:val="auto"/>
        </w:rPr>
        <w:t>ITRON, INC.</w:t>
      </w:r>
    </w:p>
    <w:p>
      <w:pPr>
        <w:spacing w:after="0" w:line="4" w:lineRule="exact"/>
        <w:rPr>
          <w:sz w:val="20"/>
          <w:szCs w:val="20"/>
          <w:color w:val="auto"/>
        </w:rPr>
      </w:pPr>
    </w:p>
    <w:p>
      <w:pPr>
        <w:jc w:val="center"/>
        <w:ind w:left="348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income (loss)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Amortization of prepaid debt fees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Deferred taxes, net</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Goodwill impairment</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Restructuring expense, non-cash</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Other adjustments, 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Accounts receivable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Inventories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current assets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long-term assets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Accounts payable, other current liabilities, and taxes payable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Wages and benefits payable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Unearned revenue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Warranty</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operating, net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cash provided by operating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Acquisitions of property, plant, and equipment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Business acquisitions, net of cash equivalents acquired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investing, net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cash provided by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Proceeds from borrowings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Payments on debt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Issuance of common stock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Repurchase of common stock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financing, net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cash provided by (used in)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Effect of foreign exchange rate changes on cash and cash equivalents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Increase (decrease) in 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7202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Six Months Ended 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r>
      <w:tr>
        <w:trPr>
          <w:trHeight w:val="346"/>
        </w:trPr>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(8,101)</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19,726</w:t>
            </w:r>
          </w:p>
        </w:tc>
      </w:tr>
      <w:tr>
        <w:trPr>
          <w:trHeight w:val="344"/>
        </w:trPr>
        <w:tc>
          <w:tcPr>
            <w:tcW w:w="300" w:type="dxa"/>
            <w:vAlign w:val="bottom"/>
          </w:tcPr>
          <w:p>
            <w:pPr>
              <w:spacing w:after="0"/>
              <w:rPr>
                <w:sz w:val="24"/>
                <w:szCs w:val="2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38,760</w:t>
            </w:r>
          </w:p>
        </w:tc>
        <w:tc>
          <w:tcPr>
            <w:tcW w:w="40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50,606</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7,997</w:t>
            </w: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9,454</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1,579</w:t>
            </w: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808</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1,901</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(8,046)</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977</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267</w:t>
            </w: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82"/>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919</w:t>
            </w: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85</w:t>
            </w:r>
          </w:p>
        </w:tc>
      </w:tr>
      <w:tr>
        <w:trPr>
          <w:trHeight w:val="344"/>
        </w:trPr>
        <w:tc>
          <w:tcPr>
            <w:tcW w:w="30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(6,849)</w:t>
            </w:r>
          </w:p>
        </w:tc>
        <w:tc>
          <w:tcPr>
            <w:tcW w:w="40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(14,712)</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(49,677)</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(16,801)</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(9,043)</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(9,103)</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406</w:t>
            </w: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312</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23,990</w:t>
            </w: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12,360</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(6,276)</w:t>
            </w: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4,473</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7,807</w:t>
            </w: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16,560</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23,119</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(2,864)</w:t>
            </w:r>
          </w:p>
        </w:tc>
      </w:tr>
      <w:tr>
        <w:trPr>
          <w:trHeight w:val="181"/>
        </w:trPr>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(9,232)</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3,356</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17,567</w:t>
            </w: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67,191</w:t>
            </w:r>
          </w:p>
        </w:tc>
      </w:tr>
      <w:tr>
        <w:trPr>
          <w:trHeight w:val="515"/>
        </w:trPr>
        <w:tc>
          <w:tcPr>
            <w:tcW w:w="30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(20,992)</w:t>
            </w:r>
          </w:p>
        </w:tc>
        <w:tc>
          <w:tcPr>
            <w:tcW w:w="40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(19,403)</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81"/>
        </w:trPr>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693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(20,299)</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(19,347)</w:t>
            </w:r>
          </w:p>
        </w:tc>
      </w:tr>
      <w:tr>
        <w:trPr>
          <w:trHeight w:val="515"/>
        </w:trPr>
        <w:tc>
          <w:tcPr>
            <w:tcW w:w="300" w:type="dxa"/>
            <w:vAlign w:val="bottom"/>
          </w:tcPr>
          <w:p>
            <w:pPr>
              <w:spacing w:after="0"/>
              <w:rPr>
                <w:sz w:val="24"/>
                <w:szCs w:val="2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74,183</w:t>
            </w:r>
          </w:p>
        </w:tc>
        <w:tc>
          <w:tcPr>
            <w:tcW w:w="40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(22,373)</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(51,250)</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1,864</w:t>
            </w: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1,530</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(23,185)</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(7,164)</w:t>
            </w:r>
          </w:p>
        </w:tc>
      </w:tr>
      <w:tr>
        <w:trPr>
          <w:trHeight w:val="181"/>
        </w:trPr>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(3,942)</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1,204</w:t>
            </w:r>
          </w:p>
        </w:tc>
      </w:tr>
      <w:tr>
        <w:trPr>
          <w:trHeight w:val="176"/>
        </w:trPr>
        <w:tc>
          <w:tcPr>
            <w:tcW w:w="30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26,547</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(55,680)</w:t>
            </w:r>
          </w:p>
        </w:tc>
      </w:tr>
      <w:tr>
        <w:trPr>
          <w:trHeight w:val="344"/>
        </w:trPr>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(7,372)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(2,189)</w:t>
            </w:r>
          </w:p>
        </w:tc>
      </w:tr>
      <w:tr>
        <w:trPr>
          <w:trHeight w:val="164"/>
        </w:trPr>
        <w:tc>
          <w:tcPr>
            <w:tcW w:w="30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16,443</w:t>
            </w:r>
          </w:p>
        </w:tc>
        <w:tc>
          <w:tcPr>
            <w:tcW w:w="4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(10,025)</w:t>
            </w:r>
          </w:p>
        </w:tc>
      </w:tr>
      <w:tr>
        <w:trPr>
          <w:trHeight w:val="181"/>
        </w:trPr>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112,371</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124,805</w:t>
            </w:r>
          </w:p>
        </w:tc>
      </w:tr>
      <w:tr>
        <w:trPr>
          <w:trHeight w:val="169"/>
        </w:trPr>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128,814</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114,780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940" w:space="720"/>
            <w:col w:w="2760"/>
          </w:cols>
          <w:pgMar w:left="240" w:top="306"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2"/>
          <w:szCs w:val="22"/>
          <w:b w:val="1"/>
          <w:bCs w:val="1"/>
          <w:color w:val="auto"/>
        </w:rPr>
        <w:t>Itron,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acquired through a business acquisition and non-recurring discrete cash and non-cash charges that are infrequent in nature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00" w:lineRule="exact"/>
        <w:rPr>
          <w:sz w:val="20"/>
          <w:szCs w:val="20"/>
          <w:color w:val="auto"/>
        </w:rPr>
      </w:pP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Non-GAAP operating expense and non-GAAP operating income – We define non-GAAP operating expense as operating expense excluding certain expenses related to the amortization of intangible assets acquired through a business acquisition, restructuring, acquisitions and goodwill impairment. We define non-GAAP operating income as operating income excluding the expenses related to the amortization of intangible assets acquired through a business acquisition, restructuring, acquisitions and goodwill impairment. We consider these non-GAAP financial measures to be useful metrics for management and investors because they exclude the effect of expenses that are related to previous acquisitions and restructurings.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264795</wp:posOffset>
            </wp:positionV>
            <wp:extent cx="727202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spacing w:after="0" w:line="245" w:lineRule="auto"/>
        <w:rPr>
          <w:sz w:val="20"/>
          <w:szCs w:val="20"/>
          <w:color w:val="auto"/>
        </w:rPr>
      </w:pPr>
      <w:r>
        <w:rPr>
          <w:rFonts w:ascii="Arial" w:cs="Arial" w:eastAsia="Arial" w:hAnsi="Arial"/>
          <w:sz w:val="21"/>
          <w:szCs w:val="21"/>
          <w:color w:val="auto"/>
        </w:rPr>
        <w:t>Non-GAAP net income and non-GAAP diluted EPS – We define non-GAAP net income as net income excluding the expenses associated with amortization of intangible assets acquired through a business acquisition, restructuring, acquisitions, goodwill impairment and amortization of debt placement fees.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86"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Adjusted EBITDA – We define adjusted EBITDA as net income (a) minus interest income, (b) plus interest expense, depreciation and amortization of business acquisition related intangible asset expenses, restructuring expense, acquisition related expense, goodwill impairment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59"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Free cash flow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ITRON, INC.</w:t>
      </w:r>
    </w:p>
    <w:p>
      <w:pPr>
        <w:jc w:val="center"/>
        <w:spacing w:after="0" w:line="226" w:lineRule="auto"/>
        <w:rPr>
          <w:sz w:val="20"/>
          <w:szCs w:val="20"/>
          <w:color w:val="auto"/>
        </w:rPr>
      </w:pPr>
      <w:r>
        <w:rPr>
          <w:rFonts w:ascii="Arial" w:cs="Arial" w:eastAsia="Arial" w:hAnsi="Arial"/>
          <w:sz w:val="14"/>
          <w:szCs w:val="14"/>
          <w:b w:val="1"/>
          <w:bCs w:val="1"/>
          <w:color w:val="auto"/>
        </w:rPr>
        <w:t>RECONCILIATIONS OF NON-GAAP FINANCIAL MEASURES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COMPANY RECONCILIATIONS</w:t>
            </w:r>
          </w:p>
        </w:tc>
        <w:tc>
          <w:tcPr>
            <w:tcW w:w="3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5780" w:type="dxa"/>
            <w:vAlign w:val="bottom"/>
          </w:tcPr>
          <w:p>
            <w:pPr>
              <w:ind w:left="220"/>
              <w:spacing w:after="0"/>
              <w:rPr>
                <w:sz w:val="20"/>
                <w:szCs w:val="20"/>
                <w:color w:val="auto"/>
              </w:rPr>
            </w:pPr>
            <w:r>
              <w:rPr>
                <w:rFonts w:ascii="Arial" w:cs="Arial" w:eastAsia="Arial" w:hAnsi="Arial"/>
                <w:sz w:val="14"/>
                <w:szCs w:val="14"/>
                <w:b w:val="1"/>
                <w:bCs w:val="1"/>
                <w:color w:val="auto"/>
              </w:rPr>
              <w:t>NON-GAAP NET INCOME &amp; DILUTED EPS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420"/>
              <w:spacing w:after="0"/>
              <w:rPr>
                <w:sz w:val="20"/>
                <w:szCs w:val="20"/>
                <w:color w:val="auto"/>
              </w:rPr>
            </w:pPr>
            <w:r>
              <w:rPr>
                <w:rFonts w:ascii="Arial" w:cs="Arial" w:eastAsia="Arial" w:hAnsi="Arial"/>
                <w:sz w:val="14"/>
                <w:szCs w:val="14"/>
                <w:color w:val="auto"/>
              </w:rPr>
              <w:t>GAAP net income (loss)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(14,198)</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19,259</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(9,288)</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19,005</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7,888</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11,109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15,861</w:t>
            </w:r>
          </w:p>
        </w:tc>
        <w:tc>
          <w:tcPr>
            <w:tcW w:w="4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22,179</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Amortization of debt placement fees</w:t>
            </w:r>
          </w:p>
        </w:tc>
        <w:tc>
          <w:tcPr>
            <w:tcW w:w="32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1,164</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1,529</w:t>
            </w:r>
          </w:p>
        </w:tc>
        <w:tc>
          <w:tcPr>
            <w:tcW w:w="4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32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(4,234)</w:t>
            </w:r>
          </w:p>
        </w:tc>
        <w:tc>
          <w:tcPr>
            <w:tcW w:w="4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(7,793)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(9,681)</w:t>
            </w:r>
          </w:p>
        </w:tc>
        <w:tc>
          <w:tcPr>
            <w:tcW w:w="4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(2,269)</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Acquisition related expenses</w:t>
            </w:r>
          </w:p>
        </w:tc>
        <w:tc>
          <w:tcPr>
            <w:tcW w:w="32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(4,607)</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(2,283)</w:t>
            </w:r>
          </w:p>
        </w:tc>
        <w:tc>
          <w:tcPr>
            <w:tcW w:w="4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Goodwill impairment</w:t>
            </w:r>
          </w:p>
        </w:tc>
        <w:tc>
          <w:tcPr>
            <w:tcW w:w="32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81"/>
        </w:trPr>
        <w:tc>
          <w:tcPr>
            <w:tcW w:w="5780" w:type="dxa"/>
            <w:vAlign w:val="bottom"/>
          </w:tcPr>
          <w:p>
            <w:pPr>
              <w:ind w:left="620"/>
              <w:spacing w:after="0"/>
              <w:rPr>
                <w:sz w:val="20"/>
                <w:szCs w:val="20"/>
                <w:color w:val="auto"/>
              </w:rPr>
            </w:pPr>
            <w:r>
              <w:rPr>
                <w:rFonts w:ascii="Arial" w:cs="Arial" w:eastAsia="Arial" w:hAnsi="Arial"/>
                <w:sz w:val="14"/>
                <w:szCs w:val="14"/>
                <w:color w:val="auto"/>
              </w:rPr>
              <w:t>Income tax effect of non-GAAP adjustments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(674)</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(2,988)</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(7,578)</w:t>
            </w:r>
          </w:p>
        </w:tc>
        <w:tc>
          <w:tcPr>
            <w:tcW w:w="0" w:type="dxa"/>
            <w:vAlign w:val="bottom"/>
          </w:tcPr>
          <w:p>
            <w:pPr>
              <w:spacing w:after="0"/>
              <w:rPr>
                <w:sz w:val="1"/>
                <w:szCs w:val="1"/>
                <w:color w:val="auto"/>
              </w:rPr>
            </w:pPr>
          </w:p>
        </w:tc>
      </w:tr>
      <w:tr>
        <w:trPr>
          <w:trHeight w:val="169"/>
        </w:trPr>
        <w:tc>
          <w:tcPr>
            <w:tcW w:w="5780" w:type="dxa"/>
            <w:vAlign w:val="bottom"/>
          </w:tcPr>
          <w:p>
            <w:pPr>
              <w:ind w:left="420"/>
              <w:spacing w:after="0"/>
              <w:rPr>
                <w:sz w:val="20"/>
                <w:szCs w:val="20"/>
                <w:color w:val="auto"/>
              </w:rPr>
            </w:pPr>
            <w:r>
              <w:rPr>
                <w:rFonts w:ascii="Arial" w:cs="Arial" w:eastAsia="Arial" w:hAnsi="Arial"/>
                <w:sz w:val="14"/>
                <w:szCs w:val="14"/>
                <w:color w:val="auto"/>
              </w:rPr>
              <w:t>Non-GAAP net income (loss)</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(14,661)</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21,407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(6,850)</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33,650</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420"/>
              <w:spacing w:after="0"/>
              <w:rPr>
                <w:sz w:val="20"/>
                <w:szCs w:val="20"/>
                <w:color w:val="auto"/>
              </w:rPr>
            </w:pPr>
            <w:r>
              <w:rPr>
                <w:rFonts w:ascii="Arial" w:cs="Arial" w:eastAsia="Arial" w:hAnsi="Arial"/>
                <w:sz w:val="14"/>
                <w:szCs w:val="14"/>
                <w:color w:val="auto"/>
              </w:rPr>
              <w:t>Non-GAAP diluted EPS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780" w:type="dxa"/>
            <w:vAlign w:val="bottom"/>
            <w:vMerge w:val="continue"/>
          </w:tcPr>
          <w:p>
            <w:pPr>
              <w:spacing w:after="0"/>
              <w:rPr>
                <w:sz w:val="14"/>
                <w:szCs w:val="14"/>
                <w:color w:val="auto"/>
              </w:rPr>
            </w:pPr>
          </w:p>
        </w:tc>
        <w:tc>
          <w:tcPr>
            <w:tcW w:w="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(0.38)</w:t>
            </w:r>
          </w:p>
        </w:tc>
        <w:tc>
          <w:tcPr>
            <w:tcW w:w="4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0.54</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(0.18)</w:t>
            </w:r>
          </w:p>
        </w:tc>
        <w:tc>
          <w:tcPr>
            <w:tcW w:w="4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780" w:type="dxa"/>
            <w:vAlign w:val="bottom"/>
          </w:tcPr>
          <w:p>
            <w:pPr>
              <w:ind w:left="420"/>
              <w:spacing w:after="0"/>
              <w:rPr>
                <w:sz w:val="20"/>
                <w:szCs w:val="20"/>
                <w:color w:val="auto"/>
              </w:rPr>
            </w:pPr>
            <w:r>
              <w:rPr>
                <w:rFonts w:ascii="Arial" w:cs="Arial" w:eastAsia="Arial" w:hAnsi="Arial"/>
                <w:sz w:val="14"/>
                <w:szCs w:val="14"/>
                <w:color w:val="auto"/>
              </w:rPr>
              <w:t>Weighted average common shares outstanding - Diluted</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38,434</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39,544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38,438</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39,528</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ADJUSTED EBITDA</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420"/>
              <w:spacing w:after="0"/>
              <w:rPr>
                <w:sz w:val="20"/>
                <w:szCs w:val="20"/>
                <w:color w:val="auto"/>
              </w:rPr>
            </w:pPr>
            <w:r>
              <w:rPr>
                <w:rFonts w:ascii="Arial" w:cs="Arial" w:eastAsia="Arial" w:hAnsi="Arial"/>
                <w:sz w:val="14"/>
                <w:szCs w:val="14"/>
                <w:color w:val="auto"/>
              </w:rPr>
              <w:t>GAAP net income (loss)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(14,198)</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19,259</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(9,288)</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19,005</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(213)</w:t>
            </w:r>
          </w:p>
        </w:tc>
        <w:tc>
          <w:tcPr>
            <w:tcW w:w="4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(260)</w:t>
            </w:r>
          </w:p>
        </w:tc>
        <w:tc>
          <w:tcPr>
            <w:tcW w:w="4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3,855</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2,913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6,537</w:t>
            </w:r>
          </w:p>
        </w:tc>
        <w:tc>
          <w:tcPr>
            <w:tcW w:w="4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5,822</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Income tax (benefit) provision</w:t>
            </w:r>
          </w:p>
        </w:tc>
        <w:tc>
          <w:tcPr>
            <w:tcW w:w="32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3,966</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7,848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9,529</w:t>
            </w:r>
          </w:p>
        </w:tc>
        <w:tc>
          <w:tcPr>
            <w:tcW w:w="4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7,195</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19,421</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25,014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38,760</w:t>
            </w:r>
          </w:p>
        </w:tc>
        <w:tc>
          <w:tcPr>
            <w:tcW w:w="4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50,606</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32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(4,234)</w:t>
            </w:r>
          </w:p>
        </w:tc>
        <w:tc>
          <w:tcPr>
            <w:tcW w:w="4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(7,793)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(9,681)</w:t>
            </w:r>
          </w:p>
        </w:tc>
        <w:tc>
          <w:tcPr>
            <w:tcW w:w="4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(2,269)</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Acquisition related expenses</w:t>
            </w:r>
          </w:p>
        </w:tc>
        <w:tc>
          <w:tcPr>
            <w:tcW w:w="32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(4,607)</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(2,283)</w:t>
            </w:r>
          </w:p>
        </w:tc>
        <w:tc>
          <w:tcPr>
            <w:tcW w:w="4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81"/>
        </w:trPr>
        <w:tc>
          <w:tcPr>
            <w:tcW w:w="5780" w:type="dxa"/>
            <w:vAlign w:val="bottom"/>
          </w:tcPr>
          <w:p>
            <w:pPr>
              <w:ind w:left="620"/>
              <w:spacing w:after="0"/>
              <w:rPr>
                <w:sz w:val="20"/>
                <w:szCs w:val="20"/>
                <w:color w:val="auto"/>
              </w:rPr>
            </w:pPr>
            <w:r>
              <w:rPr>
                <w:rFonts w:ascii="Arial" w:cs="Arial" w:eastAsia="Arial" w:hAnsi="Arial"/>
                <w:sz w:val="14"/>
                <w:szCs w:val="14"/>
                <w:color w:val="auto"/>
              </w:rPr>
              <w:t>Goodwill impairment</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5780" w:type="dxa"/>
            <w:vAlign w:val="bottom"/>
          </w:tcPr>
          <w:p>
            <w:pPr>
              <w:ind w:left="420"/>
              <w:spacing w:after="0"/>
              <w:rPr>
                <w:sz w:val="20"/>
                <w:szCs w:val="20"/>
                <w:color w:val="auto"/>
              </w:rPr>
            </w:pPr>
            <w:r>
              <w:rPr>
                <w:rFonts w:ascii="Arial" w:cs="Arial" w:eastAsia="Arial" w:hAnsi="Arial"/>
                <w:sz w:val="14"/>
                <w:szCs w:val="14"/>
                <w:color w:val="auto"/>
              </w:rPr>
              <w:t>Adjusted EBITDA</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3,990</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47,277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33,314</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81,764</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FREE CASH FLOW</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21,522</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430</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17,567</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67,191</w:t>
            </w:r>
          </w:p>
        </w:tc>
        <w:tc>
          <w:tcPr>
            <w:tcW w:w="0" w:type="dxa"/>
            <w:vAlign w:val="bottom"/>
          </w:tcPr>
          <w:p>
            <w:pPr>
              <w:spacing w:after="0"/>
              <w:rPr>
                <w:sz w:val="1"/>
                <w:szCs w:val="1"/>
                <w:color w:val="auto"/>
              </w:rPr>
            </w:pPr>
          </w:p>
        </w:tc>
      </w:tr>
      <w:tr>
        <w:trPr>
          <w:trHeight w:val="181"/>
        </w:trPr>
        <w:tc>
          <w:tcPr>
            <w:tcW w:w="5780" w:type="dxa"/>
            <w:vAlign w:val="bottom"/>
          </w:tcPr>
          <w:p>
            <w:pPr>
              <w:ind w:left="620"/>
              <w:spacing w:after="0"/>
              <w:rPr>
                <w:sz w:val="20"/>
                <w:szCs w:val="20"/>
                <w:color w:val="auto"/>
              </w:rPr>
            </w:pPr>
            <w:r>
              <w:rPr>
                <w:rFonts w:ascii="Arial" w:cs="Arial" w:eastAsia="Arial" w:hAnsi="Arial"/>
                <w:sz w:val="14"/>
                <w:szCs w:val="14"/>
                <w:color w:val="auto"/>
              </w:rPr>
              <w:t>Acquisitions of property, plant, and equipment</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(11,520)</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(10,839)</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(20,992)</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(19,403)</w:t>
            </w:r>
          </w:p>
        </w:tc>
        <w:tc>
          <w:tcPr>
            <w:tcW w:w="0" w:type="dxa"/>
            <w:vAlign w:val="bottom"/>
          </w:tcPr>
          <w:p>
            <w:pPr>
              <w:spacing w:after="0"/>
              <w:rPr>
                <w:sz w:val="1"/>
                <w:szCs w:val="1"/>
                <w:color w:val="auto"/>
              </w:rPr>
            </w:pPr>
          </w:p>
        </w:tc>
      </w:tr>
      <w:tr>
        <w:trPr>
          <w:trHeight w:val="169"/>
        </w:trPr>
        <w:tc>
          <w:tcPr>
            <w:tcW w:w="5780" w:type="dxa"/>
            <w:vAlign w:val="bottom"/>
          </w:tcPr>
          <w:p>
            <w:pPr>
              <w:ind w:left="420"/>
              <w:spacing w:after="0"/>
              <w:rPr>
                <w:sz w:val="20"/>
                <w:szCs w:val="20"/>
                <w:color w:val="auto"/>
              </w:rPr>
            </w:pPr>
            <w:r>
              <w:rPr>
                <w:rFonts w:ascii="Arial" w:cs="Arial" w:eastAsia="Arial" w:hAnsi="Arial"/>
                <w:sz w:val="14"/>
                <w:szCs w:val="14"/>
                <w:color w:val="auto"/>
              </w:rPr>
              <w:t>Free Cash Flow</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10,002</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(10,409)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(3,425)</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47,788</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NON-GAAP OPERATING INCOME</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420"/>
              <w:spacing w:after="0"/>
              <w:rPr>
                <w:sz w:val="20"/>
                <w:szCs w:val="20"/>
                <w:color w:val="auto"/>
              </w:rPr>
            </w:pPr>
            <w:r>
              <w:rPr>
                <w:rFonts w:ascii="Arial" w:cs="Arial" w:eastAsia="Arial" w:hAnsi="Arial"/>
                <w:sz w:val="14"/>
                <w:szCs w:val="14"/>
                <w:color w:val="auto"/>
              </w:rPr>
              <w:t>GAAP operating income (loss)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(3,951)</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31,927</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9,588</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36,466</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7,888</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11,109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15,861</w:t>
            </w:r>
          </w:p>
        </w:tc>
        <w:tc>
          <w:tcPr>
            <w:tcW w:w="4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22,179</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32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(4,234)</w:t>
            </w:r>
          </w:p>
        </w:tc>
        <w:tc>
          <w:tcPr>
            <w:tcW w:w="4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(7,793)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(9,681)</w:t>
            </w:r>
          </w:p>
        </w:tc>
        <w:tc>
          <w:tcPr>
            <w:tcW w:w="4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(2,269)</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Acquisition related expenses</w:t>
            </w:r>
          </w:p>
        </w:tc>
        <w:tc>
          <w:tcPr>
            <w:tcW w:w="32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(4,607)</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(2,283)</w:t>
            </w:r>
          </w:p>
        </w:tc>
        <w:tc>
          <w:tcPr>
            <w:tcW w:w="4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81"/>
        </w:trPr>
        <w:tc>
          <w:tcPr>
            <w:tcW w:w="5780" w:type="dxa"/>
            <w:vAlign w:val="bottom"/>
          </w:tcPr>
          <w:p>
            <w:pPr>
              <w:ind w:left="620"/>
              <w:spacing w:after="0"/>
              <w:rPr>
                <w:sz w:val="20"/>
                <w:szCs w:val="20"/>
                <w:color w:val="auto"/>
              </w:rPr>
            </w:pPr>
            <w:r>
              <w:rPr>
                <w:rFonts w:ascii="Arial" w:cs="Arial" w:eastAsia="Arial" w:hAnsi="Arial"/>
                <w:sz w:val="14"/>
                <w:szCs w:val="14"/>
                <w:color w:val="auto"/>
              </w:rPr>
              <w:t>Goodwill impairment</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5780" w:type="dxa"/>
            <w:vAlign w:val="bottom"/>
          </w:tcPr>
          <w:p>
            <w:pPr>
              <w:ind w:left="420"/>
              <w:spacing w:after="0"/>
              <w:rPr>
                <w:sz w:val="20"/>
                <w:szCs w:val="20"/>
                <w:color w:val="auto"/>
              </w:rPr>
            </w:pPr>
            <w:r>
              <w:rPr>
                <w:rFonts w:ascii="Arial" w:cs="Arial" w:eastAsia="Arial" w:hAnsi="Arial"/>
                <w:sz w:val="14"/>
                <w:szCs w:val="14"/>
                <w:color w:val="auto"/>
              </w:rPr>
              <w:t>Non-GAAP operating income (loss)</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(4,904)</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35,332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13,485</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57,931</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NON-GAAP OPERATING EXPENSE</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420"/>
              <w:spacing w:after="0"/>
              <w:rPr>
                <w:sz w:val="20"/>
                <w:szCs w:val="20"/>
                <w:color w:val="auto"/>
              </w:rPr>
            </w:pPr>
            <w:r>
              <w:rPr>
                <w:rFonts w:ascii="Arial" w:cs="Arial" w:eastAsia="Arial" w:hAnsi="Arial"/>
                <w:sz w:val="14"/>
                <w:szCs w:val="14"/>
                <w:color w:val="auto"/>
              </w:rPr>
              <w:t>GAAP operating expense</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122,522</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131,114</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247,182</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281,110</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(7,888)</w:t>
            </w:r>
          </w:p>
        </w:tc>
        <w:tc>
          <w:tcPr>
            <w:tcW w:w="4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(11,109)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(15,861)</w:t>
            </w:r>
          </w:p>
        </w:tc>
        <w:tc>
          <w:tcPr>
            <w:tcW w:w="4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(22,179)</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32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4,234</w:t>
            </w:r>
          </w:p>
        </w:tc>
        <w:tc>
          <w:tcPr>
            <w:tcW w:w="42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7,793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9,681</w:t>
            </w:r>
          </w:p>
        </w:tc>
        <w:tc>
          <w:tcPr>
            <w:tcW w:w="4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2,269</w:t>
            </w:r>
          </w:p>
        </w:tc>
        <w:tc>
          <w:tcPr>
            <w:tcW w:w="0" w:type="dxa"/>
            <w:vAlign w:val="bottom"/>
          </w:tcPr>
          <w:p>
            <w:pPr>
              <w:spacing w:after="0"/>
              <w:rPr>
                <w:sz w:val="1"/>
                <w:szCs w:val="1"/>
                <w:color w:val="auto"/>
              </w:rPr>
            </w:pPr>
          </w:p>
        </w:tc>
      </w:tr>
      <w:tr>
        <w:trPr>
          <w:trHeight w:val="176"/>
        </w:trPr>
        <w:tc>
          <w:tcPr>
            <w:tcW w:w="5780" w:type="dxa"/>
            <w:vAlign w:val="bottom"/>
          </w:tcPr>
          <w:p>
            <w:pPr>
              <w:ind w:left="620"/>
              <w:spacing w:after="0"/>
              <w:rPr>
                <w:sz w:val="20"/>
                <w:szCs w:val="20"/>
                <w:color w:val="auto"/>
              </w:rPr>
            </w:pPr>
            <w:r>
              <w:rPr>
                <w:rFonts w:ascii="Arial" w:cs="Arial" w:eastAsia="Arial" w:hAnsi="Arial"/>
                <w:sz w:val="14"/>
                <w:szCs w:val="14"/>
                <w:color w:val="auto"/>
              </w:rPr>
              <w:t>Acquisition related expenses</w:t>
            </w:r>
          </w:p>
        </w:tc>
        <w:tc>
          <w:tcPr>
            <w:tcW w:w="32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4,607</w:t>
            </w:r>
          </w:p>
        </w:tc>
        <w:tc>
          <w:tcPr>
            <w:tcW w:w="42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2,283</w:t>
            </w:r>
          </w:p>
        </w:tc>
        <w:tc>
          <w:tcPr>
            <w:tcW w:w="4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81"/>
        </w:trPr>
        <w:tc>
          <w:tcPr>
            <w:tcW w:w="5780" w:type="dxa"/>
            <w:vAlign w:val="bottom"/>
          </w:tcPr>
          <w:p>
            <w:pPr>
              <w:ind w:left="620"/>
              <w:spacing w:after="0"/>
              <w:rPr>
                <w:sz w:val="20"/>
                <w:szCs w:val="20"/>
                <w:color w:val="auto"/>
              </w:rPr>
            </w:pPr>
            <w:r>
              <w:rPr>
                <w:rFonts w:ascii="Arial" w:cs="Arial" w:eastAsia="Arial" w:hAnsi="Arial"/>
                <w:sz w:val="14"/>
                <w:szCs w:val="14"/>
                <w:color w:val="auto"/>
              </w:rPr>
              <w:t>Goodwill impairment</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5780" w:type="dxa"/>
            <w:vAlign w:val="bottom"/>
          </w:tcPr>
          <w:p>
            <w:pPr>
              <w:ind w:left="420"/>
              <w:spacing w:after="0"/>
              <w:rPr>
                <w:sz w:val="20"/>
                <w:szCs w:val="20"/>
                <w:color w:val="auto"/>
              </w:rPr>
            </w:pPr>
            <w:r>
              <w:rPr>
                <w:rFonts w:ascii="Arial" w:cs="Arial" w:eastAsia="Arial" w:hAnsi="Arial"/>
                <w:sz w:val="14"/>
                <w:szCs w:val="14"/>
                <w:color w:val="auto"/>
              </w:rPr>
              <w:t>Non-GAAP operating expense</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123,475</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127,709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243,285</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259,645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7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ITRON, INC.</w:t>
      </w:r>
    </w:p>
    <w:p>
      <w:pPr>
        <w:jc w:val="center"/>
        <w:spacing w:after="0" w:line="226" w:lineRule="auto"/>
        <w:rPr>
          <w:sz w:val="20"/>
          <w:szCs w:val="20"/>
          <w:color w:val="auto"/>
        </w:rPr>
      </w:pPr>
      <w:r>
        <w:rPr>
          <w:rFonts w:ascii="Arial" w:cs="Arial" w:eastAsia="Arial" w:hAnsi="Arial"/>
          <w:sz w:val="14"/>
          <w:szCs w:val="14"/>
          <w:b w:val="1"/>
          <w:bCs w:val="1"/>
          <w:color w:val="auto"/>
        </w:rPr>
        <w:t>RECONCILIATIONS OF NON-GAAP FINANCIAL MEASURES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00" w:type="dxa"/>
            <w:vAlign w:val="bottom"/>
          </w:tcPr>
          <w:p>
            <w:pPr>
              <w:spacing w:after="0"/>
              <w:rPr>
                <w:sz w:val="20"/>
                <w:szCs w:val="20"/>
                <w:color w:val="auto"/>
              </w:rPr>
            </w:pPr>
            <w:r>
              <w:rPr>
                <w:rFonts w:ascii="Arial" w:cs="Arial" w:eastAsia="Arial" w:hAnsi="Arial"/>
                <w:sz w:val="14"/>
                <w:szCs w:val="14"/>
                <w:color w:val="auto"/>
              </w:rPr>
              <w:t>(Unaudited, in thousands)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5"/>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 RECONCILIATIONS</w:t>
            </w: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69"/>
        </w:trPr>
        <w:tc>
          <w:tcPr>
            <w:tcW w:w="6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6500" w:type="dxa"/>
            <w:vAlign w:val="bottom"/>
          </w:tcPr>
          <w:p>
            <w:pPr>
              <w:ind w:left="220"/>
              <w:spacing w:after="0"/>
              <w:rPr>
                <w:sz w:val="20"/>
                <w:szCs w:val="20"/>
                <w:color w:val="auto"/>
              </w:rPr>
            </w:pPr>
            <w:r>
              <w:rPr>
                <w:rFonts w:ascii="Arial" w:cs="Arial" w:eastAsia="Arial" w:hAnsi="Arial"/>
                <w:sz w:val="14"/>
                <w:szCs w:val="14"/>
                <w:b w:val="1"/>
                <w:bCs w:val="1"/>
                <w:color w:val="auto"/>
              </w:rPr>
              <w:t>NON-GAAP OPERATING INCOME - ELECTRICITY</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420"/>
              <w:spacing w:after="0"/>
              <w:rPr>
                <w:sz w:val="20"/>
                <w:szCs w:val="20"/>
                <w:color w:val="auto"/>
              </w:rPr>
            </w:pPr>
            <w:r>
              <w:rPr>
                <w:rFonts w:ascii="Arial" w:cs="Arial" w:eastAsia="Arial" w:hAnsi="Arial"/>
                <w:sz w:val="14"/>
                <w:szCs w:val="14"/>
                <w:color w:val="auto"/>
              </w:rPr>
              <w:t>Electricity - GAAP operating income (loss)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3,904</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(1,247)</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6,300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(24,216)</w:t>
            </w:r>
          </w:p>
        </w:tc>
        <w:tc>
          <w:tcPr>
            <w:tcW w:w="0" w:type="dxa"/>
            <w:vAlign w:val="bottom"/>
          </w:tcPr>
          <w:p>
            <w:pPr>
              <w:spacing w:after="0"/>
              <w:rPr>
                <w:sz w:val="1"/>
                <w:szCs w:val="1"/>
                <w:color w:val="auto"/>
              </w:rPr>
            </w:pPr>
          </w:p>
        </w:tc>
      </w:tr>
      <w:tr>
        <w:trPr>
          <w:trHeight w:val="176"/>
        </w:trPr>
        <w:tc>
          <w:tcPr>
            <w:tcW w:w="6500" w:type="dxa"/>
            <w:vAlign w:val="bottom"/>
          </w:tcPr>
          <w:p>
            <w:pPr>
              <w:ind w:left="6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4,428</w:t>
            </w:r>
          </w:p>
        </w:tc>
        <w:tc>
          <w:tcPr>
            <w:tcW w:w="38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6,189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8,883</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12,344</w:t>
            </w:r>
          </w:p>
        </w:tc>
        <w:tc>
          <w:tcPr>
            <w:tcW w:w="0" w:type="dxa"/>
            <w:vAlign w:val="bottom"/>
          </w:tcPr>
          <w:p>
            <w:pPr>
              <w:spacing w:after="0"/>
              <w:rPr>
                <w:sz w:val="1"/>
                <w:szCs w:val="1"/>
                <w:color w:val="auto"/>
              </w:rPr>
            </w:pPr>
          </w:p>
        </w:tc>
      </w:tr>
      <w:tr>
        <w:trPr>
          <w:trHeight w:val="176"/>
        </w:trPr>
        <w:tc>
          <w:tcPr>
            <w:tcW w:w="650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(2,703)</w:t>
            </w:r>
          </w:p>
        </w:tc>
        <w:tc>
          <w:tcPr>
            <w:tcW w:w="3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(7,925)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(5,830)</w:t>
            </w:r>
          </w:p>
        </w:tc>
        <w:tc>
          <w:tcPr>
            <w:tcW w:w="3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(8,455)</w:t>
            </w:r>
          </w:p>
        </w:tc>
        <w:tc>
          <w:tcPr>
            <w:tcW w:w="0" w:type="dxa"/>
            <w:vAlign w:val="bottom"/>
          </w:tcPr>
          <w:p>
            <w:pPr>
              <w:spacing w:after="0"/>
              <w:rPr>
                <w:sz w:val="1"/>
                <w:szCs w:val="1"/>
                <w:color w:val="auto"/>
              </w:rPr>
            </w:pPr>
          </w:p>
        </w:tc>
      </w:tr>
      <w:tr>
        <w:trPr>
          <w:trHeight w:val="176"/>
        </w:trPr>
        <w:tc>
          <w:tcPr>
            <w:tcW w:w="6500" w:type="dxa"/>
            <w:vAlign w:val="bottom"/>
          </w:tcPr>
          <w:p>
            <w:pPr>
              <w:ind w:left="620"/>
              <w:spacing w:after="0"/>
              <w:rPr>
                <w:sz w:val="20"/>
                <w:szCs w:val="20"/>
                <w:color w:val="auto"/>
              </w:rPr>
            </w:pPr>
            <w:r>
              <w:rPr>
                <w:rFonts w:ascii="Arial" w:cs="Arial" w:eastAsia="Arial" w:hAnsi="Arial"/>
                <w:sz w:val="14"/>
                <w:szCs w:val="14"/>
                <w:color w:val="auto"/>
              </w:rPr>
              <w:t>Acquisition related expenses</w:t>
            </w:r>
          </w:p>
        </w:tc>
        <w:tc>
          <w:tcPr>
            <w:tcW w:w="22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(4,607)</w:t>
            </w:r>
          </w:p>
        </w:tc>
        <w:tc>
          <w:tcPr>
            <w:tcW w:w="38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(2,283)</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81"/>
        </w:trPr>
        <w:tc>
          <w:tcPr>
            <w:tcW w:w="6500" w:type="dxa"/>
            <w:vAlign w:val="bottom"/>
          </w:tcPr>
          <w:p>
            <w:pPr>
              <w:ind w:left="620"/>
              <w:spacing w:after="0"/>
              <w:rPr>
                <w:sz w:val="20"/>
                <w:szCs w:val="20"/>
                <w:color w:val="auto"/>
              </w:rPr>
            </w:pPr>
            <w:r>
              <w:rPr>
                <w:rFonts w:ascii="Arial" w:cs="Arial" w:eastAsia="Arial" w:hAnsi="Arial"/>
                <w:sz w:val="14"/>
                <w:szCs w:val="14"/>
                <w:color w:val="auto"/>
              </w:rPr>
              <w:t>Goodwill impairment</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6500" w:type="dxa"/>
            <w:vAlign w:val="bottom"/>
          </w:tcPr>
          <w:p>
            <w:pPr>
              <w:ind w:left="420"/>
              <w:spacing w:after="0"/>
              <w:rPr>
                <w:sz w:val="20"/>
                <w:szCs w:val="20"/>
                <w:color w:val="auto"/>
              </w:rPr>
            </w:pPr>
            <w:r>
              <w:rPr>
                <w:rFonts w:ascii="Arial" w:cs="Arial" w:eastAsia="Arial" w:hAnsi="Arial"/>
                <w:sz w:val="14"/>
                <w:szCs w:val="14"/>
                <w:color w:val="auto"/>
              </w:rPr>
              <w:t>Electricity - Non-GAAP operating income (loss)</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1,022</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7,070</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(18,819)</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NON-GAAP OPERATING INCOME - GAS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420"/>
              <w:spacing w:after="0"/>
              <w:rPr>
                <w:sz w:val="20"/>
                <w:szCs w:val="20"/>
                <w:color w:val="auto"/>
              </w:rPr>
            </w:pPr>
            <w:r>
              <w:rPr>
                <w:rFonts w:ascii="Arial" w:cs="Arial" w:eastAsia="Arial" w:hAnsi="Arial"/>
                <w:sz w:val="14"/>
                <w:szCs w:val="14"/>
                <w:color w:val="auto"/>
              </w:rPr>
              <w:t>Gas - GAAP operating income</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14,742</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24,329</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28,334</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50,053</w:t>
            </w:r>
          </w:p>
        </w:tc>
        <w:tc>
          <w:tcPr>
            <w:tcW w:w="0" w:type="dxa"/>
            <w:vAlign w:val="bottom"/>
          </w:tcPr>
          <w:p>
            <w:pPr>
              <w:spacing w:after="0"/>
              <w:rPr>
                <w:sz w:val="1"/>
                <w:szCs w:val="1"/>
                <w:color w:val="auto"/>
              </w:rPr>
            </w:pPr>
          </w:p>
        </w:tc>
      </w:tr>
      <w:tr>
        <w:trPr>
          <w:trHeight w:val="176"/>
        </w:trPr>
        <w:tc>
          <w:tcPr>
            <w:tcW w:w="6500" w:type="dxa"/>
            <w:vAlign w:val="bottom"/>
          </w:tcPr>
          <w:p>
            <w:pPr>
              <w:ind w:left="6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1,945</w:t>
            </w:r>
          </w:p>
        </w:tc>
        <w:tc>
          <w:tcPr>
            <w:tcW w:w="38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2,681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3,915</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5,370</w:t>
            </w:r>
          </w:p>
        </w:tc>
        <w:tc>
          <w:tcPr>
            <w:tcW w:w="0" w:type="dxa"/>
            <w:vAlign w:val="bottom"/>
          </w:tcPr>
          <w:p>
            <w:pPr>
              <w:spacing w:after="0"/>
              <w:rPr>
                <w:sz w:val="1"/>
                <w:szCs w:val="1"/>
                <w:color w:val="auto"/>
              </w:rPr>
            </w:pPr>
          </w:p>
        </w:tc>
      </w:tr>
      <w:tr>
        <w:trPr>
          <w:trHeight w:val="181"/>
        </w:trPr>
        <w:tc>
          <w:tcPr>
            <w:tcW w:w="650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(1,186)</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69"/>
        </w:trPr>
        <w:tc>
          <w:tcPr>
            <w:tcW w:w="6500" w:type="dxa"/>
            <w:vAlign w:val="bottom"/>
          </w:tcPr>
          <w:p>
            <w:pPr>
              <w:ind w:left="420"/>
              <w:spacing w:after="0"/>
              <w:rPr>
                <w:sz w:val="20"/>
                <w:szCs w:val="20"/>
                <w:color w:val="auto"/>
              </w:rPr>
            </w:pPr>
            <w:r>
              <w:rPr>
                <w:rFonts w:ascii="Arial" w:cs="Arial" w:eastAsia="Arial" w:hAnsi="Arial"/>
                <w:sz w:val="14"/>
                <w:szCs w:val="14"/>
                <w:color w:val="auto"/>
              </w:rPr>
              <w:t>Gas - Non-GAAP operating income</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15,501</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27,527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31,565</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55,637</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NON-GAAP OPERATING INCOME - WATER</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420"/>
              <w:spacing w:after="0"/>
              <w:rPr>
                <w:sz w:val="20"/>
                <w:szCs w:val="20"/>
                <w:color w:val="auto"/>
              </w:rPr>
            </w:pPr>
            <w:r>
              <w:rPr>
                <w:rFonts w:ascii="Arial" w:cs="Arial" w:eastAsia="Arial" w:hAnsi="Arial"/>
                <w:sz w:val="14"/>
                <w:szCs w:val="14"/>
                <w:color w:val="auto"/>
              </w:rPr>
              <w:t>Water - GAAP operating income (loss)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(11,511)</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20,519</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(3,414)</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41,162</w:t>
            </w:r>
          </w:p>
        </w:tc>
        <w:tc>
          <w:tcPr>
            <w:tcW w:w="0" w:type="dxa"/>
            <w:vAlign w:val="bottom"/>
          </w:tcPr>
          <w:p>
            <w:pPr>
              <w:spacing w:after="0"/>
              <w:rPr>
                <w:sz w:val="1"/>
                <w:szCs w:val="1"/>
                <w:color w:val="auto"/>
              </w:rPr>
            </w:pPr>
          </w:p>
        </w:tc>
      </w:tr>
      <w:tr>
        <w:trPr>
          <w:trHeight w:val="176"/>
        </w:trPr>
        <w:tc>
          <w:tcPr>
            <w:tcW w:w="6500" w:type="dxa"/>
            <w:vAlign w:val="bottom"/>
          </w:tcPr>
          <w:p>
            <w:pPr>
              <w:ind w:left="6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1,515</w:t>
            </w:r>
          </w:p>
        </w:tc>
        <w:tc>
          <w:tcPr>
            <w:tcW w:w="38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2,239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3,063</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4,465</w:t>
            </w:r>
          </w:p>
        </w:tc>
        <w:tc>
          <w:tcPr>
            <w:tcW w:w="0" w:type="dxa"/>
            <w:vAlign w:val="bottom"/>
          </w:tcPr>
          <w:p>
            <w:pPr>
              <w:spacing w:after="0"/>
              <w:rPr>
                <w:sz w:val="1"/>
                <w:szCs w:val="1"/>
                <w:color w:val="auto"/>
              </w:rPr>
            </w:pPr>
          </w:p>
        </w:tc>
      </w:tr>
      <w:tr>
        <w:trPr>
          <w:trHeight w:val="181"/>
        </w:trPr>
        <w:tc>
          <w:tcPr>
            <w:tcW w:w="650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156</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273</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69"/>
        </w:trPr>
        <w:tc>
          <w:tcPr>
            <w:tcW w:w="6500" w:type="dxa"/>
            <w:vAlign w:val="bottom"/>
          </w:tcPr>
          <w:p>
            <w:pPr>
              <w:ind w:left="420"/>
              <w:spacing w:after="0"/>
              <w:rPr>
                <w:sz w:val="20"/>
                <w:szCs w:val="20"/>
                <w:color w:val="auto"/>
              </w:rPr>
            </w:pPr>
            <w:r>
              <w:rPr>
                <w:rFonts w:ascii="Arial" w:cs="Arial" w:eastAsia="Arial" w:hAnsi="Arial"/>
                <w:sz w:val="14"/>
                <w:szCs w:val="14"/>
                <w:color w:val="auto"/>
              </w:rPr>
              <w:t>Water - Non-GAAP operating income (loss)</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(9,840)</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23,211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46,637</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NON-GAAP OPERATING INCOME - CORPORATE UNALLOCATED</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420"/>
              <w:spacing w:after="0"/>
              <w:rPr>
                <w:sz w:val="20"/>
                <w:szCs w:val="20"/>
                <w:color w:val="auto"/>
              </w:rPr>
            </w:pPr>
            <w:r>
              <w:rPr>
                <w:rFonts w:ascii="Arial" w:cs="Arial" w:eastAsia="Arial" w:hAnsi="Arial"/>
                <w:sz w:val="14"/>
                <w:szCs w:val="14"/>
                <w:color w:val="auto"/>
              </w:rPr>
              <w:t>Corporate unallocated - GAAP operating loss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(11,086)</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(11,674)</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(21,632)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(30,533)</w:t>
            </w:r>
          </w:p>
        </w:tc>
        <w:tc>
          <w:tcPr>
            <w:tcW w:w="0" w:type="dxa"/>
            <w:vAlign w:val="bottom"/>
          </w:tcPr>
          <w:p>
            <w:pPr>
              <w:spacing w:after="0"/>
              <w:rPr>
                <w:sz w:val="1"/>
                <w:szCs w:val="1"/>
                <w:color w:val="auto"/>
              </w:rPr>
            </w:pPr>
          </w:p>
        </w:tc>
      </w:tr>
      <w:tr>
        <w:trPr>
          <w:trHeight w:val="176"/>
        </w:trPr>
        <w:tc>
          <w:tcPr>
            <w:tcW w:w="6500" w:type="dxa"/>
            <w:vAlign w:val="bottom"/>
          </w:tcPr>
          <w:p>
            <w:pPr>
              <w:ind w:left="62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(501)</w:t>
            </w:r>
          </w:p>
        </w:tc>
        <w:tc>
          <w:tcPr>
            <w:tcW w:w="3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(3,440)</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4,962</w:t>
            </w:r>
          </w:p>
        </w:tc>
        <w:tc>
          <w:tcPr>
            <w:tcW w:w="0" w:type="dxa"/>
            <w:vAlign w:val="bottom"/>
          </w:tcPr>
          <w:p>
            <w:pPr>
              <w:spacing w:after="0"/>
              <w:rPr>
                <w:sz w:val="1"/>
                <w:szCs w:val="1"/>
                <w:color w:val="auto"/>
              </w:rPr>
            </w:pPr>
          </w:p>
        </w:tc>
      </w:tr>
      <w:tr>
        <w:trPr>
          <w:trHeight w:val="181"/>
        </w:trPr>
        <w:tc>
          <w:tcPr>
            <w:tcW w:w="6500" w:type="dxa"/>
            <w:vAlign w:val="bottom"/>
          </w:tcPr>
          <w:p>
            <w:pPr>
              <w:ind w:left="620"/>
              <w:spacing w:after="0"/>
              <w:rPr>
                <w:sz w:val="20"/>
                <w:szCs w:val="20"/>
                <w:color w:val="auto"/>
              </w:rPr>
            </w:pPr>
            <w:r>
              <w:rPr>
                <w:rFonts w:ascii="Arial" w:cs="Arial" w:eastAsia="Arial" w:hAnsi="Arial"/>
                <w:sz w:val="14"/>
                <w:szCs w:val="14"/>
                <w:color w:val="auto"/>
              </w:rPr>
              <w:t>Acquisition related expenses</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9"/>
        </w:trPr>
        <w:tc>
          <w:tcPr>
            <w:tcW w:w="6500" w:type="dxa"/>
            <w:vAlign w:val="bottom"/>
          </w:tcPr>
          <w:p>
            <w:pPr>
              <w:ind w:left="420"/>
              <w:spacing w:after="0"/>
              <w:rPr>
                <w:sz w:val="20"/>
                <w:szCs w:val="20"/>
                <w:color w:val="auto"/>
              </w:rPr>
            </w:pPr>
            <w:r>
              <w:rPr>
                <w:rFonts w:ascii="Arial" w:cs="Arial" w:eastAsia="Arial" w:hAnsi="Arial"/>
                <w:sz w:val="14"/>
                <w:szCs w:val="14"/>
                <w:color w:val="auto"/>
              </w:rPr>
              <w:t>Corporate unallocated - Non-GAAP operating loss</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(11,587)</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(12,512)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(25,072)</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(25,524)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 509-891-3443</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Marni Pilcher, 509-891-3847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Director, Investor Relations</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2019-12-05T22:59:49Z</dcterms:created>
  <dcterms:modified xsi:type="dcterms:W3CDTF">2019-12-05T22:59:49Z</dcterms:modified>
</cp:coreProperties>
</file>