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26670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3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000-22418</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91-1011792</w:t>
            </w:r>
          </w:p>
        </w:tc>
      </w:tr>
      <w:tr>
        <w:trPr>
          <w:trHeight w:val="198"/>
        </w:trPr>
        <w:tc>
          <w:tcPr>
            <w:tcW w:w="302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File Number)</w:t>
            </w:r>
          </w:p>
        </w:tc>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2860" w:type="dxa"/>
            <w:vAlign w:val="bottom"/>
          </w:tcPr>
          <w:p>
            <w:pPr>
              <w:spacing w:after="0"/>
              <w:rPr>
                <w:sz w:val="20"/>
                <w:szCs w:val="20"/>
                <w:color w:val="auto"/>
              </w:rPr>
            </w:pPr>
          </w:p>
        </w:tc>
      </w:tr>
      <w:tr>
        <w:trPr>
          <w:trHeight w:val="421"/>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(509) 924-9900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60" w:type="dxa"/>
            <w:vAlign w:val="bottom"/>
          </w:tcPr>
          <w:p>
            <w:pPr>
              <w:spacing w:after="0"/>
              <w:rPr>
                <w:sz w:val="20"/>
                <w:szCs w:val="20"/>
                <w:color w:val="auto"/>
              </w:rPr>
            </w:pPr>
          </w:p>
        </w:tc>
      </w:tr>
      <w:tr>
        <w:trPr>
          <w:trHeight w:val="421"/>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60" w:type="dxa"/>
            <w:vAlign w:val="bottom"/>
          </w:tcPr>
          <w:p>
            <w:pPr>
              <w:spacing w:after="0"/>
              <w:rPr>
                <w:sz w:val="20"/>
                <w:szCs w:val="20"/>
                <w:color w:val="auto"/>
              </w:rPr>
            </w:pPr>
          </w:p>
        </w:tc>
      </w:tr>
    </w:tbl>
    <w:p>
      <w:pPr>
        <w:spacing w:after="0" w:line="39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ITRI</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left="1020" w:right="1040"/>
        <w:spacing w:after="0" w:line="282" w:lineRule="auto"/>
        <w:rPr>
          <w:sz w:val="20"/>
          <w:szCs w:val="20"/>
          <w:color w:val="auto"/>
        </w:rPr>
      </w:pPr>
      <w:r>
        <w:rPr>
          <w:rFonts w:ascii="Times New Roman" w:cs="Times New Roman" w:eastAsia="Times New Roman" w:hAnsi="Times New Roman"/>
          <w:sz w:val="18"/>
          <w:szCs w:val="18"/>
          <w:color w:val="auto"/>
        </w:rPr>
        <w:t>On February 27, 2023, Itron, Inc. issued a press release announcing its financial results for the three months and full year ended December 31, 2022. A copy of this press release and accompanying financial statements are attached as Exhibit 99.1.</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020" w:hanging="517"/>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27, 2023. *</w:t>
      </w:r>
    </w:p>
    <w:p>
      <w:pPr>
        <w:spacing w:after="0" w:line="27" w:lineRule="exact"/>
        <w:rPr>
          <w:sz w:val="20"/>
          <w:szCs w:val="20"/>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intended to be furnished and shall not be deemed "filed" for purposes of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Annual Report on Form 10-K for the year ended December 31, 2021 and other reports on file with the Securities and Exchange Commission. We undertake no obligation to update or revise any forward-looking statement, whether written or 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ITRON, INC.</w:t>
            </w:r>
          </w:p>
        </w:tc>
        <w:tc>
          <w:tcPr>
            <w:tcW w:w="5340" w:type="dxa"/>
            <w:vAlign w:val="bottom"/>
          </w:tcPr>
          <w:p>
            <w:pPr>
              <w:spacing w:after="0"/>
              <w:rPr>
                <w:sz w:val="20"/>
                <w:szCs w:val="20"/>
                <w:color w:val="auto"/>
              </w:rPr>
            </w:pPr>
          </w:p>
        </w:tc>
      </w:tr>
      <w:tr>
        <w:trPr>
          <w:trHeight w:val="439"/>
        </w:trPr>
        <w:tc>
          <w:tcPr>
            <w:tcW w:w="3840" w:type="dxa"/>
            <w:vAlign w:val="bottom"/>
          </w:tcPr>
          <w:p>
            <w:pPr>
              <w:spacing w:after="0"/>
              <w:rPr>
                <w:sz w:val="24"/>
                <w:szCs w:val="24"/>
                <w:color w:val="auto"/>
              </w:rPr>
            </w:pPr>
          </w:p>
        </w:tc>
        <w:tc>
          <w:tcPr>
            <w:tcW w:w="2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/s/ JOAN S. HOOPER</w:t>
            </w:r>
          </w:p>
        </w:tc>
      </w:tr>
      <w:tr>
        <w:trPr>
          <w:trHeight w:val="210"/>
        </w:trPr>
        <w:tc>
          <w:tcPr>
            <w:tcW w:w="5240" w:type="dxa"/>
            <w:vAlign w:val="bottom"/>
            <w:gridSpan w:val="2"/>
          </w:tcPr>
          <w:p>
            <w:pPr>
              <w:jc w:val="center"/>
              <w:ind w:right="1310"/>
              <w:spacing w:after="0" w:line="202" w:lineRule="exact"/>
              <w:rPr>
                <w:sz w:val="20"/>
                <w:szCs w:val="20"/>
                <w:color w:val="auto"/>
              </w:rPr>
            </w:pPr>
            <w:r>
              <w:rPr>
                <w:rFonts w:ascii="Times New Roman" w:cs="Times New Roman" w:eastAsia="Times New Roman" w:hAnsi="Times New Roman"/>
                <w:sz w:val="18"/>
                <w:szCs w:val="18"/>
                <w:color w:val="auto"/>
                <w:w w:val="99"/>
              </w:rPr>
              <w:t>February 27, 2023</w:t>
            </w:r>
          </w:p>
        </w:tc>
        <w:tc>
          <w:tcPr>
            <w:tcW w:w="660" w:type="dxa"/>
            <w:vAlign w:val="bottom"/>
            <w:tcBorders>
              <w:top w:val="single" w:sz="8" w:color="auto"/>
            </w:tcBorders>
          </w:tcPr>
          <w:p>
            <w:pPr>
              <w:spacing w:after="0"/>
              <w:rPr>
                <w:sz w:val="18"/>
                <w:szCs w:val="18"/>
                <w:color w:val="auto"/>
              </w:rPr>
            </w:pPr>
          </w:p>
        </w:tc>
        <w:tc>
          <w:tcPr>
            <w:tcW w:w="5340" w:type="dxa"/>
            <w:vAlign w:val="bottom"/>
            <w:tcBorders>
              <w:top w:val="single" w:sz="8" w:color="auto"/>
            </w:tcBorders>
          </w:tcPr>
          <w:p>
            <w:pPr>
              <w:jc w:val="center"/>
              <w:ind w:right="590"/>
              <w:spacing w:after="0" w:line="202" w:lineRule="exact"/>
              <w:rPr>
                <w:sz w:val="20"/>
                <w:szCs w:val="20"/>
                <w:color w:val="auto"/>
              </w:rPr>
            </w:pPr>
            <w:r>
              <w:rPr>
                <w:rFonts w:ascii="Times New Roman" w:cs="Times New Roman" w:eastAsia="Times New Roman" w:hAnsi="Times New Roman"/>
                <w:sz w:val="18"/>
                <w:szCs w:val="18"/>
                <w:color w:val="auto"/>
                <w:w w:val="99"/>
              </w:rPr>
              <w:t>Joan S. Hooper</w:t>
            </w:r>
          </w:p>
        </w:tc>
      </w:tr>
      <w:tr>
        <w:trPr>
          <w:trHeight w:val="234"/>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3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bl>
    <w:p>
      <w:pPr>
        <w:sectPr>
          <w:pgSz w:w="11900" w:h="16838" w:orient="portrait"/>
          <w:cols w:equalWidth="0" w:num="1">
            <w:col w:w="11240"/>
          </w:cols>
          <w:pgMar w:left="320" w:top="333"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Announces Fourth Quarter and Full Year 2022 Financial Results and 2023 Guidance</w:t>
      </w:r>
    </w:p>
    <w:p>
      <w:pPr>
        <w:spacing w:after="0" w:line="19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LIBERTY LAKE, Wash.--(BUSINESS WIRE)--February 27, 2023--Itron, Inc. (NASDAQ:ITRI), which is innovating the way utilities and cities manage energy and water, announced today financial results for its fourth quarter and full year ended Dec. 31, 2022. Highlights for the quarter and full year include:</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Quarterly and full year revenue of $467 million and $1.8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Quarterly and full year gross margin of 30.1% and 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Quarterly GAAP net income of $22 million and a full year loss of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Quarterly GAAP diluted earnings per share of $0.49 and a full year loss per share of $(0.22);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Quarterly and full year non-GAAP diluted earnings per share of $0.71 and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Quarterly and full year adjusted EBITDA of $34 million and $95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Total backlog of $4.6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"Strong market demand continued in the fourth quarter with our total backlog setting a new record for the third consecutive quarter,” said Tom Deitrich, Itron’s president and CEO.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fourth quarter results were a step in the right direction. The supply environment remains volatile but is showing signs of improvement.”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Fourth Quarter Consolidated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made are against the prior year period unless otherwise noted)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1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Total revenue of $467 million decreased 4% compared with the fourth quarter of 2021, or flat excluding the impact of changes in foreign currency exchange rates. Revenue declined due to the sale of the C&amp;I gas business in our Device Solutions segment, offset by higher sales in the Network Solutions and Outcomes segments.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Outcomes revenue increased 4% driven by higher software license and product sales, partially offset by the decline in EMEA prepay business. Networked Solutions revenue increased 14% primarily due to higher volume and improved pricing. Device Solutions revenue decreased (36%). Normalized for the sale of the C&amp;I gas business and changes in foreign exchange rates, Devices revenue was down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Gross Margin</w:t>
      </w:r>
    </w:p>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Consolidated gross margin of 30.1% increased 510 basis points compared with the fourth quarter of 2021 driven by favorable mix, partially offset by elevated component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 (loss), Net Income (loss) and Earnings (loss) per Share (EPS)</w:t>
      </w:r>
    </w:p>
    <w:p>
      <w:pPr>
        <w:spacing w:after="0" w:line="18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GAAP operating income of $12 million compared with an operating loss of $(107) million in 2021. The increase was primarily due to lower GAAP operating expenses driven by less restructuring and divestiture activities. The increase was also driven by higher gross profit in Q4 2022.</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Non-GAAP operating income of $25 million compared with non-GAAP operating loss of $(7) million in 2021. The increase was due to higher gross profit and lower non-GAAP 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 attributable to Itron, Inc. for the quarter was $22 million, or $0.49 per diluted share, compared with a net loss of $(59) million,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 per share, in 2021. The increase in net income and EPS was primarily due to higher GAAP operating income, partially offset by a lower tax benefit.</w:t>
      </w:r>
    </w:p>
    <w:p>
      <w:pPr>
        <w:spacing w:after="0" w:line="17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Non-GAAP net income was $32 million, or $0.71 per diluted share, compared with $34 million, or $0.75 per diluted share in 2021. The decrease was due to a prior year non-GAAP tax benefit driven by the impact of certain transfers of business activities and assets, partially offset by higher non-GAAP operating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w:t>
      </w:r>
    </w:p>
    <w:p>
      <w:pPr>
        <w:spacing w:after="0" w:line="185"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In the fourth quarter, net cash provided by operating activities was $(13) million compared with $14 million in 2021. Free cash flow was $(18) million compared with $7 million in the prior year. The decrease in cash flow was due to working capital outflow, partially offset by higher non-GAAP EBITDA.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Measures</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Bookings in the fourth quarter totaled $898 million driving a book to bill ratio of 1.9 to 1. Ending total backlog is at a new record level of $4.6 billion,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Itron’s guidance for the full year 2023 is as follows: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Revenue between $1.85 and $1.95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Non-GAAP diluted EPS between $0.70 and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Guidance assumes an average euro to U.S. dollar foreign currency exchange rate of $1.05 in 2023, diluted weighted average shares outstanding of approximately 45.7 million for the year, and a non-GAAP effective tax rate for the year of approximately 28%.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supply environment, our outlook for the first quarter of 2023 is as follows: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Revenue between $460 and $475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Non-GAAP diluted EPS between $0.05 and $0.15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 reconciliation of forward-looking non-GAAP diluted EPS to the GAAP diluted EPS has not been provided because we are unable to predict with reasonable certainty the potential amount or timing of restructuring and acquisition and integration related expenses and their related tax effects without unreasonable effort. These items are uncertain, depend on various factors and could have a material impact on GAAP results for the guidance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announced a new restructuring plan to optimize global supply chain and manufacturing operations and to reduce company overhead.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Itron will host a conference call to discuss the financial results and guidance contained in this release at 10 a.m. EST on Feb. 27, 2023. The call will be webcast in a listen-only mode. Webcast information and conference call materials will be made available 10 minutes prior to the start of the call and will be accessible on Itron’s website at http://investors.itron.com/events.cfm. A webcast replay of the conference call will be available through Mar. 4, 2023 and may be accessed on the company's website at http://investors.itron.com/events.cfm.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Itron</w:t>
      </w:r>
    </w:p>
    <w:p>
      <w:pPr>
        <w:spacing w:after="0" w:line="179" w:lineRule="exact"/>
        <w:rPr>
          <w:sz w:val="20"/>
          <w:szCs w:val="20"/>
          <w:color w:val="auto"/>
        </w:rPr>
      </w:pPr>
    </w:p>
    <w:p>
      <w:pPr>
        <w:ind w:right="260"/>
        <w:spacing w:after="0" w:line="224" w:lineRule="auto"/>
        <w:rPr>
          <w:sz w:val="20"/>
          <w:szCs w:val="20"/>
          <w:color w:val="auto"/>
        </w:rPr>
      </w:pPr>
      <w:r>
        <w:rPr>
          <w:rFonts w:ascii="Times New Roman" w:cs="Times New Roman" w:eastAsia="Times New Roman" w:hAnsi="Times New Roman"/>
          <w:sz w:val="18"/>
          <w:szCs w:val="18"/>
          <w:color w:val="auto"/>
        </w:rPr>
        <w:t>Itron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www.itron.com.</w:t>
      </w:r>
    </w:p>
    <w:p>
      <w:pPr>
        <w:spacing w:after="0" w:line="162" w:lineRule="exact"/>
        <w:rPr>
          <w:sz w:val="20"/>
          <w:szCs w:val="20"/>
          <w:color w:val="auto"/>
        </w:rPr>
      </w:pPr>
    </w:p>
    <w:p>
      <w:pPr>
        <w:ind w:right="220"/>
        <w:spacing w:after="0" w:line="204" w:lineRule="auto"/>
        <w:rPr>
          <w:sz w:val="20"/>
          <w:szCs w:val="20"/>
          <w:color w:val="auto"/>
        </w:rPr>
      </w:pPr>
      <w:r>
        <w:rPr>
          <w:rFonts w:ascii="Times New Roman" w:cs="Times New Roman" w:eastAsia="Times New Roman" w:hAnsi="Times New Roman"/>
          <w:sz w:val="18"/>
          <w:szCs w:val="18"/>
          <w:color w:val="auto"/>
        </w:rPr>
        <w:t>Itron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0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 xml:space="preserve">This release contains, </w:t>
      </w:r>
      <w:r>
        <w:rPr>
          <w:rFonts w:ascii="Times New Roman" w:cs="Times New Roman" w:eastAsia="Times New Roman" w:hAnsi="Times New Roman"/>
          <w:sz w:val="17"/>
          <w:szCs w:val="17"/>
          <w:i w:val="1"/>
          <w:iCs w:val="1"/>
          <w:color w:val="auto"/>
        </w:rPr>
        <w:t>contains, and our officers and representatives may from time to time make, "forward-looking statements" within the meaning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w:t>
      </w:r>
      <w:r>
        <w:rPr>
          <w:rFonts w:ascii="Times New Roman" w:cs="Times New Roman" w:eastAsia="Times New Roman" w:hAnsi="Times New Roman"/>
          <w:sz w:val="17"/>
          <w:szCs w:val="17"/>
          <w:color w:val="auto"/>
        </w:rPr>
        <w:t>release.</w:t>
      </w:r>
      <w:r>
        <w:rPr>
          <w:rFonts w:ascii="Times New Roman" w:cs="Times New Roman" w:eastAsia="Times New Roman" w:hAnsi="Times New Roman"/>
          <w:sz w:val="17"/>
          <w:szCs w:val="17"/>
          <w:i w:val="1"/>
          <w:iCs w:val="1"/>
          <w:color w:val="auto"/>
        </w:rPr>
        <w:t xml:space="preserv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Annual Report on Form 10-K for the year ended Dec. 31, 2021 and other reports on file with the Securities and Exchange Commission. Itron undertakes no obligation to update or revise any information in this press release.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1"/>
        </w:trPr>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45"/>
        </w:trPr>
        <w:tc>
          <w:tcPr>
            <w:tcW w:w="46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1"/>
                <w:szCs w:val="21"/>
                <w:color w:val="auto"/>
              </w:rPr>
            </w:pPr>
          </w:p>
        </w:tc>
      </w:tr>
      <w:tr>
        <w:trPr>
          <w:trHeight w:val="238"/>
        </w:trPr>
        <w:tc>
          <w:tcPr>
            <w:tcW w:w="4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392,744</w:t>
            </w:r>
          </w:p>
        </w:tc>
        <w:tc>
          <w:tcPr>
            <w:tcW w:w="6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412,725</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1,500,243</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1,678,195</w:t>
            </w:r>
          </w:p>
        </w:tc>
      </w:tr>
      <w:tr>
        <w:trPr>
          <w:trHeight w:val="25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revenues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74,747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295,321</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303,377</w:t>
            </w: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467,491</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485,637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1,795,564</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1,981,572</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cost of revenues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283,836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1,102,475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1,231,230</w:t>
            </w:r>
          </w:p>
        </w:tc>
      </w:tr>
      <w:tr>
        <w:trPr>
          <w:trHeight w:val="257"/>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 cost of revenues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42,857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42,043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170,900</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177,173</w:t>
            </w: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cost of revenues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326,693</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364,350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1,273,375</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1,408,403</w:t>
            </w:r>
          </w:p>
        </w:tc>
      </w:tr>
      <w:tr>
        <w:trPr>
          <w:trHeight w:val="46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140,798</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121,287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522,189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573,169</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290,453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300,520</w:t>
            </w: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185,098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197,235</w:t>
            </w: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35,801</w:t>
            </w: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54,623</w:t>
            </w: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64,289</w:t>
            </w:r>
          </w:p>
        </w:tc>
      </w:tr>
      <w:tr>
        <w:trPr>
          <w:trHeight w:val="257"/>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38,480</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128,417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228,757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529,628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652,468</w:t>
            </w:r>
          </w:p>
        </w:tc>
      </w:tr>
      <w:tr>
        <w:trPr>
          <w:trHeight w:val="48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12,381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(79,299)</w:t>
            </w: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(28,638)</w:t>
            </w:r>
          </w:p>
        </w:tc>
      </w:tr>
      <w:tr>
        <w:trPr>
          <w:trHeight w:val="25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(17,430)</w:t>
            </w:r>
          </w:p>
        </w:tc>
      </w:tr>
      <w:tr>
        <w:trPr>
          <w:trHeight w:val="236"/>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(44,511)</w:t>
            </w:r>
          </w:p>
        </w:tc>
      </w:tr>
      <w:tr>
        <w:trPr>
          <w:trHeight w:val="46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10,781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(123,810)</w:t>
            </w: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11,169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51,093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45,512</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(78,298)</w:t>
            </w:r>
          </w:p>
        </w:tc>
      </w:tr>
      <w:tr>
        <w:trPr>
          <w:trHeight w:val="252"/>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2,957</w:t>
            </w: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22,212</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(81,255)</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6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6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64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64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5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45,179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45,246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45,101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44,301</w:t>
            </w: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44,301</w:t>
            </w:r>
          </w:p>
        </w:tc>
      </w:tr>
      <w:tr>
        <w:trPr>
          <w:trHeight w:val="196"/>
        </w:trPr>
        <w:tc>
          <w:tcPr>
            <w:tcW w:w="46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3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revenues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99,142</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154,295</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433,354</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635,103</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270,798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1,002,156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974,531</w:t>
            </w:r>
          </w:p>
        </w:tc>
        <w:tc>
          <w:tcPr>
            <w:tcW w:w="0" w:type="dxa"/>
            <w:vAlign w:val="bottom"/>
          </w:tcPr>
          <w:p>
            <w:pPr>
              <w:spacing w:after="0"/>
              <w:rPr>
                <w:sz w:val="1"/>
                <w:szCs w:val="1"/>
                <w:color w:val="auto"/>
              </w:rPr>
            </w:pPr>
          </w:p>
        </w:tc>
      </w:tr>
      <w:tr>
        <w:trPr>
          <w:trHeight w:val="257"/>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22,804</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20,296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64,733</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68,561</w:t>
            </w:r>
          </w:p>
        </w:tc>
        <w:tc>
          <w:tcPr>
            <w:tcW w:w="0" w:type="dxa"/>
            <w:vAlign w:val="bottom"/>
          </w:tcPr>
          <w:p>
            <w:pPr>
              <w:spacing w:after="0"/>
              <w:rPr>
                <w:sz w:val="1"/>
                <w:szCs w:val="1"/>
                <w:color w:val="auto"/>
              </w:rPr>
            </w:pP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392,744</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412,725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1,500,243</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1,678,195</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1,190</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2,827</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5,356</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10,001</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118,100</w:t>
            </w:r>
          </w:p>
        </w:tc>
        <w:tc>
          <w:tcPr>
            <w:tcW w:w="0" w:type="dxa"/>
            <w:vAlign w:val="bottom"/>
          </w:tcPr>
          <w:p>
            <w:pPr>
              <w:spacing w:after="0"/>
              <w:rPr>
                <w:sz w:val="1"/>
                <w:szCs w:val="1"/>
                <w:color w:val="auto"/>
              </w:rPr>
            </w:pPr>
          </w:p>
        </w:tc>
      </w:tr>
      <w:tr>
        <w:trPr>
          <w:trHeight w:val="25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43,241</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43,458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172,853</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175,276</w:t>
            </w:r>
          </w:p>
        </w:tc>
        <w:tc>
          <w:tcPr>
            <w:tcW w:w="0" w:type="dxa"/>
            <w:vAlign w:val="bottom"/>
          </w:tcPr>
          <w:p>
            <w:pPr>
              <w:spacing w:after="0"/>
              <w:rPr>
                <w:sz w:val="1"/>
                <w:szCs w:val="1"/>
                <w:color w:val="auto"/>
              </w:rPr>
            </w:pP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74,747</w:t>
            </w:r>
          </w:p>
        </w:tc>
        <w:tc>
          <w:tcPr>
            <w:tcW w:w="6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72,912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295,321</w:t>
            </w:r>
          </w:p>
        </w:tc>
        <w:tc>
          <w:tcPr>
            <w:tcW w:w="6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303,377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100,332</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157,122</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438,710</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645,104</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301,114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1,119,268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1,092,631</w:t>
            </w:r>
          </w:p>
        </w:tc>
        <w:tc>
          <w:tcPr>
            <w:tcW w:w="0" w:type="dxa"/>
            <w:vAlign w:val="bottom"/>
          </w:tcPr>
          <w:p>
            <w:pPr>
              <w:spacing w:after="0"/>
              <w:rPr>
                <w:sz w:val="1"/>
                <w:szCs w:val="1"/>
                <w:color w:val="auto"/>
              </w:rPr>
            </w:pPr>
          </w:p>
        </w:tc>
      </w:tr>
      <w:tr>
        <w:trPr>
          <w:trHeight w:val="25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66,045</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63,754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237,586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243,837</w:t>
            </w:r>
          </w:p>
        </w:tc>
        <w:tc>
          <w:tcPr>
            <w:tcW w:w="0" w:type="dxa"/>
            <w:vAlign w:val="bottom"/>
          </w:tcPr>
          <w:p>
            <w:pPr>
              <w:spacing w:after="0"/>
              <w:rPr>
                <w:sz w:val="1"/>
                <w:szCs w:val="1"/>
                <w:color w:val="auto"/>
              </w:rPr>
            </w:pP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467,491</w:t>
            </w:r>
          </w:p>
        </w:tc>
        <w:tc>
          <w:tcPr>
            <w:tcW w:w="6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485,637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1,795,564</w:t>
            </w:r>
          </w:p>
        </w:tc>
        <w:tc>
          <w:tcPr>
            <w:tcW w:w="6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1,981,572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11,289</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14,127</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61,778</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99,355</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98,820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361,975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378,633</w:t>
            </w:r>
          </w:p>
        </w:tc>
        <w:tc>
          <w:tcPr>
            <w:tcW w:w="0" w:type="dxa"/>
            <w:vAlign w:val="bottom"/>
          </w:tcPr>
          <w:p>
            <w:pPr>
              <w:spacing w:after="0"/>
              <w:rPr>
                <w:sz w:val="1"/>
                <w:szCs w:val="1"/>
                <w:color w:val="auto"/>
              </w:rPr>
            </w:pPr>
          </w:p>
        </w:tc>
      </w:tr>
      <w:tr>
        <w:trPr>
          <w:trHeight w:val="25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30,689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27,154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98,436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95,181</w:t>
            </w:r>
          </w:p>
        </w:tc>
        <w:tc>
          <w:tcPr>
            <w:tcW w:w="0" w:type="dxa"/>
            <w:vAlign w:val="bottom"/>
          </w:tcPr>
          <w:p>
            <w:pPr>
              <w:spacing w:after="0"/>
              <w:rPr>
                <w:sz w:val="1"/>
                <w:szCs w:val="1"/>
                <w:color w:val="auto"/>
              </w:rPr>
            </w:pP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140,798</w:t>
            </w:r>
          </w:p>
        </w:tc>
        <w:tc>
          <w:tcPr>
            <w:tcW w:w="6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121,287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522,189</w:t>
            </w:r>
          </w:p>
        </w:tc>
        <w:tc>
          <w:tcPr>
            <w:tcW w:w="6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573,169</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2,600</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3,433</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26,703</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57,217</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70,339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248,268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254,434</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50,631</w:t>
            </w:r>
          </w:p>
        </w:tc>
        <w:tc>
          <w:tcPr>
            <w:tcW w:w="0" w:type="dxa"/>
            <w:vAlign w:val="bottom"/>
          </w:tcPr>
          <w:p>
            <w:pPr>
              <w:spacing w:after="0"/>
              <w:rPr>
                <w:sz w:val="1"/>
                <w:szCs w:val="1"/>
                <w:color w:val="auto"/>
              </w:rPr>
            </w:pPr>
          </w:p>
        </w:tc>
      </w:tr>
      <w:tr>
        <w:trPr>
          <w:trHeight w:val="25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unallocated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(78,016)</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(176,250)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(328,657)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(441,581)</w:t>
            </w:r>
          </w:p>
        </w:tc>
        <w:tc>
          <w:tcPr>
            <w:tcW w:w="0" w:type="dxa"/>
            <w:vAlign w:val="bottom"/>
          </w:tcPr>
          <w:p>
            <w:pPr>
              <w:spacing w:after="0"/>
              <w:rPr>
                <w:sz w:val="1"/>
                <w:szCs w:val="1"/>
                <w:color w:val="auto"/>
              </w:rPr>
            </w:pP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12,381</w:t>
            </w:r>
          </w:p>
        </w:tc>
        <w:tc>
          <w:tcPr>
            <w:tcW w:w="6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6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9"/>
        </w:trPr>
        <w:tc>
          <w:tcPr>
            <w:tcW w:w="664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202,007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162,579</w:t>
            </w: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280,435</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298,459</w:t>
            </w: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228,701</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165,799</w:t>
            </w:r>
          </w:p>
        </w:tc>
        <w:tc>
          <w:tcPr>
            <w:tcW w:w="0" w:type="dxa"/>
            <w:vAlign w:val="bottom"/>
          </w:tcPr>
          <w:p>
            <w:pPr>
              <w:spacing w:after="0"/>
              <w:rPr>
                <w:sz w:val="1"/>
                <w:szCs w:val="1"/>
                <w:color w:val="auto"/>
              </w:rPr>
            </w:pPr>
          </w:p>
        </w:tc>
      </w:tr>
      <w:tr>
        <w:trPr>
          <w:trHeight w:val="25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118,441</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123,092</w:t>
            </w:r>
          </w:p>
        </w:tc>
        <w:tc>
          <w:tcPr>
            <w:tcW w:w="0" w:type="dxa"/>
            <w:vAlign w:val="bottom"/>
          </w:tcPr>
          <w:p>
            <w:pPr>
              <w:spacing w:after="0"/>
              <w:rPr>
                <w:sz w:val="1"/>
                <w:szCs w:val="1"/>
                <w:color w:val="auto"/>
              </w:rPr>
            </w:pPr>
          </w:p>
        </w:tc>
      </w:tr>
      <w:tr>
        <w:trPr>
          <w:trHeight w:val="228"/>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829,584</w:t>
            </w:r>
          </w:p>
        </w:tc>
        <w:tc>
          <w:tcPr>
            <w:tcW w:w="32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749,929</w:t>
            </w:r>
          </w:p>
        </w:tc>
        <w:tc>
          <w:tcPr>
            <w:tcW w:w="0" w:type="dxa"/>
            <w:vAlign w:val="bottom"/>
          </w:tcPr>
          <w:p>
            <w:pPr>
              <w:spacing w:after="0"/>
              <w:rPr>
                <w:sz w:val="1"/>
                <w:szCs w:val="1"/>
                <w:color w:val="auto"/>
              </w:rPr>
            </w:pPr>
          </w:p>
        </w:tc>
      </w:tr>
      <w:tr>
        <w:trPr>
          <w:trHeight w:val="48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4"/>
                <w:szCs w:val="24"/>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140,123</w:t>
            </w:r>
          </w:p>
        </w:tc>
        <w:tc>
          <w:tcPr>
            <w:tcW w:w="320" w:type="dxa"/>
            <w:vAlign w:val="bottom"/>
          </w:tcPr>
          <w:p>
            <w:pPr>
              <w:spacing w:after="0"/>
              <w:rPr>
                <w:sz w:val="24"/>
                <w:szCs w:val="24"/>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163,184</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211,982</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181,472</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39,901</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42,178</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52,826</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65,523</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64,941</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92,529</w:t>
            </w: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1,038,721</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1,098,975</w:t>
            </w:r>
          </w:p>
        </w:tc>
        <w:tc>
          <w:tcPr>
            <w:tcW w:w="0" w:type="dxa"/>
            <w:vAlign w:val="bottom"/>
          </w:tcPr>
          <w:p>
            <w:pPr>
              <w:spacing w:after="0"/>
              <w:rPr>
                <w:sz w:val="1"/>
                <w:szCs w:val="1"/>
                <w:color w:val="auto"/>
              </w:rPr>
            </w:pPr>
          </w:p>
        </w:tc>
      </w:tr>
      <w:tr>
        <w:trPr>
          <w:trHeight w:val="237"/>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2,378,078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2,393,790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237,178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193,129</w:t>
            </w: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42,869</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81,253</w:t>
            </w: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89,431</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113,532</w:t>
            </w: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payable</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15,324</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12,208</w:t>
            </w: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18,203</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18,406</w:t>
            </w:r>
          </w:p>
        </w:tc>
        <w:tc>
          <w:tcPr>
            <w:tcW w:w="0" w:type="dxa"/>
            <w:vAlign w:val="bottom"/>
          </w:tcPr>
          <w:p>
            <w:pPr>
              <w:spacing w:after="0"/>
              <w:rPr>
                <w:sz w:val="1"/>
                <w:szCs w:val="1"/>
                <w:color w:val="auto"/>
              </w:rPr>
            </w:pPr>
          </w:p>
        </w:tc>
      </w:tr>
      <w:tr>
        <w:trPr>
          <w:trHeight w:val="25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95,567</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82,816</w:t>
            </w:r>
          </w:p>
        </w:tc>
        <w:tc>
          <w:tcPr>
            <w:tcW w:w="0" w:type="dxa"/>
            <w:vAlign w:val="bottom"/>
          </w:tcPr>
          <w:p>
            <w:pPr>
              <w:spacing w:after="0"/>
              <w:rPr>
                <w:sz w:val="1"/>
                <w:szCs w:val="1"/>
                <w:color w:val="auto"/>
              </w:rPr>
            </w:pPr>
          </w:p>
        </w:tc>
      </w:tr>
      <w:tr>
        <w:trPr>
          <w:trHeight w:val="228"/>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498,572</w:t>
            </w:r>
          </w:p>
        </w:tc>
        <w:tc>
          <w:tcPr>
            <w:tcW w:w="32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501,344</w:t>
            </w:r>
          </w:p>
        </w:tc>
        <w:tc>
          <w:tcPr>
            <w:tcW w:w="0" w:type="dxa"/>
            <w:vAlign w:val="bottom"/>
          </w:tcPr>
          <w:p>
            <w:pPr>
              <w:spacing w:after="0"/>
              <w:rPr>
                <w:sz w:val="1"/>
                <w:szCs w:val="1"/>
                <w:color w:val="auto"/>
              </w:rPr>
            </w:pPr>
          </w:p>
        </w:tc>
      </w:tr>
      <w:tr>
        <w:trPr>
          <w:trHeight w:val="48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Pr>
          <w:p>
            <w:pPr>
              <w:spacing w:after="0"/>
              <w:rPr>
                <w:sz w:val="24"/>
                <w:szCs w:val="24"/>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452,526</w:t>
            </w:r>
          </w:p>
        </w:tc>
        <w:tc>
          <w:tcPr>
            <w:tcW w:w="320" w:type="dxa"/>
            <w:vAlign w:val="bottom"/>
          </w:tcPr>
          <w:p>
            <w:pPr>
              <w:spacing w:after="0"/>
              <w:rPr>
                <w:sz w:val="24"/>
                <w:szCs w:val="24"/>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450,228</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Long-term warranty</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7,495</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13,616</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57,839</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87,863</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833</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44,370</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57,314</w:t>
            </w: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124,887</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138,666</w:t>
            </w:r>
          </w:p>
        </w:tc>
        <w:tc>
          <w:tcPr>
            <w:tcW w:w="0" w:type="dxa"/>
            <w:vAlign w:val="bottom"/>
          </w:tcPr>
          <w:p>
            <w:pPr>
              <w:spacing w:after="0"/>
              <w:rPr>
                <w:sz w:val="1"/>
                <w:szCs w:val="1"/>
                <w:color w:val="auto"/>
              </w:rPr>
            </w:pPr>
          </w:p>
        </w:tc>
      </w:tr>
      <w:tr>
        <w:trPr>
          <w:trHeight w:val="228"/>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1,186,522</w:t>
            </w:r>
          </w:p>
        </w:tc>
        <w:tc>
          <w:tcPr>
            <w:tcW w:w="32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1,251,031</w:t>
            </w:r>
          </w:p>
        </w:tc>
        <w:tc>
          <w:tcPr>
            <w:tcW w:w="0" w:type="dxa"/>
            <w:vAlign w:val="bottom"/>
          </w:tcPr>
          <w:p>
            <w:pPr>
              <w:spacing w:after="0"/>
              <w:rPr>
                <w:sz w:val="1"/>
                <w:szCs w:val="1"/>
                <w:color w:val="auto"/>
              </w:rPr>
            </w:pPr>
          </w:p>
        </w:tc>
      </w:tr>
      <w:tr>
        <w:trPr>
          <w:trHeight w:val="48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1,788,479</w:t>
            </w:r>
          </w:p>
        </w:tc>
        <w:tc>
          <w:tcPr>
            <w:tcW w:w="3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1,779,775</w:t>
            </w: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6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(94,674)</w:t>
            </w:r>
          </w:p>
        </w:tc>
        <w:tc>
          <w:tcPr>
            <w:tcW w:w="3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(148,098)</w:t>
            </w:r>
          </w:p>
        </w:tc>
        <w:tc>
          <w:tcPr>
            <w:tcW w:w="0" w:type="dxa"/>
            <w:vAlign w:val="bottom"/>
          </w:tcPr>
          <w:p>
            <w:pPr>
              <w:spacing w:after="0"/>
              <w:rPr>
                <w:sz w:val="1"/>
                <w:szCs w:val="1"/>
                <w:color w:val="auto"/>
              </w:rPr>
            </w:pPr>
          </w:p>
        </w:tc>
      </w:tr>
      <w:tr>
        <w:trPr>
          <w:trHeight w:val="25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(525,332)</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(515,600)</w:t>
            </w:r>
          </w:p>
        </w:tc>
        <w:tc>
          <w:tcPr>
            <w:tcW w:w="0" w:type="dxa"/>
            <w:vAlign w:val="bottom"/>
          </w:tcPr>
          <w:p>
            <w:pPr>
              <w:spacing w:after="0"/>
              <w:rPr>
                <w:sz w:val="1"/>
                <w:szCs w:val="1"/>
                <w:color w:val="auto"/>
              </w:rPr>
            </w:pPr>
          </w:p>
        </w:tc>
      </w:tr>
      <w:tr>
        <w:trPr>
          <w:trHeight w:val="228"/>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60" w:type="dxa"/>
            <w:vAlign w:val="bottom"/>
          </w:tcPr>
          <w:p>
            <w:pPr>
              <w:spacing w:after="0"/>
              <w:rPr>
                <w:sz w:val="19"/>
                <w:szCs w:val="19"/>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1,168,473</w:t>
            </w:r>
          </w:p>
        </w:tc>
        <w:tc>
          <w:tcPr>
            <w:tcW w:w="32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1,116,077</w:t>
            </w:r>
          </w:p>
        </w:tc>
        <w:tc>
          <w:tcPr>
            <w:tcW w:w="0" w:type="dxa"/>
            <w:vAlign w:val="bottom"/>
          </w:tcPr>
          <w:p>
            <w:pPr>
              <w:spacing w:after="0"/>
              <w:rPr>
                <w:sz w:val="1"/>
                <w:szCs w:val="1"/>
                <w:color w:val="auto"/>
              </w:rPr>
            </w:pPr>
          </w:p>
        </w:tc>
      </w:tr>
      <w:tr>
        <w:trPr>
          <w:trHeight w:val="252"/>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23,083</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26,682</w:t>
            </w:r>
          </w:p>
        </w:tc>
        <w:tc>
          <w:tcPr>
            <w:tcW w:w="0" w:type="dxa"/>
            <w:vAlign w:val="bottom"/>
          </w:tcPr>
          <w:p>
            <w:pPr>
              <w:spacing w:after="0"/>
              <w:rPr>
                <w:sz w:val="1"/>
                <w:szCs w:val="1"/>
                <w:color w:val="auto"/>
              </w:rPr>
            </w:pPr>
          </w:p>
        </w:tc>
      </w:tr>
      <w:tr>
        <w:trPr>
          <w:trHeight w:val="236"/>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1,191,556</w:t>
            </w: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1,142,759</w:t>
            </w:r>
          </w:p>
        </w:tc>
        <w:tc>
          <w:tcPr>
            <w:tcW w:w="0" w:type="dxa"/>
            <w:vAlign w:val="bottom"/>
          </w:tcPr>
          <w:p>
            <w:pPr>
              <w:spacing w:after="0"/>
              <w:rPr>
                <w:sz w:val="1"/>
                <w:szCs w:val="1"/>
                <w:color w:val="auto"/>
              </w:rPr>
            </w:pPr>
          </w:p>
        </w:tc>
      </w:tr>
      <w:tr>
        <w:trPr>
          <w:trHeight w:val="237"/>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2,378,078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2,393,790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loss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Non-cash operating lease expense</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of prepaid debt fees</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Deferred taxes, net</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Loss on sale of businesses</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Loss on extinguishment of debt, net</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Restructuring, non-cash</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adjustments, net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 and sale of businesses:</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Inventories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payable, other current liabilities, and taxes payable</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Wages and benefits payable</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Unearned revenue</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Warranty</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Restructuring</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operating, net</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36" w:lineRule="exact"/>
        <w:rPr>
          <w:sz w:val="20"/>
          <w:szCs w:val="20"/>
          <w:color w:val="auto"/>
        </w:rPr>
      </w:pPr>
    </w:p>
    <w:p>
      <w:pPr>
        <w:ind w:left="220" w:right="2540"/>
        <w:spacing w:after="0" w:line="298" w:lineRule="auto"/>
        <w:rPr>
          <w:sz w:val="20"/>
          <w:szCs w:val="20"/>
          <w:color w:val="auto"/>
        </w:rPr>
      </w:pPr>
      <w:r>
        <w:rPr>
          <w:rFonts w:ascii="Times New Roman" w:cs="Times New Roman" w:eastAsia="Times New Roman" w:hAnsi="Times New Roman"/>
          <w:sz w:val="17"/>
          <w:szCs w:val="17"/>
          <w:color w:val="auto"/>
        </w:rPr>
        <w:t>Net proceeds related to the sale of businesses Acquisitions of property, plant, and equipment</w:t>
      </w:r>
    </w:p>
    <w:p>
      <w:pPr>
        <w:spacing w:after="0" w:line="1" w:lineRule="exact"/>
        <w:rPr>
          <w:sz w:val="20"/>
          <w:szCs w:val="20"/>
          <w:color w:val="auto"/>
        </w:rPr>
      </w:pPr>
    </w:p>
    <w:p>
      <w:pPr>
        <w:ind w:left="220" w:right="1280"/>
        <w:spacing w:after="0" w:line="289" w:lineRule="auto"/>
        <w:rPr>
          <w:sz w:val="20"/>
          <w:szCs w:val="20"/>
          <w:color w:val="auto"/>
        </w:rPr>
      </w:pPr>
      <w:r>
        <w:rPr>
          <w:rFonts w:ascii="Times New Roman" w:cs="Times New Roman" w:eastAsia="Times New Roman" w:hAnsi="Times New Roman"/>
          <w:sz w:val="18"/>
          <w:szCs w:val="18"/>
          <w:color w:val="auto"/>
        </w:rPr>
        <w:t>Business acquisitions, net of cash and cash equivalents acquired Other investing, net</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Payments on debt</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Issuance of common stock</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Proceeds from common stock offering</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Proceeds from sale of warrants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Purchases of convertible note hedge contracts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Prepaid debt fees</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financing, net</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Cash classified within assets held for sale</w:t>
      </w:r>
    </w:p>
    <w:p>
      <w:pPr>
        <w:spacing w:after="0" w:line="293" w:lineRule="exact"/>
        <w:rPr>
          <w:sz w:val="20"/>
          <w:szCs w:val="20"/>
          <w:color w:val="auto"/>
        </w:rPr>
      </w:pPr>
    </w:p>
    <w:p>
      <w:pPr>
        <w:ind w:right="1100"/>
        <w:spacing w:after="0" w:line="289" w:lineRule="auto"/>
        <w:rPr>
          <w:sz w:val="20"/>
          <w:szCs w:val="20"/>
          <w:color w:val="auto"/>
        </w:rPr>
      </w:pPr>
      <w:r>
        <w:rPr>
          <w:rFonts w:ascii="Times New Roman" w:cs="Times New Roman" w:eastAsia="Times New Roman" w:hAnsi="Times New Roman"/>
          <w:sz w:val="18"/>
          <w:szCs w:val="18"/>
          <w:color w:val="auto"/>
        </w:rPr>
        <w:t>Effect of foreign exchange rate changes on cash and cash equivalents Increase (decrease) in cash and cash equivalents</w:t>
      </w:r>
    </w:p>
    <w:p>
      <w:pPr>
        <w:spacing w:after="0" w:line="1" w:lineRule="exact"/>
        <w:rPr>
          <w:sz w:val="20"/>
          <w:szCs w:val="20"/>
          <w:color w:val="auto"/>
        </w:rPr>
      </w:pPr>
    </w:p>
    <w:p>
      <w:pPr>
        <w:ind w:right="2560"/>
        <w:spacing w:after="0" w:line="360" w:lineRule="auto"/>
        <w:rPr>
          <w:sz w:val="20"/>
          <w:szCs w:val="20"/>
          <w:color w:val="auto"/>
        </w:rPr>
      </w:pPr>
      <w:r>
        <w:rPr>
          <w:rFonts w:ascii="Times New Roman" w:cs="Times New Roman" w:eastAsia="Times New Roman" w:hAnsi="Times New Roman"/>
          <w:sz w:val="18"/>
          <w:szCs w:val="18"/>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68"/>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(9,547)</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(78,298)</w:t>
            </w:r>
          </w:p>
        </w:tc>
      </w:tr>
      <w:tr>
        <w:trPr>
          <w:trHeight w:val="486"/>
        </w:trPr>
        <w:tc>
          <w:tcPr>
            <w:tcW w:w="540" w:type="dxa"/>
            <w:vAlign w:val="bottom"/>
          </w:tcPr>
          <w:p>
            <w:pPr>
              <w:spacing w:after="0"/>
              <w:rPr>
                <w:sz w:val="24"/>
                <w:szCs w:val="24"/>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66,763</w:t>
            </w:r>
          </w:p>
        </w:tc>
        <w:tc>
          <w:tcPr>
            <w:tcW w:w="60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84,153</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16,257</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17,107</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21,881</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23,618</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3,499</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18,253</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(32,635)</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(85,574)</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3,505</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64,289</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38,480</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8,744</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11,678</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2,930</w:t>
            </w:r>
          </w:p>
        </w:tc>
      </w:tr>
      <w:tr>
        <w:trPr>
          <w:trHeight w:val="486"/>
        </w:trPr>
        <w:tc>
          <w:tcPr>
            <w:tcW w:w="540" w:type="dxa"/>
            <w:vAlign w:val="bottom"/>
          </w:tcPr>
          <w:p>
            <w:pPr>
              <w:spacing w:after="0"/>
              <w:rPr>
                <w:sz w:val="24"/>
                <w:szCs w:val="24"/>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5,064</w:t>
            </w:r>
          </w:p>
        </w:tc>
        <w:tc>
          <w:tcPr>
            <w:tcW w:w="60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60,242</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(68,124)</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(16,695)</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41,461</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(5,436)</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4,515</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45,085</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(21,749)</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30,915</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18,466</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(29,366)</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(5,497)</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(40,981)</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15,967</w:t>
            </w:r>
          </w:p>
        </w:tc>
      </w:tr>
      <w:tr>
        <w:trPr>
          <w:trHeight w:val="250"/>
        </w:trPr>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(4,890)</w:t>
            </w:r>
          </w:p>
        </w:tc>
        <w:tc>
          <w:tcPr>
            <w:tcW w:w="6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r>
      <w:tr>
        <w:trPr>
          <w:trHeight w:val="234"/>
        </w:trPr>
        <w:tc>
          <w:tcPr>
            <w:tcW w:w="54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24,500</w:t>
            </w:r>
          </w:p>
        </w:tc>
        <w:tc>
          <w:tcPr>
            <w:tcW w:w="60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154,794</w:t>
            </w:r>
          </w:p>
        </w:tc>
      </w:tr>
      <w:tr>
        <w:trPr>
          <w:trHeight w:val="724"/>
        </w:trPr>
        <w:tc>
          <w:tcPr>
            <w:tcW w:w="540" w:type="dxa"/>
            <w:vAlign w:val="bottom"/>
          </w:tcPr>
          <w:p>
            <w:pPr>
              <w:spacing w:after="0"/>
              <w:rPr>
                <w:sz w:val="24"/>
                <w:szCs w:val="24"/>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55,933</w:t>
            </w:r>
          </w:p>
        </w:tc>
        <w:tc>
          <w:tcPr>
            <w:tcW w:w="60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3,142</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(19,747)</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(34,682)</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w:t>
            </w:r>
          </w:p>
        </w:tc>
      </w:tr>
      <w:tr>
        <w:trPr>
          <w:trHeight w:val="250"/>
        </w:trPr>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4,307</w:t>
            </w:r>
          </w:p>
        </w:tc>
        <w:tc>
          <w:tcPr>
            <w:tcW w:w="6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r>
      <w:tr>
        <w:trPr>
          <w:trHeight w:val="234"/>
        </w:trPr>
        <w:tc>
          <w:tcPr>
            <w:tcW w:w="54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40,516</w:t>
            </w:r>
          </w:p>
        </w:tc>
        <w:tc>
          <w:tcPr>
            <w:tcW w:w="6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(34,884)</w:t>
            </w:r>
          </w:p>
        </w:tc>
      </w:tr>
      <w:tr>
        <w:trPr>
          <w:trHeight w:val="724"/>
        </w:trPr>
        <w:tc>
          <w:tcPr>
            <w:tcW w:w="540" w:type="dxa"/>
            <w:vAlign w:val="bottom"/>
          </w:tcPr>
          <w:p>
            <w:pPr>
              <w:spacing w:after="0"/>
              <w:rPr>
                <w:sz w:val="24"/>
                <w:szCs w:val="24"/>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460,000</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(946,094)</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3,452</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5,080</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389,419</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45,349</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(84,139)</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(16,972)</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w:t>
            </w:r>
          </w:p>
        </w:tc>
      </w:tr>
      <w:tr>
        <w:trPr>
          <w:trHeight w:val="243"/>
        </w:trPr>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c>
          <w:tcPr>
            <w:tcW w:w="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w:t>
            </w:r>
          </w:p>
        </w:tc>
      </w:tr>
      <w:tr>
        <w:trPr>
          <w:trHeight w:val="250"/>
        </w:trPr>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(4,520)</w:t>
            </w:r>
          </w:p>
        </w:tc>
        <w:tc>
          <w:tcPr>
            <w:tcW w:w="6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34"/>
        </w:trPr>
        <w:tc>
          <w:tcPr>
            <w:tcW w:w="54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(18,737)</w:t>
            </w:r>
          </w:p>
        </w:tc>
        <w:tc>
          <w:tcPr>
            <w:tcW w:w="6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(152,887)</w:t>
            </w:r>
          </w:p>
        </w:tc>
      </w:tr>
      <w:tr>
        <w:trPr>
          <w:trHeight w:val="481"/>
        </w:trPr>
        <w:tc>
          <w:tcPr>
            <w:tcW w:w="540" w:type="dxa"/>
            <w:vAlign w:val="bottom"/>
          </w:tcPr>
          <w:p>
            <w:pPr>
              <w:spacing w:after="0"/>
              <w:rPr>
                <w:sz w:val="24"/>
                <w:szCs w:val="24"/>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r>
      <w:tr>
        <w:trPr>
          <w:trHeight w:val="493"/>
        </w:trPr>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(6,851)</w:t>
            </w: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34"/>
        </w:trPr>
        <w:tc>
          <w:tcPr>
            <w:tcW w:w="54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39,428</w:t>
            </w:r>
          </w:p>
        </w:tc>
        <w:tc>
          <w:tcPr>
            <w:tcW w:w="6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(44,354)</w:t>
            </w:r>
          </w:p>
        </w:tc>
      </w:tr>
      <w:tr>
        <w:trPr>
          <w:trHeight w:val="245"/>
        </w:trPr>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162,579</w:t>
            </w:r>
          </w:p>
        </w:tc>
        <w:tc>
          <w:tcPr>
            <w:tcW w:w="6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206,933</w:t>
            </w:r>
          </w:p>
        </w:tc>
      </w:tr>
      <w:tr>
        <w:trPr>
          <w:trHeight w:val="239"/>
        </w:trPr>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202,007</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162,579</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100" w:space="540"/>
            <w:col w:w="4600"/>
          </w:cols>
          <w:pgMar w:left="320" w:top="131" w:right="33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1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businesses, strategic initiative expenses, software project impairment, Russian currency translation write-off, goodwill impairment,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Non-GAAP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non-GAAP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businesses, strategic initiative expenses, software project impairment, Russian currency translation write-off, goodwill impairment, and acquisition and integration. We define non-GAAP operating income as operating income (loss) excluding the expenses related to the amortization of intangible assets, restructuring, loss on sale of businesses, strategic initiative expenses, software project impairment, Russian currency translation write-off, goodwill impairment,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 w:name="page12"/>
    <w:bookmarkEnd w:id="11"/>
    <w:p>
      <w:pPr>
        <w:ind w:right="10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Non-GAAP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non-GAAP diluted 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define non-GAAP net income as net income (loss) attributable to Itron, Inc.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amortization of intangible assets, amortization of debt placement fees, debt extinguishment, restructuring, loss on sale of businesses, strategic initiative expenses, software project impairment, Russian currency translation write-off, goodwill impairment,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define adjusted EBITDA as net income (loss) (a) minus interest income, (b) plus interest expense, debt extinguishment,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restructuring, loss on sale of businesses, strategic initiative expenses, software project impairment, Russian currency translation write-off, goodwill impairment, acquisition and integration, and (c) excluding income tax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4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1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MOST DIRECTLY COMPARABLE GAAP FINANCIAL MEASURES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COMPANY RECONCILIATIONS</w:t>
            </w: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8"/>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GAAP operating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128,417</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228,757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529,628</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652,468</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(6,266)</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(25,717)</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(35,801)</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2,528</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13,625</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(54,623)</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(64,289)</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Strategic initiative</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Software project impairment</w:t>
            </w: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(8,719)</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currency translation write-off</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115,501</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127,883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463,766</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497,604</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GAAP operating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12,381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(79,299)</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6,266</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25,717</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35,801</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(2,528)</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54,623</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323</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64,289</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Strategic initiative</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Software project impairment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8,719</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8,719</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currency translation write-off</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38,480</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6"/>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Non-GAAP operating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25,297</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58,423</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75,565</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NON-GAAP NET INCOME &amp; DILUTED EPS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GAAP net income (loss) attributable to Itron, Inc.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22,212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(81,255)</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6,266</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25,717</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35,801</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Amortization of debt placement fees</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845</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3,323</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18,078</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Debt extinguishment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(2,528)</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54,623</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323</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64,289</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Strategic initiative</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Software project impairment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8,719</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8,719</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currency translation write-off</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38,480</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56"/>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Income tax effect of non-GAAP adjustments</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(3,803)</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(25,265)</w:t>
            </w:r>
          </w:p>
        </w:tc>
        <w:tc>
          <w:tcPr>
            <w:tcW w:w="0" w:type="dxa"/>
            <w:vAlign w:val="bottom"/>
          </w:tcPr>
          <w:p>
            <w:pPr>
              <w:spacing w:after="0"/>
              <w:rPr>
                <w:sz w:val="1"/>
                <w:szCs w:val="1"/>
                <w:color w:val="auto"/>
              </w:rPr>
            </w:pPr>
          </w:p>
        </w:tc>
      </w:tr>
      <w:tr>
        <w:trPr>
          <w:trHeight w:val="236"/>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Non-GAAP net income attributable to Itron, Inc.</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32,170</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34,060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50,987</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78,103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Non-GAAP diluted EPS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0.71</w:t>
            </w: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Non-GAAP weighted average common shares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45,419</w:t>
            </w:r>
          </w:p>
        </w:tc>
        <w:tc>
          <w:tcPr>
            <w:tcW w:w="440" w:type="dxa"/>
            <w:vAlign w:val="bottom"/>
          </w:tcPr>
          <w:p>
            <w:pPr>
              <w:spacing w:after="0"/>
              <w:rPr>
                <w:sz w:val="16"/>
                <w:szCs w:val="16"/>
                <w:color w:val="auto"/>
              </w:rPr>
            </w:pPr>
          </w:p>
        </w:tc>
        <w:tc>
          <w:tcPr>
            <w:tcW w:w="1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45,469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45,305</w:t>
            </w:r>
          </w:p>
        </w:tc>
        <w:tc>
          <w:tcPr>
            <w:tcW w:w="420" w:type="dxa"/>
            <w:vAlign w:val="bottom"/>
          </w:tcPr>
          <w:p>
            <w:pPr>
              <w:spacing w:after="0"/>
              <w:rPr>
                <w:sz w:val="16"/>
                <w:szCs w:val="16"/>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44,617</w:t>
            </w:r>
          </w:p>
        </w:tc>
        <w:tc>
          <w:tcPr>
            <w:tcW w:w="0" w:type="dxa"/>
            <w:vAlign w:val="bottom"/>
          </w:tcPr>
          <w:p>
            <w:pPr>
              <w:spacing w:after="0"/>
              <w:rPr>
                <w:sz w:val="1"/>
                <w:szCs w:val="1"/>
                <w:color w:val="auto"/>
              </w:rPr>
            </w:pPr>
          </w:p>
        </w:tc>
      </w:tr>
      <w:tr>
        <w:trPr>
          <w:trHeight w:val="20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 Diluted</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COMPANY RECONCILIATIONS</w:t>
            </w:r>
          </w:p>
        </w:tc>
        <w:tc>
          <w:tcPr>
            <w:tcW w:w="2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GAAP net income (loss) attributable to Itron, Inc.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22,212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(81,255)</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1,793</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6,724</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28,638</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(11,169)</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(45,512)</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Debt extinguishment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16,151</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66,763</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84,153</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(2,528)</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54,623</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323</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64,289</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Strategic initiative</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Software project impairment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8,719</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8,719</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currency translation write-off</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38,480</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34,371</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95,071</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115,211</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24,500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154,794</w:t>
            </w:r>
          </w:p>
        </w:tc>
        <w:tc>
          <w:tcPr>
            <w:tcW w:w="0" w:type="dxa"/>
            <w:vAlign w:val="bottom"/>
          </w:tcPr>
          <w:p>
            <w:pPr>
              <w:spacing w:after="0"/>
              <w:rPr>
                <w:sz w:val="1"/>
                <w:szCs w:val="1"/>
                <w:color w:val="auto"/>
              </w:rPr>
            </w:pPr>
          </w:p>
        </w:tc>
      </w:tr>
      <w:tr>
        <w:trPr>
          <w:trHeight w:val="257"/>
        </w:trPr>
        <w:tc>
          <w:tcPr>
            <w:tcW w:w="4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(4,861)</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(19,747)</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(34,682)</w:t>
            </w:r>
          </w:p>
        </w:tc>
        <w:tc>
          <w:tcPr>
            <w:tcW w:w="0" w:type="dxa"/>
            <w:vAlign w:val="bottom"/>
          </w:tcPr>
          <w:p>
            <w:pPr>
              <w:spacing w:after="0"/>
              <w:rPr>
                <w:sz w:val="1"/>
                <w:szCs w:val="1"/>
                <w:color w:val="auto"/>
              </w:rPr>
            </w:pPr>
          </w:p>
        </w:tc>
      </w:tr>
      <w:tr>
        <w:trPr>
          <w:trHeight w:val="237"/>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(17,891)</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4,753</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120,112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 242-8448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david.means@itron.com</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2023-02-27T07:37:52Z</dcterms:created>
  <dcterms:modified xsi:type="dcterms:W3CDTF">2023-02-27T07:37:52Z</dcterms:modified>
</cp:coreProperties>
</file>