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81915</wp:posOffset>
            </wp:positionV>
            <wp:extent cx="1080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September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693" w:right="2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Itron, Inc. (the Company) held its 2016 Annual Meeting of Shareholders (the Annual Meeting) on September 14, 2016. Three proposals were voted upon at the Annual Meeting. The proposals are described in detail in the Company's proxy statement filed with the Securities and Exchange Commission on July 28, 2016. All of the proposals passed. The final results for the votes regarding each proposal are set forth below.</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Proposal One: The following nominees for Director were elected until their successors are duly elected and qualified: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VOTES FOR</w:t>
            </w: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NON-VOTES</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76"/>
        </w:trPr>
        <w:tc>
          <w:tcPr>
            <w:tcW w:w="3340" w:type="dxa"/>
            <w:vAlign w:val="bottom"/>
            <w:gridSpan w:val="2"/>
          </w:tcPr>
          <w:p>
            <w:pPr>
              <w:ind w:left="40"/>
              <w:spacing w:after="0" w:line="276" w:lineRule="exact"/>
              <w:rPr>
                <w:sz w:val="20"/>
                <w:szCs w:val="20"/>
                <w:color w:val="auto"/>
              </w:rPr>
            </w:pPr>
            <w:r>
              <w:rPr>
                <w:rFonts w:ascii="Arial" w:cs="Arial" w:eastAsia="Arial" w:hAnsi="Arial"/>
                <w:sz w:val="18"/>
                <w:szCs w:val="18"/>
                <w:color w:val="auto"/>
              </w:rPr>
              <w:t>Lynda L. Ziegler</w:t>
            </w:r>
            <w:r>
              <w:rPr>
                <w:rFonts w:ascii="Arial" w:cs="Arial" w:eastAsia="Arial" w:hAnsi="Arial"/>
                <w:sz w:val="25"/>
                <w:szCs w:val="25"/>
                <w:color w:val="auto"/>
                <w:vertAlign w:val="superscript"/>
              </w:rPr>
              <w:t>(1)</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32,972,405</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306,524</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3,061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2,076,687</w:t>
            </w: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Thomas S. Glanville</w:t>
            </w:r>
            <w:r>
              <w:rPr>
                <w:rFonts w:ascii="Arial" w:cs="Arial" w:eastAsia="Arial" w:hAnsi="Arial"/>
                <w:sz w:val="25"/>
                <w:szCs w:val="25"/>
                <w:color w:val="auto"/>
                <w:vertAlign w:val="superscript"/>
              </w:rPr>
              <w:t>(1)</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28,521,085</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4,756,794</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4,111</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2,076,687</w:t>
            </w: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Diana D. Tremblay</w:t>
            </w:r>
            <w:r>
              <w:rPr>
                <w:rFonts w:ascii="Arial" w:cs="Arial" w:eastAsia="Arial" w:hAnsi="Arial"/>
                <w:sz w:val="25"/>
                <w:szCs w:val="25"/>
                <w:color w:val="auto"/>
                <w:vertAlign w:val="superscript"/>
              </w:rPr>
              <w:t>(1)</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33,046,602</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231,207</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4,181</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2,076,687</w:t>
            </w: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Peter Mainz</w:t>
            </w:r>
            <w:r>
              <w:rPr>
                <w:rFonts w:ascii="Arial" w:cs="Arial" w:eastAsia="Arial" w:hAnsi="Arial"/>
                <w:sz w:val="25"/>
                <w:szCs w:val="25"/>
                <w:color w:val="auto"/>
                <w:vertAlign w:val="superscript"/>
              </w:rPr>
              <w:t>(2)</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33,098,424</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177,986</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5,580</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2,076,687</w:t>
            </w: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Jerome J. Lande</w:t>
            </w:r>
            <w:r>
              <w:rPr>
                <w:rFonts w:ascii="Arial" w:cs="Arial" w:eastAsia="Arial" w:hAnsi="Arial"/>
                <w:sz w:val="25"/>
                <w:szCs w:val="25"/>
                <w:color w:val="auto"/>
                <w:vertAlign w:val="superscript"/>
              </w:rPr>
              <w:t>(3)</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30,502,727</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2,772,925</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6,338</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2,076,687</w:t>
            </w:r>
          </w:p>
        </w:tc>
      </w:tr>
      <w:tr>
        <w:trPr>
          <w:trHeight w:val="3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Frank M. Jaehnert</w:t>
            </w:r>
            <w:r>
              <w:rPr>
                <w:rFonts w:ascii="Arial" w:cs="Arial" w:eastAsia="Arial" w:hAnsi="Arial"/>
                <w:sz w:val="25"/>
                <w:szCs w:val="25"/>
                <w:color w:val="auto"/>
                <w:vertAlign w:val="superscript"/>
              </w:rPr>
              <w:t>(3)</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29,595,502</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3,680,751</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5,737</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2,076,687</w:t>
            </w:r>
          </w:p>
        </w:tc>
      </w:tr>
    </w:tbl>
    <w:p>
      <w:pPr>
        <w:ind w:left="340" w:hanging="332"/>
        <w:spacing w:after="0" w:line="233"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to hold office in Class 3 for a three year term until the Company’s 2019 Annual Meeting.</w:t>
      </w:r>
    </w:p>
    <w:p>
      <w:pPr>
        <w:spacing w:after="0" w:line="45" w:lineRule="exact"/>
        <w:rPr>
          <w:rFonts w:ascii="Arial" w:cs="Arial" w:eastAsia="Arial" w:hAnsi="Arial"/>
          <w:sz w:val="25"/>
          <w:szCs w:val="25"/>
          <w:color w:val="auto"/>
          <w:vertAlign w:val="superscript"/>
        </w:rPr>
      </w:pPr>
    </w:p>
    <w:p>
      <w:pPr>
        <w:ind w:left="340" w:hanging="332"/>
        <w:spacing w:after="0" w:line="222"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to hold office in Class 2 for a two year term until the Company’s 2018 Annual Meeting.</w:t>
      </w:r>
    </w:p>
    <w:p>
      <w:pPr>
        <w:spacing w:after="0" w:line="44" w:lineRule="exact"/>
        <w:rPr>
          <w:rFonts w:ascii="Arial" w:cs="Arial" w:eastAsia="Arial" w:hAnsi="Arial"/>
          <w:sz w:val="25"/>
          <w:szCs w:val="25"/>
          <w:color w:val="auto"/>
          <w:vertAlign w:val="superscript"/>
        </w:rPr>
      </w:pPr>
    </w:p>
    <w:p>
      <w:pPr>
        <w:ind w:left="340" w:hanging="332"/>
        <w:spacing w:after="0" w:line="222"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to hold office in Class 1 for a one year term until the Company’s 2017 Annual Meeting.</w:t>
      </w: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Each independent Director serves on at least one committee of the Board of Directors. For further information regarding the composition of such committees, refer to Itron's investor relations website, at http://investors.itron.com/committees.cfm.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Proposal Two: Approval of the advisory (non-binding) resolution on executive compensation.</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880" w:type="dxa"/>
            <w:vAlign w:val="bottom"/>
            <w:gridSpan w:val="2"/>
          </w:tcPr>
          <w:p>
            <w:pPr>
              <w:ind w:left="360"/>
              <w:spacing w:after="0"/>
              <w:rPr>
                <w:sz w:val="20"/>
                <w:szCs w:val="20"/>
                <w:color w:val="auto"/>
              </w:rPr>
            </w:pPr>
            <w:r>
              <w:rPr>
                <w:rFonts w:ascii="Arial" w:cs="Arial" w:eastAsia="Arial" w:hAnsi="Arial"/>
                <w:sz w:val="18"/>
                <w:szCs w:val="18"/>
                <w:b w:val="1"/>
                <w:bCs w:val="1"/>
                <w:color w:val="auto"/>
              </w:rPr>
              <w:t>VOTES FOR</w:t>
            </w: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VOTES AGAINST</w:t>
            </w: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ABSTENTIONS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jc w:val="right"/>
              <w:spacing w:after="0"/>
              <w:rPr>
                <w:sz w:val="20"/>
                <w:szCs w:val="20"/>
                <w:color w:val="auto"/>
              </w:rPr>
            </w:pPr>
            <w:r>
              <w:rPr>
                <w:rFonts w:ascii="Arial" w:cs="Arial" w:eastAsia="Arial" w:hAnsi="Arial"/>
                <w:sz w:val="18"/>
                <w:szCs w:val="18"/>
                <w:color w:val="auto"/>
              </w:rPr>
              <w:t>31,506,076</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1,514,422</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261,492</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2,076,687</w:t>
            </w:r>
          </w:p>
        </w:tc>
      </w:tr>
    </w:tbl>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Proposal Three: Ratification of the appointment of Deloitte &amp; Touche LLP as the Company's independent registered public accounting firm for the 2016 fiscal year.</w:t>
      </w:r>
    </w:p>
    <w:p>
      <w:pPr>
        <w:spacing w:after="0" w:line="1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880" w:type="dxa"/>
            <w:vAlign w:val="bottom"/>
            <w:gridSpan w:val="2"/>
          </w:tcPr>
          <w:p>
            <w:pPr>
              <w:ind w:left="360"/>
              <w:spacing w:after="0"/>
              <w:rPr>
                <w:sz w:val="20"/>
                <w:szCs w:val="20"/>
                <w:color w:val="auto"/>
              </w:rPr>
            </w:pPr>
            <w:r>
              <w:rPr>
                <w:rFonts w:ascii="Arial" w:cs="Arial" w:eastAsia="Arial" w:hAnsi="Arial"/>
                <w:sz w:val="18"/>
                <w:szCs w:val="18"/>
                <w:b w:val="1"/>
                <w:bCs w:val="1"/>
                <w:color w:val="auto"/>
              </w:rPr>
              <w:t>VOTES FOR</w:t>
            </w: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VOTES AGAINST</w:t>
            </w: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ABSTENTIONS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jc w:val="right"/>
              <w:spacing w:after="0"/>
              <w:rPr>
                <w:sz w:val="20"/>
                <w:szCs w:val="20"/>
                <w:color w:val="auto"/>
              </w:rPr>
            </w:pPr>
            <w:r>
              <w:rPr>
                <w:rFonts w:ascii="Arial" w:cs="Arial" w:eastAsia="Arial" w:hAnsi="Arial"/>
                <w:sz w:val="18"/>
                <w:szCs w:val="18"/>
                <w:color w:val="auto"/>
              </w:rPr>
              <w:t>34,953,130</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289,998</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115,549</w:t>
            </w:r>
          </w:p>
        </w:tc>
        <w:tc>
          <w:tcPr>
            <w:tcW w:w="100" w:type="dxa"/>
            <w:vAlign w:val="bottom"/>
          </w:tcPr>
          <w:p>
            <w:pPr>
              <w:spacing w:after="0"/>
              <w:rPr>
                <w:sz w:val="20"/>
                <w:szCs w:val="20"/>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6" w:lineRule="exact"/>
        <w:rPr>
          <w:sz w:val="20"/>
          <w:szCs w:val="20"/>
          <w:color w:val="auto"/>
        </w:rPr>
      </w:pPr>
    </w:p>
    <w:p>
      <w:pPr>
        <w:ind w:left="1300" w:right="4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8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Sharon L. Nelson, age 69, has been a Director of the Company since 2003 and her current term expired at the Annual Meeting. Ms. Nelson did not stand for re-election to the Board of Directors and has retired as of the Annual Meeting. Her position as a Class 3 director was filled by Diana D. Tremblay upon Ms. Tremblay’s election by the shareholders at the Annual Meeting.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with the Company on any matter related to the Company’s operations, policies or practices that led to Ms.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Nelson’s decision.</w:t>
      </w:r>
    </w:p>
    <w:p>
      <w:pPr>
        <w:sectPr>
          <w:pgSz w:w="11900" w:h="16838" w:orient="portrait"/>
          <w:cols w:equalWidth="0" w:num="1">
            <w:col w:w="11420"/>
          </w:cols>
          <w:pgMar w:left="240" w:top="57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594"/>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18"/>
                <w:szCs w:val="18"/>
                <w:color w:val="auto"/>
                <w:w w:val="96"/>
              </w:rPr>
              <w:t>/s/ SHANNON M. VOTAVA</w:t>
            </w:r>
          </w:p>
        </w:tc>
      </w:tr>
      <w:tr>
        <w:trPr>
          <w:trHeight w:val="27"/>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Dated: September 15, 2016</w:t>
            </w: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Shannon M. Votava</w:t>
            </w:r>
          </w:p>
        </w:tc>
      </w:tr>
      <w:tr>
        <w:trPr>
          <w:trHeight w:val="270"/>
        </w:trPr>
        <w:tc>
          <w:tcPr>
            <w:tcW w:w="3940" w:type="dxa"/>
            <w:vAlign w:val="bottom"/>
          </w:tcPr>
          <w:p>
            <w:pPr>
              <w:spacing w:after="0"/>
              <w:rPr>
                <w:sz w:val="23"/>
                <w:szCs w:val="23"/>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2019-12-05T18:05:58Z</dcterms:created>
  <dcterms:modified xsi:type="dcterms:W3CDTF">2019-12-05T18:05:58Z</dcterms:modified>
</cp:coreProperties>
</file>