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August 20,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-140335</wp:posOffset>
            </wp:positionV>
            <wp:extent cx="2065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44" w:lineRule="exact"/>
        <w:rPr>
          <w:sz w:val="24"/>
          <w:szCs w:val="24"/>
          <w:color w:val="auto"/>
        </w:rPr>
      </w:pPr>
    </w:p>
    <w:tbl>
      <w:tblPr>
        <w:tblLayout w:type="fixed"/>
        <w:tblInd w:w="1280" w:type="dxa"/>
        <w:tblCellMar>
          <w:top w:w="0" w:type="dxa"/>
          <w:left w:w="0" w:type="dxa"/>
          <w:bottom w:w="0" w:type="dxa"/>
          <w:right w:w="0" w:type="dxa"/>
        </w:tblCellMar>
      </w:tblPr>
      <w:tr>
        <w:trPr>
          <w:trHeight w:val="266"/>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000-22418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186"/>
        </w:trPr>
        <w:tc>
          <w:tcPr>
            <w:tcW w:w="28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86"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File Number)</w:t>
            </w: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355"/>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2111 N. Molter Road</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w:t>
            </w:r>
          </w:p>
        </w:tc>
        <w:tc>
          <w:tcPr>
            <w:tcW w:w="224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194310</wp:posOffset>
            </wp:positionV>
            <wp:extent cx="5117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3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Securities Act (17 CFR 230.425)</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41"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166"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left="1300" w:right="700" w:hanging="1295"/>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reported on Form 8-K, dated August 20, 2025, the Board of Directors (the Board) of Itron, Inc. appointed Scott Drury as a new director of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Drury has been appointed to serve on the Nominating and Corporate Governance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ITRON, INC.</w:t>
            </w:r>
          </w:p>
        </w:tc>
        <w:tc>
          <w:tcPr>
            <w:tcW w:w="6240" w:type="dxa"/>
            <w:vAlign w:val="bottom"/>
          </w:tcPr>
          <w:p>
            <w:pPr>
              <w:spacing w:after="0"/>
              <w:rPr>
                <w:sz w:val="22"/>
                <w:szCs w:val="22"/>
                <w:color w:val="auto"/>
              </w:rPr>
            </w:pPr>
          </w:p>
        </w:tc>
      </w:tr>
      <w:tr>
        <w:trPr>
          <w:trHeight w:val="487"/>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CHRISTOPHER E. WARE</w:t>
            </w:r>
          </w:p>
        </w:tc>
      </w:tr>
      <w:tr>
        <w:trPr>
          <w:trHeight w:val="24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Dated: September 24, 2025</w:t>
            </w: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Christopher E. Ware</w:t>
            </w:r>
          </w:p>
        </w:tc>
      </w:tr>
      <w:tr>
        <w:trPr>
          <w:trHeight w:val="198"/>
        </w:trPr>
        <w:tc>
          <w:tcPr>
            <w:tcW w:w="4940" w:type="dxa"/>
            <w:vAlign w:val="bottom"/>
          </w:tcPr>
          <w:p>
            <w:pPr>
              <w:spacing w:after="0"/>
              <w:rPr>
                <w:sz w:val="17"/>
                <w:szCs w:val="17"/>
                <w:color w:val="auto"/>
              </w:rPr>
            </w:pPr>
          </w:p>
        </w:tc>
        <w:tc>
          <w:tcPr>
            <w:tcW w:w="624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Senior Vice President, General Counsel</w:t>
            </w:r>
          </w:p>
        </w:tc>
      </w:tr>
      <w:tr>
        <w:trPr>
          <w:trHeight w:val="258"/>
        </w:trPr>
        <w:tc>
          <w:tcPr>
            <w:tcW w:w="4940" w:type="dxa"/>
            <w:vAlign w:val="bottom"/>
          </w:tcPr>
          <w:p>
            <w:pPr>
              <w:spacing w:after="0"/>
              <w:rPr>
                <w:sz w:val="22"/>
                <w:szCs w:val="22"/>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and Corporate Secretary</w:t>
            </w:r>
          </w:p>
        </w:tc>
      </w:tr>
    </w:tbl>
    <w:p>
      <w:pPr>
        <w:spacing w:after="0" w:line="1" w:lineRule="exact"/>
        <w:rPr>
          <w:sz w:val="20"/>
          <w:szCs w:val="20"/>
          <w:color w:val="auto"/>
        </w:rPr>
      </w:pP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2025-09-24T15:44:04Z</dcterms:created>
  <dcterms:modified xsi:type="dcterms:W3CDTF">2025-09-24T15:44:04Z</dcterms:modified>
</cp:coreProperties>
</file>