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364"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tabs>
          <w:tab w:leader="none" w:pos="643" w:val="left"/>
        </w:tabs>
        <w:rPr>
          <w:sz w:val="20"/>
          <w:szCs w:val="20"/>
          <w:color w:val="auto"/>
        </w:rPr>
      </w:pPr>
      <w:r>
        <w:rPr>
          <w:rFonts w:ascii="Courier New" w:cs="Courier New" w:eastAsia="Courier New" w:hAnsi="Courier New"/>
          <w:sz w:val="16"/>
          <w:szCs w:val="16"/>
          <w:color w:val="auto"/>
        </w:rPr>
        <w:t>(mark</w:t>
        <w:tab/>
        <w:t>one)</w:t>
      </w:r>
    </w:p>
    <w:p>
      <w:pPr>
        <w:spacing w:after="0" w:line="5" w:lineRule="exact"/>
        <w:rPr>
          <w:sz w:val="24"/>
          <w:szCs w:val="24"/>
          <w:color w:val="auto"/>
        </w:rPr>
      </w:pPr>
    </w:p>
    <w:p>
      <w:pPr>
        <w:ind w:left="843" w:right="3499" w:hanging="843"/>
        <w:spacing w:after="0" w:line="237" w:lineRule="auto"/>
        <w:tabs>
          <w:tab w:leader="none" w:pos="1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QUARTERLY REPORT PURSUANT TO SECTION 13 OR 15(d) OF THE SECURITIES EXCHANGE ACT OF 1934</w:t>
      </w:r>
    </w:p>
    <w:p>
      <w:pPr>
        <w:spacing w:after="0" w:line="366"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 the quarterly period ended June 30, 1997</w:t>
      </w:r>
    </w:p>
    <w:p>
      <w:pPr>
        <w:spacing w:after="0" w:line="183" w:lineRule="exact"/>
        <w:rPr>
          <w:sz w:val="24"/>
          <w:szCs w:val="24"/>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368"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 TRANSITION REPORT PURSUANT TO SECTION 13 OR 15(d) OF THE SECURITIES</w:t>
      </w:r>
    </w:p>
    <w:p>
      <w:pPr>
        <w:spacing w:after="0" w:line="8" w:lineRule="exact"/>
        <w:rPr>
          <w:sz w:val="24"/>
          <w:szCs w:val="24"/>
          <w:color w:val="auto"/>
        </w:rPr>
      </w:pPr>
    </w:p>
    <w:p>
      <w:pPr>
        <w:ind w:left="763"/>
        <w:spacing w:after="0"/>
        <w:tabs>
          <w:tab w:leader="none" w:pos="2823" w:val="left"/>
        </w:tabs>
        <w:rPr>
          <w:sz w:val="20"/>
          <w:szCs w:val="20"/>
          <w:color w:val="auto"/>
        </w:rPr>
      </w:pPr>
      <w:r>
        <w:rPr>
          <w:rFonts w:ascii="Courier New" w:cs="Courier New" w:eastAsia="Courier New" w:hAnsi="Courier New"/>
          <w:sz w:val="16"/>
          <w:szCs w:val="16"/>
          <w:color w:val="auto"/>
        </w:rPr>
        <w:t>EXCHANGE ACT OF 1934</w:t>
      </w:r>
      <w:r>
        <w:rPr>
          <w:sz w:val="20"/>
          <w:szCs w:val="20"/>
          <w:color w:val="auto"/>
        </w:rPr>
        <w:tab/>
      </w:r>
      <w:r>
        <w:rPr>
          <w:rFonts w:ascii="Courier New" w:cs="Courier New" w:eastAsia="Courier New" w:hAnsi="Courier New"/>
          <w:sz w:val="15"/>
          <w:szCs w:val="15"/>
          <w:color w:val="auto"/>
        </w:rPr>
        <w:t>(NO FEE REQUIRED)</w:t>
      </w:r>
    </w:p>
    <w:p>
      <w:pPr>
        <w:sectPr>
          <w:pgSz w:w="11900" w:h="16838" w:orient="portrait"/>
          <w:cols w:equalWidth="0" w:num="1">
            <w:col w:w="10222"/>
          </w:cols>
          <w:pgMar w:left="237" w:top="239" w:right="1440" w:bottom="0" w:gutter="0" w:footer="0" w:header="0"/>
        </w:sectPr>
      </w:pPr>
    </w:p>
    <w:p>
      <w:pPr>
        <w:spacing w:after="0" w:line="368" w:lineRule="exact"/>
        <w:rPr>
          <w:sz w:val="24"/>
          <w:szCs w:val="24"/>
          <w:color w:val="auto"/>
        </w:rPr>
      </w:pPr>
    </w:p>
    <w:p>
      <w:pPr>
        <w:ind w:left="2263"/>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83" w:lineRule="exact"/>
        <w:rPr>
          <w:sz w:val="24"/>
          <w:szCs w:val="24"/>
          <w:color w:val="auto"/>
        </w:rPr>
      </w:pPr>
    </w:p>
    <w:p>
      <w:pPr>
        <w:sectPr>
          <w:pgSz w:w="11900" w:h="16838" w:orient="portrait"/>
          <w:cols w:equalWidth="0" w:num="2">
            <w:col w:w="5103" w:space="380"/>
            <w:col w:w="4739"/>
          </w:cols>
          <w:pgMar w:left="237" w:top="239" w:right="1440" w:bottom="0" w:gutter="0" w:footer="0" w:header="0"/>
          <w:type w:val="continuous"/>
        </w:sectPr>
      </w:pPr>
    </w:p>
    <w:p>
      <w:pPr>
        <w:ind w:left="2363"/>
        <w:spacing w:after="0"/>
        <w:rPr>
          <w:sz w:val="20"/>
          <w:szCs w:val="20"/>
          <w:color w:val="auto"/>
        </w:rPr>
      </w:pPr>
      <w:r>
        <w:rPr>
          <w:rFonts w:ascii="Courier New" w:cs="Courier New" w:eastAsia="Courier New" w:hAnsi="Courier New"/>
          <w:sz w:val="16"/>
          <w:szCs w:val="16"/>
          <w:color w:val="auto"/>
        </w:rPr>
        <w:t>Commission file number 0-22418</w:t>
      </w:r>
    </w:p>
    <w:p>
      <w:pPr>
        <w:spacing w:after="0" w:line="364"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ITRON, INC.</w:t>
      </w:r>
    </w:p>
    <w:p>
      <w:pPr>
        <w:spacing w:after="0" w:line="5"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2"/>
          </w:cols>
          <w:pgMar w:left="237" w:top="239" w:right="1440" w:bottom="0" w:gutter="0" w:footer="0" w:header="0"/>
          <w:type w:val="continuous"/>
        </w:sectPr>
      </w:pPr>
    </w:p>
    <w:p>
      <w:pPr>
        <w:spacing w:after="0" w:line="190" w:lineRule="exact"/>
        <w:rPr>
          <w:sz w:val="24"/>
          <w:szCs w:val="24"/>
          <w:color w:val="auto"/>
        </w:rPr>
      </w:pPr>
    </w:p>
    <w:p>
      <w:pPr>
        <w:ind w:left="463"/>
        <w:spacing w:after="0"/>
        <w:rPr>
          <w:sz w:val="20"/>
          <w:szCs w:val="20"/>
          <w:color w:val="auto"/>
        </w:rPr>
      </w:pPr>
      <w:r>
        <w:rPr>
          <w:rFonts w:ascii="Courier New" w:cs="Courier New" w:eastAsia="Courier New" w:hAnsi="Courier New"/>
          <w:sz w:val="16"/>
          <w:szCs w:val="16"/>
          <w:color w:val="auto"/>
        </w:rPr>
        <w:t>Washington</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91-1011792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2963" w:space="720"/>
            <w:col w:w="6539"/>
          </w:cols>
          <w:pgMar w:left="237" w:top="239" w:right="1440" w:bottom="0" w:gutter="0" w:footer="0" w:header="0"/>
          <w:type w:val="continuous"/>
        </w:sectPr>
      </w:pPr>
    </w:p>
    <w:p>
      <w:pPr>
        <w:spacing w:after="0" w:line="172"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2818 North Sullivan Road</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Spokane, Washington 99216-1897</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(509) 924-9900</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and telephone number of registrant's principal executive offices)</w:t>
      </w:r>
    </w:p>
    <w:p>
      <w:pPr>
        <w:spacing w:after="0" w:line="364" w:lineRule="exact"/>
        <w:rPr>
          <w:sz w:val="24"/>
          <w:szCs w:val="24"/>
          <w:color w:val="auto"/>
        </w:rPr>
      </w:pPr>
    </w:p>
    <w:p>
      <w:pPr>
        <w:ind w:left="663"/>
        <w:spacing w:after="0"/>
        <w:tabs>
          <w:tab w:leader="none" w:pos="4043" w:val="left"/>
          <w:tab w:leader="none" w:pos="5183" w:val="left"/>
        </w:tabs>
        <w:rPr>
          <w:sz w:val="20"/>
          <w:szCs w:val="20"/>
          <w:color w:val="auto"/>
        </w:rPr>
      </w:pPr>
      <w:r>
        <w:rPr>
          <w:rFonts w:ascii="Courier New" w:cs="Courier New" w:eastAsia="Courier New" w:hAnsi="Courier New"/>
          <w:sz w:val="16"/>
          <w:szCs w:val="16"/>
          <w:color w:val="auto"/>
        </w:rPr>
        <w:t>Indicate by check mark whether the</w:t>
        <w:tab/>
        <w:t>registrant</w:t>
      </w:r>
      <w:r>
        <w:rPr>
          <w:sz w:val="20"/>
          <w:szCs w:val="20"/>
          <w:color w:val="auto"/>
        </w:rPr>
        <w:tab/>
      </w:r>
      <w:r>
        <w:rPr>
          <w:rFonts w:ascii="Courier New" w:cs="Courier New" w:eastAsia="Courier New" w:hAnsi="Courier New"/>
          <w:sz w:val="15"/>
          <w:szCs w:val="15"/>
          <w:color w:val="auto"/>
        </w:rPr>
        <w:t>(1) has filed all reports</w:t>
      </w:r>
    </w:p>
    <w:p>
      <w:pPr>
        <w:spacing w:after="0" w:line="1" w:lineRule="exact"/>
        <w:rPr>
          <w:sz w:val="24"/>
          <w:szCs w:val="24"/>
          <w:color w:val="auto"/>
        </w:rPr>
      </w:pPr>
    </w:p>
    <w:p>
      <w:pPr>
        <w:ind w:left="183"/>
        <w:spacing w:after="0"/>
        <w:tabs>
          <w:tab w:leader="none" w:pos="6123" w:val="left"/>
        </w:tabs>
        <w:rPr>
          <w:sz w:val="20"/>
          <w:szCs w:val="20"/>
          <w:color w:val="auto"/>
        </w:rPr>
      </w:pPr>
      <w:r>
        <w:rPr>
          <w:rFonts w:ascii="Courier New" w:cs="Courier New" w:eastAsia="Courier New" w:hAnsi="Courier New"/>
          <w:sz w:val="16"/>
          <w:szCs w:val="16"/>
          <w:color w:val="auto"/>
        </w:rPr>
        <w:t>required to be filed by Section 13 or 15(d) of the Securities</w:t>
      </w:r>
      <w:r>
        <w:rPr>
          <w:sz w:val="20"/>
          <w:szCs w:val="20"/>
          <w:color w:val="auto"/>
        </w:rPr>
        <w:tab/>
      </w:r>
      <w:r>
        <w:rPr>
          <w:rFonts w:ascii="Courier New" w:cs="Courier New" w:eastAsia="Courier New" w:hAnsi="Courier New"/>
          <w:sz w:val="15"/>
          <w:szCs w:val="15"/>
          <w:color w:val="auto"/>
        </w:rPr>
        <w:t>Exchange Act of</w:t>
      </w:r>
    </w:p>
    <w:p>
      <w:pPr>
        <w:spacing w:after="0" w:line="1" w:lineRule="exact"/>
        <w:rPr>
          <w:sz w:val="24"/>
          <w:szCs w:val="24"/>
          <w:color w:val="auto"/>
        </w:rPr>
      </w:pPr>
    </w:p>
    <w:p>
      <w:pPr>
        <w:ind w:left="183"/>
        <w:spacing w:after="0"/>
        <w:tabs>
          <w:tab w:leader="none" w:pos="743" w:val="left"/>
          <w:tab w:leader="none" w:pos="1863" w:val="left"/>
          <w:tab w:leader="none" w:pos="2903" w:val="left"/>
          <w:tab w:leader="none" w:pos="5183" w:val="left"/>
          <w:tab w:leader="none" w:pos="6023" w:val="left"/>
          <w:tab w:leader="none" w:pos="6783" w:val="left"/>
        </w:tabs>
        <w:rPr>
          <w:sz w:val="20"/>
          <w:szCs w:val="20"/>
          <w:color w:val="auto"/>
        </w:rPr>
      </w:pPr>
      <w:r>
        <w:rPr>
          <w:rFonts w:ascii="Courier New" w:cs="Courier New" w:eastAsia="Courier New" w:hAnsi="Courier New"/>
          <w:sz w:val="16"/>
          <w:szCs w:val="16"/>
          <w:color w:val="auto"/>
        </w:rPr>
        <w:t>1934</w:t>
        <w:tab/>
        <w:t>during the</w:t>
        <w:tab/>
        <w:t>preceding</w:t>
        <w:tab/>
        <w:t>12 months (or for such</w:t>
        <w:tab/>
        <w:t>shorter</w:t>
        <w:tab/>
        <w:t>period</w:t>
      </w:r>
      <w:r>
        <w:rPr>
          <w:sz w:val="20"/>
          <w:szCs w:val="20"/>
          <w:color w:val="auto"/>
        </w:rPr>
        <w:tab/>
      </w:r>
      <w:r>
        <w:rPr>
          <w:rFonts w:ascii="Courier New" w:cs="Courier New" w:eastAsia="Courier New" w:hAnsi="Courier New"/>
          <w:sz w:val="15"/>
          <w:szCs w:val="15"/>
          <w:color w:val="auto"/>
        </w:rPr>
        <w:t>that the</w:t>
      </w:r>
    </w:p>
    <w:p>
      <w:pPr>
        <w:spacing w:after="0" w:line="1" w:lineRule="exact"/>
        <w:rPr>
          <w:sz w:val="24"/>
          <w:szCs w:val="24"/>
          <w:color w:val="auto"/>
        </w:rPr>
      </w:pPr>
    </w:p>
    <w:p>
      <w:pPr>
        <w:ind w:left="183"/>
        <w:spacing w:after="0"/>
        <w:tabs>
          <w:tab w:leader="none" w:pos="1303" w:val="left"/>
          <w:tab w:leader="none" w:pos="1783" w:val="left"/>
          <w:tab w:leader="none" w:pos="3943" w:val="left"/>
          <w:tab w:leader="none" w:pos="4983" w:val="left"/>
        </w:tabs>
        <w:rPr>
          <w:sz w:val="20"/>
          <w:szCs w:val="20"/>
          <w:color w:val="auto"/>
        </w:rPr>
      </w:pPr>
      <w:r>
        <w:rPr>
          <w:rFonts w:ascii="Courier New" w:cs="Courier New" w:eastAsia="Courier New" w:hAnsi="Courier New"/>
          <w:sz w:val="16"/>
          <w:szCs w:val="16"/>
          <w:color w:val="auto"/>
        </w:rPr>
        <w:t>registrant</w:t>
        <w:tab/>
        <w:t>was</w:t>
        <w:tab/>
        <w:t>required to file such</w:t>
        <w:tab/>
        <w:t>reports),</w:t>
      </w:r>
      <w:r>
        <w:rPr>
          <w:sz w:val="20"/>
          <w:szCs w:val="20"/>
          <w:color w:val="auto"/>
        </w:rPr>
        <w:tab/>
      </w:r>
      <w:r>
        <w:rPr>
          <w:rFonts w:ascii="Courier New" w:cs="Courier New" w:eastAsia="Courier New" w:hAnsi="Courier New"/>
          <w:sz w:val="15"/>
          <w:szCs w:val="15"/>
          <w:color w:val="auto"/>
        </w:rPr>
        <w:t>and (2) has been subject to</w:t>
      </w:r>
    </w:p>
    <w:p>
      <w:pPr>
        <w:spacing w:after="0" w:line="1" w:lineRule="exact"/>
        <w:rPr>
          <w:sz w:val="24"/>
          <w:szCs w:val="24"/>
          <w:color w:val="auto"/>
        </w:rPr>
      </w:pPr>
    </w:p>
    <w:p>
      <w:pPr>
        <w:ind w:left="183"/>
        <w:spacing w:after="0"/>
        <w:rPr>
          <w:sz w:val="20"/>
          <w:szCs w:val="20"/>
          <w:color w:val="auto"/>
        </w:rPr>
      </w:pPr>
      <w:r>
        <w:rPr>
          <w:rFonts w:ascii="Courier New" w:cs="Courier New" w:eastAsia="Courier New" w:hAnsi="Courier New"/>
          <w:sz w:val="16"/>
          <w:szCs w:val="16"/>
          <w:color w:val="auto"/>
        </w:rPr>
        <w:t>such filing requirements for the</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past 90 days. Yes__X___ No_____</w:t>
      </w:r>
    </w:p>
    <w:p>
      <w:pPr>
        <w:sectPr>
          <w:pgSz w:w="11900" w:h="16838" w:orient="portrait"/>
          <w:cols w:equalWidth="0" w:num="1">
            <w:col w:w="10222"/>
          </w:cols>
          <w:pgMar w:left="237" w:top="239" w:right="1440" w:bottom="0" w:gutter="0" w:footer="0" w:header="0"/>
          <w:type w:val="continuous"/>
        </w:sectPr>
      </w:pPr>
    </w:p>
    <w:p>
      <w:pPr>
        <w:spacing w:after="0" w:line="186" w:lineRule="exact"/>
        <w:rPr>
          <w:sz w:val="24"/>
          <w:szCs w:val="24"/>
          <w:color w:val="auto"/>
        </w:rPr>
      </w:pPr>
    </w:p>
    <w:p>
      <w:pPr>
        <w:jc w:val="both"/>
        <w:ind w:left="3" w:right="2659" w:firstLine="473"/>
        <w:spacing w:after="0" w:line="238" w:lineRule="auto"/>
        <w:rPr>
          <w:sz w:val="20"/>
          <w:szCs w:val="20"/>
          <w:color w:val="auto"/>
        </w:rPr>
      </w:pPr>
      <w:r>
        <w:rPr>
          <w:rFonts w:ascii="Courier New" w:cs="Courier New" w:eastAsia="Courier New" w:hAnsi="Courier New"/>
          <w:sz w:val="16"/>
          <w:szCs w:val="16"/>
          <w:color w:val="auto"/>
        </w:rPr>
        <w:t>As of July 31, 1997, there were outstanding 14,460,304 shares of the registrant's common stock, no par value, which is the only class of common or voting stock of the registrant.</w:t>
      </w:r>
    </w:p>
    <w:p>
      <w:pPr>
        <w:spacing w:after="0" w:line="370"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ITRON, INC.</w:t>
      </w:r>
    </w:p>
    <w:p>
      <w:pPr>
        <w:spacing w:after="0" w:line="364" w:lineRule="exact"/>
        <w:rPr>
          <w:sz w:val="24"/>
          <w:szCs w:val="24"/>
          <w:color w:val="auto"/>
        </w:rPr>
      </w:pPr>
    </w:p>
    <w:p>
      <w:pPr>
        <w:ind w:left="3603"/>
        <w:spacing w:after="0"/>
        <w:rPr>
          <w:sz w:val="20"/>
          <w:szCs w:val="20"/>
          <w:color w:val="auto"/>
        </w:rPr>
      </w:pPr>
      <w:r>
        <w:rPr>
          <w:rFonts w:ascii="Courier New" w:cs="Courier New" w:eastAsia="Courier New" w:hAnsi="Courier New"/>
          <w:sz w:val="16"/>
          <w:szCs w:val="16"/>
          <w:color w:val="auto"/>
        </w:rPr>
        <w:t>INDEX</w:t>
      </w: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Part 1: Financial Information</w:t>
      </w:r>
    </w:p>
    <w:p>
      <w:pPr>
        <w:spacing w:after="0" w:line="1" w:lineRule="exact"/>
        <w:rPr>
          <w:sz w:val="24"/>
          <w:szCs w:val="24"/>
          <w:color w:val="auto"/>
        </w:rPr>
      </w:pPr>
    </w:p>
    <w:p>
      <w:pPr>
        <w:ind w:left="763"/>
        <w:spacing w:after="0"/>
        <w:rPr>
          <w:sz w:val="20"/>
          <w:szCs w:val="20"/>
          <w:color w:val="auto"/>
        </w:rPr>
      </w:pPr>
      <w:r>
        <w:rPr>
          <w:rFonts w:ascii="Courier New" w:cs="Courier New" w:eastAsia="Courier New" w:hAnsi="Courier New"/>
          <w:sz w:val="16"/>
          <w:szCs w:val="16"/>
          <w:color w:val="auto"/>
        </w:rPr>
        <w:t>Page</w:t>
      </w:r>
    </w:p>
    <w:p>
      <w:pPr>
        <w:spacing w:after="0" w:line="183" w:lineRule="exact"/>
        <w:rPr>
          <w:sz w:val="24"/>
          <w:szCs w:val="24"/>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 (Unaudited)</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Consolidated Statements of</w:t>
      </w:r>
    </w:p>
    <w:p>
      <w:pPr>
        <w:spacing w:after="0" w:line="1" w:lineRule="exact"/>
        <w:rPr>
          <w:sz w:val="24"/>
          <w:szCs w:val="24"/>
          <w:color w:val="auto"/>
        </w:rPr>
      </w:pPr>
    </w:p>
    <w:p>
      <w:pPr>
        <w:ind w:left="3"/>
        <w:spacing w:after="0"/>
        <w:tabs>
          <w:tab w:leader="dot" w:pos="7443"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1</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Consolidated Balance</w:t>
      </w:r>
    </w:p>
    <w:p>
      <w:pPr>
        <w:spacing w:after="0" w:line="1" w:lineRule="exact"/>
        <w:rPr>
          <w:sz w:val="24"/>
          <w:szCs w:val="24"/>
          <w:color w:val="auto"/>
        </w:rPr>
      </w:pPr>
    </w:p>
    <w:p>
      <w:pPr>
        <w:ind w:left="3"/>
        <w:spacing w:after="0"/>
        <w:tabs>
          <w:tab w:leader="dot" w:pos="7443" w:val="left"/>
        </w:tabs>
        <w:rPr>
          <w:sz w:val="20"/>
          <w:szCs w:val="20"/>
          <w:color w:val="auto"/>
        </w:rPr>
      </w:pPr>
      <w:r>
        <w:rPr>
          <w:rFonts w:ascii="Courier New" w:cs="Courier New" w:eastAsia="Courier New" w:hAnsi="Courier New"/>
          <w:sz w:val="16"/>
          <w:szCs w:val="16"/>
          <w:color w:val="auto"/>
        </w:rPr>
        <w:t>Sheets</w:t>
      </w:r>
      <w:r>
        <w:rPr>
          <w:sz w:val="20"/>
          <w:szCs w:val="20"/>
          <w:color w:val="auto"/>
        </w:rPr>
        <w:tab/>
      </w:r>
      <w:r>
        <w:rPr>
          <w:rFonts w:ascii="Courier New" w:cs="Courier New" w:eastAsia="Courier New" w:hAnsi="Courier New"/>
          <w:sz w:val="16"/>
          <w:szCs w:val="16"/>
          <w:color w:val="auto"/>
        </w:rPr>
        <w:t>2</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Consolidated Statements of Cash</w:t>
      </w:r>
    </w:p>
    <w:p>
      <w:pPr>
        <w:spacing w:after="0" w:line="1" w:lineRule="exact"/>
        <w:rPr>
          <w:sz w:val="24"/>
          <w:szCs w:val="24"/>
          <w:color w:val="auto"/>
        </w:rPr>
      </w:pPr>
    </w:p>
    <w:p>
      <w:pPr>
        <w:ind w:left="3"/>
        <w:spacing w:after="0"/>
        <w:tabs>
          <w:tab w:leader="dot" w:pos="7443" w:val="left"/>
        </w:tabs>
        <w:rPr>
          <w:sz w:val="20"/>
          <w:szCs w:val="20"/>
          <w:color w:val="auto"/>
        </w:rPr>
      </w:pPr>
      <w:r>
        <w:rPr>
          <w:rFonts w:ascii="Courier New" w:cs="Courier New" w:eastAsia="Courier New" w:hAnsi="Courier New"/>
          <w:sz w:val="16"/>
          <w:szCs w:val="16"/>
          <w:color w:val="auto"/>
        </w:rPr>
        <w:t>Flows</w:t>
      </w:r>
      <w:r>
        <w:rPr>
          <w:sz w:val="20"/>
          <w:szCs w:val="20"/>
          <w:color w:val="auto"/>
        </w:rPr>
        <w:tab/>
      </w:r>
      <w:r>
        <w:rPr>
          <w:rFonts w:ascii="Courier New" w:cs="Courier New" w:eastAsia="Courier New" w:hAnsi="Courier New"/>
          <w:sz w:val="16"/>
          <w:szCs w:val="16"/>
          <w:color w:val="auto"/>
        </w:rPr>
        <w:t>3</w:t>
      </w:r>
    </w:p>
    <w:p>
      <w:pPr>
        <w:spacing w:after="0" w:line="183"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Notes to Consolidated Financial</w:t>
      </w:r>
    </w:p>
    <w:p>
      <w:pPr>
        <w:spacing w:after="0" w:line="1" w:lineRule="exact"/>
        <w:rPr>
          <w:sz w:val="24"/>
          <w:szCs w:val="24"/>
          <w:color w:val="auto"/>
        </w:rPr>
      </w:pPr>
    </w:p>
    <w:p>
      <w:pPr>
        <w:ind w:left="3"/>
        <w:spacing w:after="0"/>
        <w:tabs>
          <w:tab w:leader="dot" w:pos="7263"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4-5</w:t>
      </w:r>
    </w:p>
    <w:p>
      <w:pPr>
        <w:spacing w:after="0" w:line="183" w:lineRule="exact"/>
        <w:rPr>
          <w:sz w:val="24"/>
          <w:szCs w:val="24"/>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1"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and Results of</w:t>
      </w:r>
    </w:p>
    <w:p>
      <w:pPr>
        <w:spacing w:after="0" w:line="1" w:lineRule="exact"/>
        <w:rPr>
          <w:sz w:val="24"/>
          <w:szCs w:val="24"/>
          <w:color w:val="auto"/>
        </w:rPr>
      </w:pPr>
    </w:p>
    <w:p>
      <w:pPr>
        <w:ind w:left="3"/>
        <w:spacing w:after="0"/>
        <w:tabs>
          <w:tab w:leader="dot" w:pos="7263"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5"/>
          <w:szCs w:val="15"/>
          <w:color w:val="auto"/>
        </w:rPr>
        <w:t>6-9</w:t>
      </w:r>
    </w:p>
    <w:p>
      <w:pPr>
        <w:spacing w:after="0" w:line="183" w:lineRule="exact"/>
        <w:rPr>
          <w:sz w:val="24"/>
          <w:szCs w:val="24"/>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Part 2:</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4"/>
          <w:szCs w:val="24"/>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1:</w:t>
        <w:tab/>
        <w:t>Legal</w:t>
      </w:r>
    </w:p>
    <w:p>
      <w:pPr>
        <w:sectPr>
          <w:pgSz w:w="11900" w:h="16838" w:orient="portrait"/>
          <w:cols w:equalWidth="0" w:num="1">
            <w:col w:w="10222"/>
          </w:cols>
          <w:pgMar w:left="237" w:top="239" w:right="1440" w:bottom="0" w:gutter="0" w:footer="0" w:header="0"/>
          <w:type w:val="continuous"/>
        </w:sectPr>
      </w:pPr>
    </w:p>
    <w:bookmarkStart w:id="1" w:name="page2"/>
    <w:bookmarkEnd w:id="1"/>
    <w:p>
      <w:pPr>
        <w:spacing w:after="0"/>
        <w:tabs>
          <w:tab w:leader="dot" w:pos="7360" w:val="left"/>
        </w:tabs>
        <w:rPr>
          <w:sz w:val="20"/>
          <w:szCs w:val="20"/>
          <w:color w:val="auto"/>
        </w:rPr>
      </w:pPr>
      <w:r>
        <w:rPr>
          <w:rFonts w:ascii="Courier New" w:cs="Courier New" w:eastAsia="Courier New" w:hAnsi="Courier New"/>
          <w:sz w:val="16"/>
          <w:szCs w:val="16"/>
          <w:color w:val="auto"/>
        </w:rPr>
        <w:t>Proceedings</w:t>
      </w:r>
      <w:r>
        <w:rPr>
          <w:sz w:val="20"/>
          <w:szCs w:val="20"/>
          <w:color w:val="auto"/>
        </w:rPr>
        <w:tab/>
      </w:r>
      <w:r>
        <w:rPr>
          <w:rFonts w:ascii="Courier New" w:cs="Courier New" w:eastAsia="Courier New" w:hAnsi="Courier New"/>
          <w:sz w:val="15"/>
          <w:szCs w:val="15"/>
          <w:color w:val="auto"/>
        </w:rPr>
        <w:t>10</w:t>
      </w:r>
    </w:p>
    <w:p>
      <w:pPr>
        <w:spacing w:after="0" w:line="183" w:lineRule="exact"/>
        <w:rPr>
          <w:sz w:val="20"/>
          <w:szCs w:val="20"/>
          <w:color w:val="auto"/>
        </w:rPr>
      </w:pPr>
    </w:p>
    <w:p>
      <w:pPr>
        <w:spacing w:after="0"/>
        <w:tabs>
          <w:tab w:leader="none" w:pos="820" w:val="left"/>
          <w:tab w:leader="dot" w:pos="73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r>
        <w:rPr>
          <w:sz w:val="20"/>
          <w:szCs w:val="20"/>
          <w:color w:val="auto"/>
        </w:rPr>
        <w:tab/>
      </w:r>
      <w:r>
        <w:rPr>
          <w:rFonts w:ascii="Courier New" w:cs="Courier New" w:eastAsia="Courier New" w:hAnsi="Courier New"/>
          <w:sz w:val="15"/>
          <w:szCs w:val="15"/>
          <w:color w:val="auto"/>
        </w:rPr>
        <w:t>10</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w:t>
      </w:r>
    </w:p>
    <w:p>
      <w:pPr>
        <w:spacing w:after="0" w:line="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8-K</w:t>
      </w:r>
      <w:r>
        <w:rPr>
          <w:sz w:val="20"/>
          <w:szCs w:val="20"/>
          <w:color w:val="auto"/>
        </w:rPr>
        <w:tab/>
      </w:r>
      <w:r>
        <w:rPr>
          <w:rFonts w:ascii="Courier New" w:cs="Courier New" w:eastAsia="Courier New" w:hAnsi="Courier New"/>
          <w:sz w:val="15"/>
          <w:szCs w:val="15"/>
          <w:color w:val="auto"/>
        </w:rPr>
        <w:t>11</w:t>
      </w:r>
    </w:p>
    <w:p>
      <w:pPr>
        <w:spacing w:after="0" w:line="183"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5"/>
          <w:szCs w:val="15"/>
          <w:color w:val="auto"/>
        </w:rPr>
        <w:t>12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11 - Statement re Computation of Per Share</w:t>
      </w:r>
    </w:p>
    <w:p>
      <w:pPr>
        <w:spacing w:after="0" w:line="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Earnings</w:t>
      </w:r>
      <w:r>
        <w:rPr>
          <w:sz w:val="20"/>
          <w:szCs w:val="20"/>
          <w:color w:val="auto"/>
        </w:rPr>
        <w:tab/>
      </w:r>
      <w:r>
        <w:rPr>
          <w:rFonts w:ascii="Courier New" w:cs="Courier New" w:eastAsia="Courier New" w:hAnsi="Courier New"/>
          <w:sz w:val="15"/>
          <w:szCs w:val="15"/>
          <w:color w:val="auto"/>
        </w:rPr>
        <w:t>13</w:t>
      </w:r>
    </w:p>
    <w:p>
      <w:pPr>
        <w:sectPr>
          <w:pgSz w:w="11900" w:h="16838" w:orient="portrait"/>
          <w:cols w:equalWidth="0" w:num="1">
            <w:col w:w="10219"/>
          </w:cols>
          <w:pgMar w:left="240" w:top="138" w:right="1440" w:bottom="1440" w:gutter="0" w:footer="0" w:header="0"/>
        </w:sectPr>
      </w:pPr>
    </w:p>
    <w:bookmarkStart w:id="2" w:name="page3"/>
    <w:bookmarkEnd w:id="2"/>
    <w:p>
      <w:pPr>
        <w:ind w:left="2840"/>
        <w:spacing w:after="0"/>
        <w:rPr>
          <w:sz w:val="20"/>
          <w:szCs w:val="20"/>
          <w:color w:val="auto"/>
        </w:rPr>
      </w:pPr>
      <w:r>
        <w:rPr>
          <w:rFonts w:ascii="Courier New" w:cs="Courier New" w:eastAsia="Courier New" w:hAnsi="Courier New"/>
          <w:sz w:val="16"/>
          <w:szCs w:val="16"/>
          <w:color w:val="auto"/>
        </w:rPr>
        <w:t>Part 1: Financial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ITRON, INC.</w:t>
      </w:r>
    </w:p>
    <w:p>
      <w:pPr>
        <w:spacing w:after="0" w:line="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40" w:type="dxa"/>
            <w:vAlign w:val="bottom"/>
            <w:gridSpan w:val="6"/>
          </w:tcPr>
          <w:p>
            <w:pPr>
              <w:ind w:left="2920"/>
              <w:spacing w:after="0"/>
              <w:rPr>
                <w:sz w:val="20"/>
                <w:szCs w:val="20"/>
                <w:color w:val="auto"/>
              </w:rPr>
            </w:pPr>
            <w:r>
              <w:rPr>
                <w:rFonts w:ascii="Courier New" w:cs="Courier New" w:eastAsia="Courier New" w:hAnsi="Courier New"/>
                <w:sz w:val="16"/>
                <w:szCs w:val="16"/>
                <w:color w:val="auto"/>
              </w:rPr>
              <w:t>(Unaudited, in thousands, except per share data)</w:t>
            </w: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4"/>
        </w:trPr>
        <w:tc>
          <w:tcPr>
            <w:tcW w:w="3960" w:type="dxa"/>
            <w:vAlign w:val="bottom"/>
          </w:tcPr>
          <w:p>
            <w:pPr>
              <w:spacing w:after="0"/>
              <w:rPr>
                <w:sz w:val="24"/>
                <w:szCs w:val="24"/>
                <w:color w:val="auto"/>
              </w:rPr>
            </w:pPr>
          </w:p>
        </w:tc>
        <w:tc>
          <w:tcPr>
            <w:tcW w:w="322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rPr>
              <w:t>Three months ended June 30,</w:t>
            </w:r>
          </w:p>
        </w:tc>
        <w:tc>
          <w:tcPr>
            <w:tcW w:w="3220" w:type="dxa"/>
            <w:vAlign w:val="bottom"/>
            <w:gridSpan w:val="4"/>
          </w:tcPr>
          <w:p>
            <w:pPr>
              <w:jc w:val="right"/>
              <w:ind w:right="581"/>
              <w:spacing w:after="0"/>
              <w:rPr>
                <w:sz w:val="20"/>
                <w:szCs w:val="20"/>
                <w:color w:val="auto"/>
              </w:rPr>
            </w:pPr>
            <w:r>
              <w:rPr>
                <w:rFonts w:ascii="Courier New" w:cs="Courier New" w:eastAsia="Courier New" w:hAnsi="Courier New"/>
                <w:sz w:val="16"/>
                <w:szCs w:val="16"/>
                <w:color w:val="auto"/>
              </w:rPr>
              <w:t>Six months ended June 30,</w:t>
            </w:r>
          </w:p>
        </w:tc>
      </w:tr>
      <w:tr>
        <w:trPr>
          <w:trHeight w:val="546"/>
        </w:trPr>
        <w:tc>
          <w:tcPr>
            <w:tcW w:w="3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88"/>
              </w:rPr>
              <w:t>1997</w:t>
            </w:r>
          </w:p>
        </w:tc>
        <w:tc>
          <w:tcPr>
            <w:tcW w:w="460" w:type="dxa"/>
            <w:vAlign w:val="bottom"/>
          </w:tcPr>
          <w:p>
            <w:pPr>
              <w:spacing w:after="0"/>
              <w:rPr>
                <w:sz w:val="24"/>
                <w:szCs w:val="24"/>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3"/>
              </w:rPr>
              <w:t>1996</w:t>
            </w:r>
          </w:p>
        </w:tc>
        <w:tc>
          <w:tcPr>
            <w:tcW w:w="760" w:type="dxa"/>
            <w:vAlign w:val="bottom"/>
          </w:tcPr>
          <w:p>
            <w:pPr>
              <w:spacing w:after="0"/>
              <w:rPr>
                <w:sz w:val="24"/>
                <w:szCs w:val="24"/>
                <w:color w:val="auto"/>
              </w:rPr>
            </w:pPr>
          </w:p>
        </w:tc>
        <w:tc>
          <w:tcPr>
            <w:tcW w:w="10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1997</w:t>
            </w:r>
          </w:p>
        </w:tc>
        <w:tc>
          <w:tcPr>
            <w:tcW w:w="520" w:type="dxa"/>
            <w:vAlign w:val="bottom"/>
          </w:tcPr>
          <w:p>
            <w:pPr>
              <w:spacing w:after="0"/>
              <w:rPr>
                <w:sz w:val="24"/>
                <w:szCs w:val="24"/>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1996</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AMR systems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$ 32,644</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$ 35,006</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$ 57,904</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$ 69,605</w:t>
            </w: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Handheld systems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13,465</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13,102</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23,025</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23,860</w:t>
            </w: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Outsourcing services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6,623</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12,386</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2,782</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Total revenues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52,732</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48,195</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93,315</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96,247</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Cost of sales and services</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AMR systems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19,699</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20,444</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34,853</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38,499</w:t>
            </w: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Handheld systems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9,101</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6,699</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16,070</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13,273</w:t>
            </w: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Outsourcing services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4,641</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9,482</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1,979</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ind w:left="560"/>
              <w:spacing w:after="0"/>
              <w:rPr>
                <w:sz w:val="20"/>
                <w:szCs w:val="20"/>
                <w:color w:val="auto"/>
              </w:rPr>
            </w:pPr>
            <w:r>
              <w:rPr>
                <w:rFonts w:ascii="Courier New" w:cs="Courier New" w:eastAsia="Courier New" w:hAnsi="Courier New"/>
                <w:sz w:val="16"/>
                <w:szCs w:val="16"/>
                <w:color w:val="auto"/>
              </w:rPr>
              <w:t>Total costs of sales and services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33,441</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27,201</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60,405</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53,751</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680" w:type="dxa"/>
            <w:vAlign w:val="bottom"/>
          </w:tcPr>
          <w:p>
            <w:pPr>
              <w:spacing w:after="0"/>
              <w:rPr>
                <w:sz w:val="24"/>
                <w:szCs w:val="24"/>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19,291</w:t>
            </w:r>
          </w:p>
        </w:tc>
        <w:tc>
          <w:tcPr>
            <w:tcW w:w="46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20,994</w:t>
            </w:r>
          </w:p>
        </w:tc>
        <w:tc>
          <w:tcPr>
            <w:tcW w:w="76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32,910</w:t>
            </w:r>
          </w:p>
        </w:tc>
        <w:tc>
          <w:tcPr>
            <w:tcW w:w="5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42,496</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3960" w:type="dxa"/>
            <w:vAlign w:val="bottom"/>
          </w:tcPr>
          <w:p>
            <w:pPr>
              <w:ind w:left="280"/>
              <w:spacing w:after="0"/>
              <w:rPr>
                <w:sz w:val="20"/>
                <w:szCs w:val="20"/>
                <w:color w:val="auto"/>
              </w:rPr>
            </w:pPr>
            <w:r>
              <w:rPr>
                <w:rFonts w:ascii="Courier New" w:cs="Courier New" w:eastAsia="Courier New" w:hAnsi="Courier New"/>
                <w:sz w:val="16"/>
                <w:szCs w:val="16"/>
                <w:color w:val="auto"/>
              </w:rPr>
              <w:t>Sales and marketing</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7,060</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6,594</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14,585</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13,162</w:t>
            </w:r>
          </w:p>
        </w:tc>
      </w:tr>
      <w:tr>
        <w:trPr>
          <w:trHeight w:val="182"/>
        </w:trPr>
        <w:tc>
          <w:tcPr>
            <w:tcW w:w="3960" w:type="dxa"/>
            <w:vAlign w:val="bottom"/>
          </w:tcPr>
          <w:p>
            <w:pPr>
              <w:ind w:left="280"/>
              <w:spacing w:after="0"/>
              <w:rPr>
                <w:sz w:val="20"/>
                <w:szCs w:val="20"/>
                <w:color w:val="auto"/>
              </w:rPr>
            </w:pPr>
            <w:r>
              <w:rPr>
                <w:rFonts w:ascii="Courier New" w:cs="Courier New" w:eastAsia="Courier New" w:hAnsi="Courier New"/>
                <w:sz w:val="16"/>
                <w:szCs w:val="16"/>
                <w:color w:val="auto"/>
              </w:rPr>
              <w:t>Product development</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8,073</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7,686</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15,402</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15,061</w:t>
            </w:r>
          </w:p>
        </w:tc>
      </w:tr>
      <w:tr>
        <w:trPr>
          <w:trHeight w:val="182"/>
        </w:trPr>
        <w:tc>
          <w:tcPr>
            <w:tcW w:w="396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3,277</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2,446</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5,701</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5,448</w:t>
            </w:r>
          </w:p>
        </w:tc>
      </w:tr>
      <w:tr>
        <w:trPr>
          <w:trHeight w:val="182"/>
        </w:trPr>
        <w:tc>
          <w:tcPr>
            <w:tcW w:w="396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intangibles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540</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362</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1,077</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694</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ind w:left="280"/>
              <w:spacing w:after="0"/>
              <w:rPr>
                <w:sz w:val="20"/>
                <w:szCs w:val="20"/>
                <w:color w:val="auto"/>
              </w:rPr>
            </w:pPr>
            <w:r>
              <w:rPr>
                <w:rFonts w:ascii="Courier New" w:cs="Courier New" w:eastAsia="Courier New" w:hAnsi="Courier New"/>
                <w:sz w:val="16"/>
                <w:szCs w:val="16"/>
                <w:color w:val="auto"/>
              </w:rPr>
              <w:t>Total operating expenses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18,950</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17,088</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36,765</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34,365</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680" w:type="dxa"/>
            <w:vAlign w:val="bottom"/>
          </w:tcPr>
          <w:p>
            <w:pPr>
              <w:spacing w:after="0"/>
              <w:rPr>
                <w:sz w:val="24"/>
                <w:szCs w:val="24"/>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341</w:t>
            </w:r>
          </w:p>
        </w:tc>
        <w:tc>
          <w:tcPr>
            <w:tcW w:w="46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3,906</w:t>
            </w:r>
          </w:p>
        </w:tc>
        <w:tc>
          <w:tcPr>
            <w:tcW w:w="76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(3,855)</w:t>
            </w:r>
          </w:p>
        </w:tc>
        <w:tc>
          <w:tcPr>
            <w:tcW w:w="5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8,131</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Interest and other, net</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(1,326)</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(2,389)</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282</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680" w:type="dxa"/>
            <w:vAlign w:val="bottom"/>
          </w:tcPr>
          <w:p>
            <w:pPr>
              <w:spacing w:after="0"/>
              <w:rPr>
                <w:sz w:val="24"/>
                <w:szCs w:val="24"/>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(985)</w:t>
            </w:r>
          </w:p>
        </w:tc>
        <w:tc>
          <w:tcPr>
            <w:tcW w:w="46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3,915</w:t>
            </w:r>
          </w:p>
        </w:tc>
        <w:tc>
          <w:tcPr>
            <w:tcW w:w="76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(6,244)</w:t>
            </w:r>
          </w:p>
        </w:tc>
        <w:tc>
          <w:tcPr>
            <w:tcW w:w="5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8,413</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Benefit (provision) for income taxes</w:t>
            </w:r>
          </w:p>
        </w:tc>
        <w:tc>
          <w:tcPr>
            <w:tcW w:w="68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310</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(1,560)</w:t>
            </w:r>
          </w:p>
        </w:tc>
        <w:tc>
          <w:tcPr>
            <w:tcW w:w="76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2,310</w:t>
            </w:r>
          </w:p>
        </w:tc>
        <w:tc>
          <w:tcPr>
            <w:tcW w:w="5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(3,030)</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(675)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2,355</w:t>
            </w:r>
          </w:p>
        </w:tc>
        <w:tc>
          <w:tcPr>
            <w:tcW w:w="760" w:type="dxa"/>
            <w:vAlign w:val="bottom"/>
          </w:tcPr>
          <w:p>
            <w:pPr>
              <w:spacing w:after="0"/>
              <w:rPr>
                <w:sz w:val="24"/>
                <w:szCs w:val="24"/>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 (3,934)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5,383</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income (loss) per share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(0.05)</w:t>
            </w:r>
          </w:p>
        </w:tc>
        <w:tc>
          <w:tcPr>
            <w:tcW w:w="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(0.28)</w:t>
            </w:r>
          </w:p>
        </w:tc>
        <w:tc>
          <w:tcPr>
            <w:tcW w:w="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0.38</w:t>
            </w:r>
          </w:p>
        </w:tc>
      </w:tr>
      <w:tr>
        <w:trPr>
          <w:trHeight w:val="182"/>
        </w:trPr>
        <w:tc>
          <w:tcPr>
            <w:tcW w:w="3960" w:type="dxa"/>
            <w:vAlign w:val="bottom"/>
          </w:tcPr>
          <w:p>
            <w:pPr>
              <w:spacing w:after="0"/>
              <w:rPr>
                <w:sz w:val="15"/>
                <w:szCs w:val="15"/>
                <w:color w:val="auto"/>
              </w:rPr>
            </w:pP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400"/>
          </w:cols>
          <w:pgMar w:left="240" w:top="841" w:right="1259" w:bottom="1440" w:gutter="0" w:footer="0" w:header="0"/>
        </w:sectPr>
      </w:pPr>
    </w:p>
    <w:bookmarkStart w:id="3" w:name="page4"/>
    <w:bookmarkEnd w:id="3"/>
    <w:p>
      <w:pPr>
        <w:jc w:val="center"/>
        <w:ind w:right="-99"/>
        <w:spacing w:after="0"/>
        <w:rPr>
          <w:sz w:val="20"/>
          <w:szCs w:val="20"/>
          <w:color w:val="auto"/>
        </w:rPr>
      </w:pPr>
      <w:r>
        <w:rPr>
          <w:rFonts w:ascii="Courier New" w:cs="Courier New" w:eastAsia="Courier New" w:hAnsi="Courier New"/>
          <w:sz w:val="16"/>
          <w:szCs w:val="16"/>
          <w:color w:val="auto"/>
        </w:rPr>
        <w:t>ITRON, INC.</w:t>
      </w:r>
    </w:p>
    <w:p>
      <w:pPr>
        <w:spacing w:after="0" w:line="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(Unaudited,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30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June 30,</w:t>
            </w:r>
          </w:p>
        </w:tc>
        <w:tc>
          <w:tcPr>
            <w:tcW w:w="222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5160" w:type="dxa"/>
            <w:vAlign w:val="bottom"/>
          </w:tcPr>
          <w:p>
            <w:pPr>
              <w:spacing w:after="0"/>
              <w:rPr>
                <w:sz w:val="15"/>
                <w:szCs w:val="15"/>
                <w:color w:val="auto"/>
              </w:rPr>
            </w:pPr>
          </w:p>
        </w:tc>
        <w:tc>
          <w:tcPr>
            <w:tcW w:w="3020" w:type="dxa"/>
            <w:vAlign w:val="bottom"/>
            <w:gridSpan w:val="2"/>
          </w:tcPr>
          <w:p>
            <w:pPr>
              <w:ind w:left="1640"/>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spacing w:after="0"/>
              <w:rPr>
                <w:sz w:val="15"/>
                <w:szCs w:val="15"/>
                <w:color w:val="auto"/>
              </w:rPr>
            </w:pPr>
          </w:p>
        </w:tc>
        <w:tc>
          <w:tcPr>
            <w:tcW w:w="11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1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8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20,364</w:t>
            </w:r>
          </w:p>
        </w:tc>
        <w:tc>
          <w:tcPr>
            <w:tcW w:w="104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2,243</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38,183</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44,376</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29,498</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33,837</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net</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6,483</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4,171</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3,854</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6,116</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98,382</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90,743</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1840" w:type="dxa"/>
            <w:vAlign w:val="bottom"/>
          </w:tcPr>
          <w:p>
            <w:pPr>
              <w:spacing w:after="0"/>
              <w:rPr>
                <w:sz w:val="24"/>
                <w:szCs w:val="24"/>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51,213</w:t>
            </w:r>
          </w:p>
        </w:tc>
        <w:tc>
          <w:tcPr>
            <w:tcW w:w="1040" w:type="dxa"/>
            <w:vAlign w:val="bottom"/>
          </w:tcPr>
          <w:p>
            <w:pPr>
              <w:spacing w:after="0"/>
              <w:rPr>
                <w:sz w:val="24"/>
                <w:szCs w:val="24"/>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51,699</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Equipment used in outsourcing, net</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32,948</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19,650</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21,696</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23,344</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Long-term contracts receivable</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10,662</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1,187</w:t>
            </w: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754</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798</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0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$ 215,655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187,421</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Bank line of credit</w:t>
            </w:r>
          </w:p>
        </w:tc>
        <w:tc>
          <w:tcPr>
            <w:tcW w:w="1840" w:type="dxa"/>
            <w:vAlign w:val="bottom"/>
          </w:tcPr>
          <w:p>
            <w:pPr>
              <w:ind w:left="16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33,062</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25,389</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24,675</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5,951</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6,767</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31,340</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64,504</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Noncurrent liabilities</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Mortgage notes payable</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6,440</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6,440</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Subordinated notes payable</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61,238</w:t>
            </w:r>
          </w:p>
        </w:tc>
        <w:tc>
          <w:tcPr>
            <w:tcW w:w="104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Project financing</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831</w:t>
            </w:r>
          </w:p>
        </w:tc>
        <w:tc>
          <w:tcPr>
            <w:tcW w:w="104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Warranty and other obligations</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1,973</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2,255</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Total noncurrent liabilities</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70,482</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8,695</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102,504</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98,686</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11,371</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15,305</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(42)</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160" w:type="dxa"/>
            <w:vAlign w:val="bottom"/>
          </w:tcPr>
          <w:p>
            <w:pPr>
              <w:ind w:left="280"/>
              <w:spacing w:after="0"/>
              <w:rPr>
                <w:sz w:val="20"/>
                <w:szCs w:val="20"/>
                <w:color w:val="auto"/>
              </w:rPr>
            </w:pPr>
            <w:r>
              <w:rPr>
                <w:rFonts w:ascii="Courier New" w:cs="Courier New" w:eastAsia="Courier New" w:hAnsi="Courier New"/>
                <w:sz w:val="16"/>
                <w:szCs w:val="16"/>
                <w:color w:val="auto"/>
              </w:rPr>
              <w:t>Total shareholders' equity</w:t>
            </w:r>
          </w:p>
        </w:tc>
        <w:tc>
          <w:tcPr>
            <w:tcW w:w="18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113,833</w:t>
            </w:r>
          </w:p>
        </w:tc>
        <w:tc>
          <w:tcPr>
            <w:tcW w:w="104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114,222</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16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 equity</w:t>
            </w:r>
          </w:p>
        </w:tc>
        <w:tc>
          <w:tcPr>
            <w:tcW w:w="30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$ 215,655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187,421</w:t>
            </w:r>
          </w:p>
        </w:tc>
      </w:tr>
      <w:tr>
        <w:trPr>
          <w:trHeight w:val="182"/>
        </w:trPr>
        <w:tc>
          <w:tcPr>
            <w:tcW w:w="5160" w:type="dxa"/>
            <w:vAlign w:val="bottom"/>
          </w:tcPr>
          <w:p>
            <w:pPr>
              <w:spacing w:after="0"/>
              <w:rPr>
                <w:sz w:val="15"/>
                <w:szCs w:val="15"/>
                <w:color w:val="auto"/>
              </w:rPr>
            </w:pPr>
          </w:p>
        </w:tc>
        <w:tc>
          <w:tcPr>
            <w:tcW w:w="30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400"/>
          </w:cols>
          <w:pgMar w:left="240" w:top="1205" w:right="1259" w:bottom="1440" w:gutter="0" w:footer="0" w:header="0"/>
        </w:sectPr>
      </w:pPr>
    </w:p>
    <w:bookmarkStart w:id="4" w:name="page5"/>
    <w:bookmarkEnd w:id="4"/>
    <w:p>
      <w:pPr>
        <w:jc w:val="center"/>
        <w:ind w:right="-280"/>
        <w:spacing w:after="0"/>
        <w:rPr>
          <w:sz w:val="20"/>
          <w:szCs w:val="20"/>
          <w:color w:val="auto"/>
        </w:rPr>
      </w:pPr>
      <w:r>
        <w:rPr>
          <w:rFonts w:ascii="Courier New" w:cs="Courier New" w:eastAsia="Courier New" w:hAnsi="Courier New"/>
          <w:sz w:val="16"/>
          <w:szCs w:val="16"/>
          <w:color w:val="auto"/>
        </w:rPr>
        <w:t>ITRON, INC.</w:t>
      </w:r>
    </w:p>
    <w:p>
      <w:pPr>
        <w:spacing w:after="0" w:line="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(Unaudited,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74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Six months ended June 30,</w:t>
            </w:r>
          </w:p>
        </w:tc>
      </w:tr>
      <w:tr>
        <w:trPr>
          <w:trHeight w:val="182"/>
        </w:trPr>
        <w:tc>
          <w:tcPr>
            <w:tcW w:w="5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56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8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42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(3,934)</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5,383</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Noncash charges (credits) to income:</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8,101</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4,676</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Deferred income taxes</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(2,300)</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1,106</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Changes in operating accounts:</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Accounts receivable</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6,193</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(9,166)</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Inventories</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4,339</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(10,153)</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Accounts payable and accrued expenses</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5,663</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Long-term contracts receivable</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(9,475)</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(4,844)</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Deferred revenue</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(816)</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(520)</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Other, net</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(2,836)</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(3,144)</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Cash provided (used) by operating activities</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4,838</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(10,999)</w:t>
            </w:r>
          </w:p>
        </w:tc>
      </w:tr>
      <w:tr>
        <w:trPr>
          <w:trHeight w:val="364"/>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4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25,074</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Acquisition of property, plant  and equipment</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(5,452)</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(15,453)</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Equipment used in outsourcing</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(16,677)</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(2,036)</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Proceeds from sale of outsourcing equipment</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3,035</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(3,642)</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Cash provided (used) by investing activities</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(19,168)</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3,943</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Change in bank line of credit, net</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(33,062)</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3,162</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Mortgage notes payable</w:t>
            </w:r>
          </w:p>
        </w:tc>
        <w:tc>
          <w:tcPr>
            <w:tcW w:w="14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840</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Borrowings under subordinated debt, net</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61,238</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Project financing</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831</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Issuance of common stock</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3,480</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2,709</w:t>
            </w:r>
          </w:p>
        </w:tc>
      </w:tr>
      <w:tr>
        <w:trPr>
          <w:trHeight w:val="182"/>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42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(237)</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Cash provided by financing activities</w:t>
            </w:r>
          </w:p>
        </w:tc>
        <w:tc>
          <w:tcPr>
            <w:tcW w:w="142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32,451</w:t>
            </w:r>
          </w:p>
        </w:tc>
        <w:tc>
          <w:tcPr>
            <w:tcW w:w="56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6,474</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Increase in cash and equivalents</w:t>
            </w:r>
          </w:p>
        </w:tc>
        <w:tc>
          <w:tcPr>
            <w:tcW w:w="1420" w:type="dxa"/>
            <w:vAlign w:val="bottom"/>
          </w:tcPr>
          <w:p>
            <w:pPr>
              <w:spacing w:after="0"/>
              <w:rPr>
                <w:sz w:val="24"/>
                <w:szCs w:val="24"/>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18,121</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(582)</w:t>
            </w:r>
          </w:p>
        </w:tc>
      </w:tr>
      <w:tr>
        <w:trPr>
          <w:trHeight w:val="364"/>
        </w:trPr>
        <w:tc>
          <w:tcPr>
            <w:tcW w:w="58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420" w:type="dxa"/>
            <w:vAlign w:val="bottom"/>
          </w:tcPr>
          <w:p>
            <w:pPr>
              <w:spacing w:after="0"/>
              <w:rPr>
                <w:sz w:val="24"/>
                <w:szCs w:val="24"/>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2,243</w:t>
            </w: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6,473</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420" w:type="dxa"/>
            <w:vAlign w:val="bottom"/>
          </w:tcPr>
          <w:p>
            <w:pPr>
              <w:ind w:left="1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20,364</w:t>
            </w:r>
          </w:p>
        </w:tc>
        <w:tc>
          <w:tcPr>
            <w:tcW w:w="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5,891</w:t>
            </w:r>
          </w:p>
        </w:tc>
      </w:tr>
      <w:tr>
        <w:trPr>
          <w:trHeight w:val="182"/>
        </w:trPr>
        <w:tc>
          <w:tcPr>
            <w:tcW w:w="5860" w:type="dxa"/>
            <w:vAlign w:val="bottom"/>
          </w:tcPr>
          <w:p>
            <w:pPr>
              <w:spacing w:after="0"/>
              <w:rPr>
                <w:sz w:val="15"/>
                <w:szCs w:val="15"/>
                <w:color w:val="auto"/>
              </w:rPr>
            </w:pPr>
          </w:p>
        </w:tc>
        <w:tc>
          <w:tcPr>
            <w:tcW w:w="27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219"/>
          </w:cols>
          <w:pgMar w:left="240" w:top="1205" w:right="1440" w:bottom="1440" w:gutter="0" w:footer="0" w:header="0"/>
        </w:sectPr>
      </w:pPr>
    </w:p>
    <w:bookmarkStart w:id="5" w:name="page6"/>
    <w:bookmarkEnd w:id="5"/>
    <w:p>
      <w:pPr>
        <w:jc w:val="center"/>
        <w:ind w:right="1320"/>
        <w:spacing w:after="0"/>
        <w:rPr>
          <w:sz w:val="20"/>
          <w:szCs w:val="20"/>
          <w:color w:val="auto"/>
        </w:rPr>
      </w:pPr>
      <w:r>
        <w:rPr>
          <w:rFonts w:ascii="Courier New" w:cs="Courier New" w:eastAsia="Courier New" w:hAnsi="Courier New"/>
          <w:sz w:val="16"/>
          <w:szCs w:val="16"/>
          <w:color w:val="auto"/>
        </w:rPr>
        <w:t>ITRON, INC.</w:t>
      </w:r>
    </w:p>
    <w:p>
      <w:pPr>
        <w:spacing w:after="0" w:line="1"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JUNE 30, 1997</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Basis of Presentation</w:t>
      </w:r>
    </w:p>
    <w:p>
      <w:pPr>
        <w:spacing w:after="0" w:line="186" w:lineRule="exact"/>
        <w:rPr>
          <w:sz w:val="20"/>
          <w:szCs w:val="20"/>
          <w:color w:val="auto"/>
        </w:rPr>
      </w:pPr>
    </w:p>
    <w:p>
      <w:pPr>
        <w:jc w:val="both"/>
        <w:ind w:right="1420"/>
        <w:spacing w:after="0" w:line="257"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and six month periods ended June 30, 1997.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1996, as filed with the Securities and Exchange Commission on March 5, 1997.</w:t>
      </w:r>
    </w:p>
    <w:p>
      <w:pPr>
        <w:spacing w:after="0" w:line="181" w:lineRule="exact"/>
        <w:rPr>
          <w:sz w:val="20"/>
          <w:szCs w:val="20"/>
          <w:color w:val="auto"/>
        </w:rPr>
      </w:pPr>
    </w:p>
    <w:p>
      <w:pPr>
        <w:jc w:val="both"/>
        <w:ind w:right="1420"/>
        <w:spacing w:after="0" w:line="239" w:lineRule="auto"/>
        <w:rPr>
          <w:sz w:val="20"/>
          <w:szCs w:val="20"/>
          <w:color w:val="auto"/>
        </w:rPr>
      </w:pPr>
      <w:r>
        <w:rPr>
          <w:rFonts w:ascii="Courier New" w:cs="Courier New" w:eastAsia="Courier New" w:hAnsi="Courier New"/>
          <w:sz w:val="16"/>
          <w:szCs w:val="16"/>
          <w:color w:val="auto"/>
        </w:rPr>
        <w:t>The Company reports revenue in three categories: AMR (automatic meter reading) systems, Handheld Systems (EMR or electronic meter reading), and Outsourcing. AMR and Handheld Systems revenues include all product and other revenue associated with each business segment. Outsourcing includes revenues for contracts under which the Company may install, own, and operate an AMR system to provide meter reading and advanced communications services over a period of time, typically 15 years.</w:t>
      </w:r>
    </w:p>
    <w:p>
      <w:pPr>
        <w:spacing w:after="0" w:line="192" w:lineRule="exact"/>
        <w:rPr>
          <w:sz w:val="20"/>
          <w:szCs w:val="20"/>
          <w:color w:val="auto"/>
        </w:rPr>
      </w:pPr>
    </w:p>
    <w:p>
      <w:pPr>
        <w:jc w:val="both"/>
        <w:ind w:right="1420"/>
        <w:spacing w:after="0" w:line="238" w:lineRule="auto"/>
        <w:rPr>
          <w:sz w:val="20"/>
          <w:szCs w:val="20"/>
          <w:color w:val="auto"/>
        </w:rPr>
      </w:pPr>
      <w:r>
        <w:rPr>
          <w:rFonts w:ascii="Courier New" w:cs="Courier New" w:eastAsia="Courier New" w:hAnsi="Courier New"/>
          <w:sz w:val="16"/>
          <w:szCs w:val="16"/>
          <w:color w:val="auto"/>
        </w:rPr>
        <w:t>The results of operations for the three and six month periods ended June 30, 1997, are not necessarily indicative of the results expected for the full fiscal year or for any other fiscal period.</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Balance Sheet Components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Inventories (unaudited, in thousands):</w:t>
            </w:r>
          </w:p>
        </w:tc>
        <w:tc>
          <w:tcPr>
            <w:tcW w:w="242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June 30,</w:t>
            </w:r>
          </w:p>
        </w:tc>
      </w:tr>
      <w:tr>
        <w:trPr>
          <w:trHeight w:val="182"/>
        </w:trPr>
        <w:tc>
          <w:tcPr>
            <w:tcW w:w="53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r>
      <w:tr>
        <w:trPr>
          <w:trHeight w:val="364"/>
        </w:trPr>
        <w:tc>
          <w:tcPr>
            <w:tcW w:w="5340" w:type="dxa"/>
            <w:vAlign w:val="bottom"/>
          </w:tcPr>
          <w:p>
            <w:pPr>
              <w:spacing w:after="0"/>
              <w:rPr>
                <w:sz w:val="24"/>
                <w:szCs w:val="24"/>
                <w:color w:val="auto"/>
              </w:rPr>
            </w:pPr>
          </w:p>
        </w:tc>
        <w:tc>
          <w:tcPr>
            <w:tcW w:w="3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Material</w:t>
            </w:r>
          </w:p>
        </w:tc>
        <w:tc>
          <w:tcPr>
            <w:tcW w:w="2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17,315</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242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2,803</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42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8,595</w:t>
            </w:r>
          </w:p>
        </w:tc>
      </w:tr>
      <w:tr>
        <w:trPr>
          <w:trHeight w:val="182"/>
        </w:trPr>
        <w:tc>
          <w:tcPr>
            <w:tcW w:w="5340" w:type="dxa"/>
            <w:vAlign w:val="bottom"/>
          </w:tcPr>
          <w:p>
            <w:pPr>
              <w:spacing w:after="0"/>
              <w:rPr>
                <w:sz w:val="15"/>
                <w:szCs w:val="15"/>
                <w:color w:val="auto"/>
              </w:rPr>
            </w:pPr>
          </w:p>
        </w:tc>
        <w:tc>
          <w:tcPr>
            <w:tcW w:w="3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Total manufacturing inventories</w:t>
            </w:r>
          </w:p>
        </w:tc>
        <w:tc>
          <w:tcPr>
            <w:tcW w:w="242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28,713</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Service</w:t>
            </w:r>
          </w:p>
        </w:tc>
        <w:tc>
          <w:tcPr>
            <w:tcW w:w="242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785</w:t>
            </w:r>
          </w:p>
        </w:tc>
      </w:tr>
      <w:tr>
        <w:trPr>
          <w:trHeight w:val="182"/>
        </w:trPr>
        <w:tc>
          <w:tcPr>
            <w:tcW w:w="5340" w:type="dxa"/>
            <w:vAlign w:val="bottom"/>
          </w:tcPr>
          <w:p>
            <w:pPr>
              <w:spacing w:after="0"/>
              <w:rPr>
                <w:sz w:val="15"/>
                <w:szCs w:val="15"/>
                <w:color w:val="auto"/>
              </w:rPr>
            </w:pPr>
          </w:p>
        </w:tc>
        <w:tc>
          <w:tcPr>
            <w:tcW w:w="3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Total inventories</w:t>
            </w:r>
          </w:p>
        </w:tc>
        <w:tc>
          <w:tcPr>
            <w:tcW w:w="2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29,498</w:t>
            </w:r>
          </w:p>
        </w:tc>
      </w:tr>
      <w:tr>
        <w:trPr>
          <w:trHeight w:val="182"/>
        </w:trPr>
        <w:tc>
          <w:tcPr>
            <w:tcW w:w="5340" w:type="dxa"/>
            <w:vAlign w:val="bottom"/>
          </w:tcPr>
          <w:p>
            <w:pPr>
              <w:spacing w:after="0"/>
              <w:rPr>
                <w:sz w:val="15"/>
                <w:szCs w:val="15"/>
                <w:color w:val="auto"/>
              </w:rPr>
            </w:pPr>
          </w:p>
        </w:tc>
        <w:tc>
          <w:tcPr>
            <w:tcW w:w="3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5"/>
          <w:szCs w:val="15"/>
          <w:color w:val="auto"/>
        </w:rPr>
        <w:t>Acquisition</w:t>
      </w:r>
    </w:p>
    <w:p>
      <w:pPr>
        <w:spacing w:after="0" w:line="186" w:lineRule="exact"/>
        <w:rPr>
          <w:sz w:val="20"/>
          <w:szCs w:val="20"/>
          <w:color w:val="auto"/>
        </w:rPr>
      </w:pPr>
    </w:p>
    <w:p>
      <w:pPr>
        <w:jc w:val="both"/>
        <w:ind w:right="1420"/>
        <w:spacing w:after="0"/>
        <w:rPr>
          <w:sz w:val="20"/>
          <w:szCs w:val="20"/>
          <w:color w:val="auto"/>
        </w:rPr>
      </w:pPr>
      <w:r>
        <w:rPr>
          <w:rFonts w:ascii="Courier New" w:cs="Courier New" w:eastAsia="Courier New" w:hAnsi="Courier New"/>
          <w:sz w:val="16"/>
          <w:szCs w:val="16"/>
          <w:color w:val="auto"/>
        </w:rPr>
        <w:t>On May 2, 1997, Itron, Inc., acquired Design Concepts, Inc. ("DCI"), through a merger of DCI with a wholly owned subsidiary of the Company. Pursuant to the Agreement and Plan of Merger dated April 30, 1997, (the "Merger Agreement") the Company issued 759,297 shares of unregistered Itron common stock to the shareholders of DCI in exchange for all outstanding shares of DCI. Pursuant to the Merger Agreement, certificates representing 75,930 of the shares issued in the Merger were placed in Escrow and are available to compensate Itron for any losses incurred by reason of any breach by DCI of the Merger Agreement. The Escrow terminates on May 2, 1998, at which time any shares not subject to a disputed claim will be released to the DCI shareholders.</w:t>
      </w:r>
    </w:p>
    <w:p>
      <w:pPr>
        <w:spacing w:after="0" w:line="188" w:lineRule="exact"/>
        <w:rPr>
          <w:sz w:val="20"/>
          <w:szCs w:val="20"/>
          <w:color w:val="auto"/>
        </w:rPr>
      </w:pPr>
    </w:p>
    <w:p>
      <w:pPr>
        <w:jc w:val="both"/>
        <w:ind w:right="1420"/>
        <w:spacing w:after="0"/>
        <w:rPr>
          <w:sz w:val="20"/>
          <w:szCs w:val="20"/>
          <w:color w:val="auto"/>
        </w:rPr>
      </w:pPr>
      <w:r>
        <w:rPr>
          <w:rFonts w:ascii="Courier New" w:cs="Courier New" w:eastAsia="Courier New" w:hAnsi="Courier New"/>
          <w:sz w:val="16"/>
          <w:szCs w:val="16"/>
          <w:color w:val="auto"/>
        </w:rPr>
        <w:t>The Merger was accounted for as a pooling-of-interests transaction. In a pooling-of-interests transaction all financial statements typically are restated for prior periods. Because the DCI results of operations and financial position are immaterial to the Company's statement of operations and balance sheet for prior periods, the accompanying statements have not been restated for the acquisition for prior periods. The Company's financial statements for the quarter ended June 30, 1997, do, however, include the year to date results of operations and financial position for DCI.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December 31,</w:t>
      </w:r>
    </w:p>
    <w:p>
      <w:pPr>
        <w:spacing w:after="0" w:line="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1996</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860" w:hanging="576"/>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22,687</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1,570</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9,047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33,304</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533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60" w:hanging="48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33,837</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8980" w:space="380"/>
            <w:col w:w="1600"/>
          </w:cols>
          <w:pgMar w:left="240" w:top="841" w:right="699" w:bottom="1440" w:gutter="0" w:footer="0" w:header="0"/>
        </w:sectPr>
      </w:pPr>
    </w:p>
    <w:bookmarkStart w:id="6" w:name="page7"/>
    <w:bookmarkEnd w:id="6"/>
    <w:p>
      <w:pPr>
        <w:spacing w:after="0"/>
        <w:tabs>
          <w:tab w:leader="none" w:pos="82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New Accounting Standards</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June 1997, the Financial Accounting Standard Board issued Statement No. 130, Reporting Comprehensive Income. This statement requires than an enterprise (a) classify items of other comprehensive income by their nature in the financial statement and (b) display the accumulated balance of other comprehensive income separately from retained earnings and additional paid-in capital in the equity section of the statement of financial position. The Statement is effective for fiscal years beginning after December 15, 1997. The Company believes that the adoption of the Statement will not have a material effect on the financial statements or disclosures of the Company.</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June 1997, the Financial Accounting Standard Board issued Statement No. 131, Disclosures about Segments of an Enterprise and Related Information. This statement requires that a public business report financial and descriptive information about its reportable operating segments. The Statement is effective for financial statement for period beginning after December 15, 1997. The Company believes that the adoption of the Statement will not have a material effect on the financial statements or disclosures of the Company.</w:t>
      </w:r>
    </w:p>
    <w:p>
      <w:pPr>
        <w:sectPr>
          <w:pgSz w:w="11900" w:h="16838" w:orient="portrait"/>
          <w:cols w:equalWidth="0" w:num="1">
            <w:col w:w="10219"/>
          </w:cols>
          <w:pgMar w:left="240" w:top="841" w:right="1440" w:bottom="1440" w:gutter="0" w:footer="0" w:header="0"/>
        </w:sectPr>
      </w:pPr>
    </w:p>
    <w:bookmarkStart w:id="7" w:name="page8"/>
    <w:bookmarkEnd w:id="7"/>
    <w:p>
      <w:pPr>
        <w:spacing w:after="0" w:line="38" w:lineRule="exact"/>
        <w:rPr>
          <w:sz w:val="20"/>
          <w:szCs w:val="20"/>
          <w:color w:val="auto"/>
        </w:rPr>
      </w:pPr>
    </w:p>
    <w:p>
      <w:pPr>
        <w:ind w:right="1140"/>
        <w:spacing w:after="0" w:line="237"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RESULTS OF OPERATIONS</w:t>
      </w:r>
    </w:p>
    <w:p>
      <w:pPr>
        <w:spacing w:after="0" w:line="188" w:lineRule="exact"/>
        <w:rPr>
          <w:sz w:val="20"/>
          <w:szCs w:val="20"/>
          <w:color w:val="auto"/>
        </w:rPr>
      </w:pPr>
    </w:p>
    <w:p>
      <w:pPr>
        <w:jc w:val="both"/>
        <w:ind w:right="1040"/>
        <w:spacing w:after="0" w:line="237" w:lineRule="auto"/>
        <w:rPr>
          <w:sz w:val="20"/>
          <w:szCs w:val="20"/>
          <w:color w:val="auto"/>
        </w:rPr>
      </w:pPr>
      <w:r>
        <w:rPr>
          <w:rFonts w:ascii="Courier New" w:cs="Courier New" w:eastAsia="Courier New" w:hAnsi="Courier New"/>
          <w:sz w:val="16"/>
          <w:szCs w:val="16"/>
          <w:color w:val="auto"/>
        </w:rPr>
        <w:t>The following table summarizes the major components of and changes in operating income for the quarter ended June 30, 1997:</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Percentage of Total Revenue</w:t>
            </w:r>
          </w:p>
        </w:tc>
      </w:tr>
      <w:tr>
        <w:trPr>
          <w:trHeight w:val="182"/>
        </w:trPr>
        <w:tc>
          <w:tcPr>
            <w:tcW w:w="5340" w:type="dxa"/>
            <w:vAlign w:val="bottom"/>
          </w:tcPr>
          <w:p>
            <w:pPr>
              <w:spacing w:after="0"/>
              <w:rPr>
                <w:sz w:val="15"/>
                <w:szCs w:val="15"/>
                <w:color w:val="auto"/>
              </w:rPr>
            </w:pPr>
          </w:p>
        </w:tc>
        <w:tc>
          <w:tcPr>
            <w:tcW w:w="32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Six months ended June 30,</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3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AMR systems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62%</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Handheld systems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Outsourcing</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w:t>
            </w:r>
          </w:p>
        </w:tc>
      </w:tr>
      <w:tr>
        <w:trPr>
          <w:trHeight w:val="182"/>
        </w:trPr>
        <w:tc>
          <w:tcPr>
            <w:tcW w:w="534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Total revenues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Cost of sales and services</w:t>
            </w: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AMR systems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60%</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Handheld systems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70%</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Outsourcing</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77%</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w:t>
            </w:r>
          </w:p>
        </w:tc>
      </w:tr>
      <w:tr>
        <w:trPr>
          <w:trHeight w:val="182"/>
        </w:trPr>
        <w:tc>
          <w:tcPr>
            <w:tcW w:w="534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Total cost of sales and services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65%</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534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Sales and marketing</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Product development</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General and administrative</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Amortization of intangibles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w:t>
            </w:r>
          </w:p>
        </w:tc>
      </w:tr>
      <w:tr>
        <w:trPr>
          <w:trHeight w:val="182"/>
        </w:trPr>
        <w:tc>
          <w:tcPr>
            <w:tcW w:w="534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380"/>
              <w:spacing w:after="0"/>
              <w:rPr>
                <w:sz w:val="20"/>
                <w:szCs w:val="20"/>
                <w:color w:val="auto"/>
              </w:rPr>
            </w:pPr>
            <w:r>
              <w:rPr>
                <w:rFonts w:ascii="Courier New" w:cs="Courier New" w:eastAsia="Courier New" w:hAnsi="Courier New"/>
                <w:sz w:val="16"/>
                <w:szCs w:val="16"/>
                <w:color w:val="auto"/>
              </w:rPr>
              <w:t>Total operating expenses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w:t>
            </w:r>
          </w:p>
        </w:tc>
      </w:tr>
      <w:tr>
        <w:trPr>
          <w:trHeight w:val="182"/>
        </w:trPr>
        <w:tc>
          <w:tcPr>
            <w:tcW w:w="534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5"/>
                <w:szCs w:val="15"/>
                <w:color w:val="auto"/>
              </w:rPr>
            </w:pPr>
          </w:p>
        </w:tc>
      </w:tr>
      <w:tr>
        <w:trPr>
          <w:trHeight w:val="182"/>
        </w:trPr>
        <w:tc>
          <w:tcPr>
            <w:tcW w:w="5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w:t>
            </w:r>
          </w:p>
        </w:tc>
      </w:tr>
      <w:tr>
        <w:trPr>
          <w:trHeight w:val="182"/>
        </w:trPr>
        <w:tc>
          <w:tcPr>
            <w:tcW w:w="5340" w:type="dxa"/>
            <w:vAlign w:val="bottom"/>
          </w:tcPr>
          <w:p>
            <w:pPr>
              <w:spacing w:after="0"/>
              <w:rPr>
                <w:sz w:val="15"/>
                <w:szCs w:val="15"/>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5" w:lineRule="exact"/>
        <w:rPr>
          <w:sz w:val="20"/>
          <w:szCs w:val="20"/>
          <w:color w:val="auto"/>
        </w:rPr>
      </w:pPr>
    </w:p>
    <w:p>
      <w:pPr>
        <w:jc w:val="both"/>
        <w:ind w:right="1040"/>
        <w:spacing w:after="0" w:line="239" w:lineRule="auto"/>
        <w:rPr>
          <w:sz w:val="20"/>
          <w:szCs w:val="20"/>
          <w:color w:val="auto"/>
        </w:rPr>
      </w:pPr>
      <w:r>
        <w:rPr>
          <w:rFonts w:ascii="Courier New" w:cs="Courier New" w:eastAsia="Courier New" w:hAnsi="Courier New"/>
          <w:sz w:val="16"/>
          <w:szCs w:val="16"/>
          <w:color w:val="auto"/>
        </w:rPr>
        <w:t>The Company's total revenues increased $4.5 million, or 9%, to $52.7 million in the second quarter of 1997 from $48.2 million in the second quarter in 1996. For the six month period ended June 30, 1997, total revenues were $93.3 million compared to $96.2 million in the same period one year ago.</w:t>
      </w:r>
    </w:p>
    <w:p>
      <w:pPr>
        <w:spacing w:after="0" w:line="187" w:lineRule="exact"/>
        <w:rPr>
          <w:sz w:val="20"/>
          <w:szCs w:val="20"/>
          <w:color w:val="auto"/>
        </w:rPr>
      </w:pPr>
    </w:p>
    <w:p>
      <w:pPr>
        <w:jc w:val="both"/>
        <w:ind w:right="1040"/>
        <w:spacing w:after="0" w:line="257" w:lineRule="auto"/>
        <w:rPr>
          <w:sz w:val="20"/>
          <w:szCs w:val="20"/>
          <w:color w:val="auto"/>
        </w:rPr>
      </w:pPr>
      <w:r>
        <w:rPr>
          <w:rFonts w:ascii="Courier New" w:cs="Courier New" w:eastAsia="Courier New" w:hAnsi="Courier New"/>
          <w:sz w:val="15"/>
          <w:szCs w:val="15"/>
          <w:color w:val="auto"/>
        </w:rPr>
        <w:t>AMR systems revenues for the three month and six month periods ended June 30, 1997, were $2.4 million and $11.7 million, respectively, less than the 1996 periods. Although the Company shipped approximately 1.3 million meter modules in each of the comparative six month periods, a larger portion of 1997 shipments were for outsourcing installations instead of shipments under sales contracts, which caused AMR sales revenues to decline. Although average selling prices decreased somewhat in the current quarter from the same period one year ago, the effect was not material. Lower meter module sales revenues were partly offset by initial sales of power billing software products in the 1997 quarter. The Company expects that AMR sales will grow in the future. However, much of the expected growth is dependent on the timing and resolution of mergers and acquisitions in the utility industry, industry regulatory reform issues in the United States, development of international markets, and various other factors.</w:t>
      </w:r>
    </w:p>
    <w:p>
      <w:pPr>
        <w:spacing w:after="0" w:line="181" w:lineRule="exact"/>
        <w:rPr>
          <w:sz w:val="20"/>
          <w:szCs w:val="20"/>
          <w:color w:val="auto"/>
        </w:rPr>
      </w:pPr>
    </w:p>
    <w:p>
      <w:pPr>
        <w:jc w:val="both"/>
        <w:ind w:right="1040"/>
        <w:spacing w:after="0"/>
        <w:rPr>
          <w:sz w:val="20"/>
          <w:szCs w:val="20"/>
          <w:color w:val="auto"/>
        </w:rPr>
      </w:pPr>
      <w:r>
        <w:rPr>
          <w:rFonts w:ascii="Courier New" w:cs="Courier New" w:eastAsia="Courier New" w:hAnsi="Courier New"/>
          <w:sz w:val="16"/>
          <w:szCs w:val="16"/>
          <w:color w:val="auto"/>
        </w:rPr>
        <w:t>Handheld Systems revenues increased $363,000, or 3%, in the current quarter from the same quarter in 1996 primarily due to increased international shipments to a South Korean utility. On a year to date basis, Handheld Systems revenues of $23.0 million were $835,000, or 4%, lower than the year to date period ended June 30, 1996. The lower 1997 revenues were mainly due to decreased software revenue, the 1996 period included revenue from the release of a new EMR software product. The Company expects that Handheld Systems revenues may decline as a percentage of total revenues over time as utilities adopt more advanced meter reading technologies. The Company expects future Handheld Systems revenues to be driven by sales to new customers internationally and by upgrade and replacement sales domestically.</w:t>
      </w:r>
    </w:p>
    <w:p>
      <w:pPr>
        <w:spacing w:after="0" w:line="189" w:lineRule="exact"/>
        <w:rPr>
          <w:sz w:val="20"/>
          <w:szCs w:val="20"/>
          <w:color w:val="auto"/>
        </w:rPr>
      </w:pPr>
    </w:p>
    <w:p>
      <w:pPr>
        <w:jc w:val="both"/>
        <w:ind w:right="1040"/>
        <w:spacing w:after="0" w:line="258" w:lineRule="auto"/>
        <w:rPr>
          <w:sz w:val="20"/>
          <w:szCs w:val="20"/>
          <w:color w:val="auto"/>
        </w:rPr>
      </w:pPr>
      <w:r>
        <w:rPr>
          <w:rFonts w:ascii="Courier New" w:cs="Courier New" w:eastAsia="Courier New" w:hAnsi="Courier New"/>
          <w:sz w:val="15"/>
          <w:szCs w:val="15"/>
          <w:color w:val="auto"/>
        </w:rPr>
        <w:t>Outsourcing revenues were $6.6 million and $12.4 million for the three and six month periods ended June 30, 1997, respectively, compared to $87,000 and $2.8 million in the same periods in 1996. The majority of the current year outsourcing revenues were derived from the Company's largest outsourcing contract with the Duquesne Light Company. (See "Description of Business -- Certain Risk Factors -- Dependence on the Installation, Operations and Maintenance of AMR Systems Pursuant to Outsourcing Contracts" in the Company's most recent Annual Report on Form 10-K.) The Company had additional outsourcing revenue of approximately $700,000 in the 1997 periods from a customer exercising its option to convert its outsourcing contract with the Company to a sale.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left="100" w:right="280"/>
        <w:spacing w:after="0" w:line="256" w:lineRule="auto"/>
        <w:rPr>
          <w:sz w:val="20"/>
          <w:szCs w:val="20"/>
          <w:color w:val="auto"/>
        </w:rPr>
      </w:pPr>
      <w:r>
        <w:rPr>
          <w:rFonts w:ascii="Courier New" w:cs="Courier New" w:eastAsia="Courier New" w:hAnsi="Courier New"/>
          <w:sz w:val="15"/>
          <w:szCs w:val="15"/>
          <w:color w:val="auto"/>
        </w:rPr>
        <w:t>Percentage 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(17%)</w:t>
      </w:r>
    </w:p>
    <w:p>
      <w:pPr>
        <w:spacing w:after="0" w:line="1"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345%</w:t>
      </w:r>
    </w:p>
    <w:p>
      <w:pPr>
        <w:spacing w:after="0" w:line="183"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(3%)</w:t>
      </w:r>
    </w:p>
    <w:p>
      <w:pPr>
        <w:spacing w:after="0" w:line="364"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(10%)</w:t>
      </w:r>
    </w:p>
    <w:p>
      <w:pPr>
        <w:spacing w:after="0" w:line="1"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379%</w:t>
      </w:r>
    </w:p>
    <w:p>
      <w:pPr>
        <w:spacing w:after="0" w:line="18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12%</w:t>
      </w:r>
    </w:p>
    <w:p>
      <w:pPr>
        <w:spacing w:after="0" w:line="36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(23%)</w:t>
      </w:r>
    </w:p>
    <w:p>
      <w:pPr>
        <w:spacing w:after="0" w:line="364"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5%</w:t>
      </w:r>
    </w:p>
    <w:p>
      <w:pPr>
        <w:spacing w:after="0" w:line="1"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6"/>
          <w:szCs w:val="16"/>
          <w:color w:val="auto"/>
        </w:rPr>
        <w:t>55%</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(147)%</w:t>
      </w:r>
    </w:p>
    <w:p>
      <w:pPr>
        <w:sectPr>
          <w:pgSz w:w="11900" w:h="16876" w:orient="portrait"/>
          <w:cols w:equalWidth="0" w:num="2">
            <w:col w:w="8600" w:space="480"/>
            <w:col w:w="1320"/>
          </w:cols>
          <w:pgMar w:left="240" w:top="845" w:right="1259" w:bottom="0" w:gutter="0" w:footer="0" w:header="0"/>
        </w:sectPr>
      </w:pPr>
    </w:p>
    <w:bookmarkStart w:id="8" w:name="page9"/>
    <w:bookmarkEnd w:id="8"/>
    <w:p>
      <w:pPr>
        <w:spacing w:after="0" w:line="62"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Company currently has two outsourcing contracts from which it is generating revenue. Outsourcing revenues are expected to stay at the higher levels experienced in the current periods through the remainder of the year. The</w:t>
      </w:r>
    </w:p>
    <w:p>
      <w:pPr>
        <w:spacing w:after="0" w:line="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Company recognizes revenue for outsourcing agreements using the percentage-of-completion method of accounting for long-term contracts. Under this method, revenue is recognized as project costs are incurred. Revenue recognition in any given period is equal to: (a) the ratio of actual costs incurred during the period to total projected costs over the life of the contract; multiplied by (b) total revenue to be received over the life of the contract. Estimates of future costs will be reviewed periodically. To the extent actual revenues or actual costs, or the timing of those revenues or costs, differ from projected revenues and costs, outsourcing revenues and/or margins could be affected.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Overall gross profit was 37% of revenues for the current quarter and 35% for the six month period ended June 30, 1997, compared to gross profit of 44% for each of the same periods in 1996. The lower profit margins result from continued excess manufacturing capacity and a higher portion of lower margin outsourcing and international business.</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AMR gross profit margins for the year to date 1997 period were 40% of AMR systems sales as compared to 42% in 1996. This margin decline is primarily the result of excess AMR manufacturing capacity. The Company is currently operating at approximately 50% of capacity for meter modules. Additionally, higher gross margins from power billing product sales in the 1997 quarter were offset by a non-recurring rework accrual concerning a single model of the Company's meter modules.</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Handheld systems gross profit has declined from 44% of revenues in the 1996 six month period to 30% of revenues in the 1997 six month period, mostly as a result of a shift in mix to international sales. International handheld sales have historically been at lower margins than domestic due to volume pricing and lower software content. In addition, replacement and upgrade business, which now comprises a significant amount of the Company's domestic handheld systems business, has traditionally been discounted from standard pricing.</w:t>
      </w:r>
    </w:p>
    <w:p>
      <w:pPr>
        <w:spacing w:after="0" w:line="192"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Outsourcing gross profit was 23% and 29% of revenues for the six month periods ended June 30, 1997 and 1996, respectively. A large portion of the outsourcing business results from a contract with Duquesne Light Company. This contract is the Company's first, large scale, fixed network installation and consequently has higher estimated costs. Outsourcing gross profit in the second quarter of 1997 had a one-time benefit from a customer's decision to convert its outsourcing contract to a system purchase.</w:t>
      </w:r>
    </w:p>
    <w:p>
      <w:pPr>
        <w:spacing w:after="0" w:line="192" w:lineRule="exact"/>
        <w:rPr>
          <w:sz w:val="20"/>
          <w:szCs w:val="20"/>
          <w:color w:val="auto"/>
        </w:rPr>
      </w:pPr>
    </w:p>
    <w:p>
      <w:pPr>
        <w:jc w:val="both"/>
        <w:ind w:right="2659"/>
        <w:spacing w:after="0" w:line="262" w:lineRule="auto"/>
        <w:rPr>
          <w:sz w:val="20"/>
          <w:szCs w:val="20"/>
          <w:color w:val="auto"/>
        </w:rPr>
      </w:pPr>
      <w:r>
        <w:rPr>
          <w:rFonts w:ascii="Courier New" w:cs="Courier New" w:eastAsia="Courier New" w:hAnsi="Courier New"/>
          <w:sz w:val="15"/>
          <w:szCs w:val="15"/>
          <w:color w:val="auto"/>
        </w:rPr>
        <w:t>The Company's overall gross profit may be affected in the future by competitive pricing pressure, the ability to utilize existing manufacturing capacity, the risks inherent in cost estimation for outsourcing contracts, and other factors.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Expenses</w:t>
      </w:r>
    </w:p>
    <w:p>
      <w:pPr>
        <w:spacing w:after="0" w:line="5"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Sales and marketing expenses of $7.1 million for the three month period ended June 30, 1997, increased 7% from the comparable period in 1996 but remained level as a percentage of revenue at 14%. For the year to date period ended June 30, 1997, sales and marketing expenses were $14.6 million compared to $13.2 million for the same period in 1996, reflecting an 11% increase. The higher expenses primarily resulted from consulting charges for the sales and marketing organization along with increased commission, bonus and profit sharing expenses. The Company expects that sales and marketing expenses will remain at approximately 13% to 14% of total revenues for the remainder of the year.</w:t>
      </w:r>
    </w:p>
    <w:p>
      <w:pPr>
        <w:spacing w:after="0" w:line="17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Product development expenses of $8.1 million in the current quarter increased $387,000, or 5%, over the comparable quarter ended June 30, 1996, but decreased as a percentage of revenues from 16% to 15%. For the year to date period ended June 30, 1997, product development expenses of $15.4 million were up slightly from $15.1 million in the same period in 1996. The increases for both the quarter and year to date periods were primarily the result of the DCI acquisition. The Company expects that 1997 product development expenses will remain at approximately 15% to 16% of total revenues for the remainder of the year.</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General and administrative expenses of $3.3 million in the second three months of 1997 increased $831,000, or 34%, over the second quarter of 1996, and increased as a percentage of total revenues from 5% to 6%. For the year to date periods, general and administrative expenses increased $253,000, or 5%, yet remained level as a percentage of revenues. The increase for both the quarter and year to date periods were due to several factors including DCI acquisition costs and administrative expenses, and bonus and profit sharing expenses. General and administrative expenses are expected to remain at approximately 5% to 6% of total revenues in the foreseeable future.</w:t>
      </w:r>
    </w:p>
    <w:p>
      <w:pPr>
        <w:spacing w:after="0" w:line="18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Amortization of intangibles increased $178,000 and $383,000 in the three and six month periods, respectively, ended June 30, 1997, over the same periods in 1996, yet remained at 1% of total revenues. The increased expenses were due to amortization of patents and licenses acquired during the last half of 1996.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and Other, Net</w:t>
      </w:r>
    </w:p>
    <w:p>
      <w:pPr>
        <w:spacing w:after="0" w:line="5"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5"/>
          <w:szCs w:val="15"/>
          <w:color w:val="auto"/>
        </w:rPr>
        <w:t>The Company had net interest and other expense of $1.3 million and $2.4 million for second quarter and year to date periods of 1997, respectively. Interest expense during the quarter and year to date periods was reduced by $190,000 and $407,000, respectively, from capitalized interest related to outsourcing installations. Interest expense in the 1997 periods was caused primarily by</w:t>
      </w:r>
    </w:p>
    <w:p>
      <w:pPr>
        <w:sectPr>
          <w:pgSz w:w="11900" w:h="16900" w:orient="portrait"/>
          <w:cols w:equalWidth="0" w:num="1">
            <w:col w:w="10219"/>
          </w:cols>
          <w:pgMar w:left="240" w:top="142" w:right="1440" w:bottom="0" w:gutter="0" w:footer="0" w:header="0"/>
        </w:sectPr>
      </w:pPr>
    </w:p>
    <w:bookmarkStart w:id="9" w:name="page10"/>
    <w:bookmarkEnd w:id="9"/>
    <w:p>
      <w:pPr>
        <w:jc w:val="both"/>
        <w:ind w:right="2659"/>
        <w:spacing w:after="0" w:line="239" w:lineRule="auto"/>
        <w:rPr>
          <w:sz w:val="20"/>
          <w:szCs w:val="20"/>
          <w:color w:val="auto"/>
        </w:rPr>
      </w:pPr>
      <w:r>
        <w:rPr>
          <w:rFonts w:ascii="Courier New" w:cs="Courier New" w:eastAsia="Courier New" w:hAnsi="Courier New"/>
          <w:sz w:val="16"/>
          <w:szCs w:val="16"/>
          <w:color w:val="auto"/>
        </w:rPr>
        <w:t>borrowings under the Company's bank line of credit and 6 3/4% Convertible Subordinated Notes. The Company completed a $63.4 million (including over-allotment option) private placement of the Notes in March and April of 1997. In the 1996 periods, the Company generated net interest income of $9,000 and $282,000, respectively, from the investment of cash equivalents and short-term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5"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had an income tax benefit of 37% of pre-tax earnings for the six months ended 1997 compared to an income tax provision of 36% for the same period in 1996. To the extent pre-tax earnings, or the components of those earnings, differ from expectations, the effective tax rate for the year could change from the current year-to-date 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6"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Operating activities generated $4.8 million in cash during the first six months of 1997. Operating activities consumed $11.0 million during the same six month period one year ago. The favorable turn in operating activities was caused to a large degree by reductions in inventory and accounts receivable balances during 1997 from year-end levels. Inventory levels have steadily decreased since the Company implemented a "build to order" production schedule in the fourth quarter of 1996. During the first three quarters of 1996, the Company was operating under a "build to expectation" production schedule. The Company collected a large portion of an unbilled account receivable from one customer during the six months ended June 30, 1997. Accounts receivable balances grew in the 1996 period due to unusually large unbilled receivables balances for a single customer. The Company's long-term contracts receivable balance, which represents the amount of outsourcing revenues earned but not yet billed, increased $9.5 million during the 1997 period. Long-term unbilled contracts receivable are expected to be approximately double the current level by year end.</w:t>
      </w:r>
    </w:p>
    <w:p>
      <w:pPr>
        <w:spacing w:after="0" w:line="181"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Investing activities consumed $19.2 million in the first six months of 1997. Investing activities generated $3.9 million in the comparable period in 1996. The Company generated cash in the 1996 period by liquidating $25.1 million in short-term investments. Cash was used in the current six months to fund $5.5 million of property and equipment additions and $16.7 million of product costs for the Company's outsourcing installations. In the first six months of 1996, the Company invested $15.5 million in property and equipment, the majority of which was for additional equipment to expand production capacity at both of the Company's principal manufacturing locations. An additional $2.0 million for product costs related to outsourcing installations was also invested in the 1996 period. Itron anticipates spending somewhat more on outsourcing equipment in 1997 than it did in 1996. Property and equipment additions for the Company are expected to be substantially less than the 1996 level.</w:t>
      </w:r>
    </w:p>
    <w:p>
      <w:pPr>
        <w:spacing w:after="0" w:line="190"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Financing activities in the first six months of 1997 provided $32.5 million in cash. During the quarter the Company successfully closed an $8 million, long-term, fixed rate project financing facility for an outsourcing agreement and received $831,000 of the funds. Additionally, the Company generated $61.2 million in cash from the Convertible Subordinated Note offering in March and April of 1997. The net proceeds from the offering were used to pay off the Company's bank line of credit and fund operations. The remainder of the proceeds is invested in short-term cash equivalents. The Company generated $6.5 million in cash in the comparable six months of 1996 from the exercise of stock options and borrowings under the Company's bank line of credit.</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Existing sources of liquidity at June 30, 1997, include approximately $20.4 million of existing cash and cash equivalents and $50 million of available borrowings under the Company's bank line of credit agreement which expires on October 31, 1997, at which time it is expected to be renewed. Itron expects to have cash requirements during the year for existing outsourcing installations and intends to seek project financing for future outsourcing agreements. The Company believes that existing cash and available borrowings are sufficient to fund operations for the remainder of 1997 and into 1998.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Forward-Looking Statements</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When included in this Quarterly Report on Form 10-Q, the words "expects," "intends," "anticipates," "plans," "projects" and "estimates," and analogous or similar expressions are intended to identify forward-looking statements. Such statements, which include, but are not limited to, statements contained in "Management's Discussion and Analysis of Financial Condition and Results of Operations"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increased competition and various other matters, many of which are beyond the Company's control. These and other risks are described in more detail in "Description of Business -- Certain Risk Factors" in the Company's most recent Annual Report on Form 10-K, and such description is hereby incorporated herein by reference.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19"/>
          </w:cols>
          <w:pgMar w:left="240" w:top="142" w:right="1440" w:bottom="139" w:gutter="0" w:footer="0" w:header="0"/>
        </w:sectPr>
      </w:pPr>
    </w:p>
    <w:bookmarkStart w:id="10" w:name="page11"/>
    <w:bookmarkEnd w:id="10"/>
    <w:p>
      <w:pPr>
        <w:ind w:left="2643"/>
        <w:spacing w:after="0"/>
        <w:rPr>
          <w:sz w:val="20"/>
          <w:szCs w:val="20"/>
          <w:color w:val="auto"/>
        </w:rPr>
      </w:pPr>
      <w:r>
        <w:rPr>
          <w:rFonts w:ascii="Courier New" w:cs="Courier New" w:eastAsia="Courier New" w:hAnsi="Courier New"/>
          <w:sz w:val="16"/>
          <w:szCs w:val="16"/>
          <w:color w:val="auto"/>
        </w:rPr>
        <w:t>Part 2: Other Information</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jc w:val="both"/>
        <w:ind w:left="3" w:right="2659"/>
        <w:spacing w:after="0"/>
        <w:rPr>
          <w:sz w:val="20"/>
          <w:szCs w:val="20"/>
          <w:color w:val="auto"/>
        </w:rPr>
      </w:pPr>
      <w:r>
        <w:rPr>
          <w:rFonts w:ascii="Courier New" w:cs="Courier New" w:eastAsia="Courier New" w:hAnsi="Courier New"/>
          <w:sz w:val="16"/>
          <w:szCs w:val="16"/>
          <w:color w:val="auto"/>
        </w:rPr>
        <w:t>On October 3, 1996, Itron filed a patent infringement suit against CellNet Data Systems ("CellNet") in the United States District Court for the District of Minnesota, alleging that CellNet is infringing on the Company's United States Patent No. 5,553,094, entitled "Radio Communication Network for Remote Data Generating Stations," issued on September 3, 1996. The Company is seeking injunctive relief as well as monetary damages, costs and attorneys' fees. The discovery phase of this lawsuit has commenced. There can be no assurance that the Company will prevail in this action or, even if it does prevail, that the legal costs incurred by the Company in connection therewith will not have a material adverse effect on the Company's financial condition.</w:t>
      </w:r>
    </w:p>
    <w:p>
      <w:pPr>
        <w:spacing w:after="0" w:line="188" w:lineRule="exact"/>
        <w:rPr>
          <w:sz w:val="20"/>
          <w:szCs w:val="20"/>
          <w:color w:val="auto"/>
        </w:rPr>
      </w:pPr>
    </w:p>
    <w:p>
      <w:pPr>
        <w:jc w:val="both"/>
        <w:ind w:left="3" w:right="2659"/>
        <w:spacing w:after="0"/>
        <w:rPr>
          <w:sz w:val="20"/>
          <w:szCs w:val="20"/>
          <w:color w:val="auto"/>
        </w:rPr>
      </w:pPr>
      <w:r>
        <w:rPr>
          <w:rFonts w:ascii="Courier New" w:cs="Courier New" w:eastAsia="Courier New" w:hAnsi="Courier New"/>
          <w:sz w:val="16"/>
          <w:szCs w:val="16"/>
          <w:color w:val="auto"/>
        </w:rPr>
        <w:t>On April 29, 1997, Itron was served by CellNet with a complaint alleging patent infringement. The suit is pending in the United States District Court for the Northern District of California. Itron's management has reviewed the complaint and believes it to be without merit. The patent in question was issued in 1988. Itron's management is unaware of any previous assertion by CellNet of any claim of patent infringement by Itron. Itron intends to vigorously defend this suit. The complaint seeks injunctive relief as well as monetary damages, costs and attorneys' fees.</w:t>
      </w:r>
    </w:p>
    <w:p>
      <w:pPr>
        <w:spacing w:after="0" w:line="187" w:lineRule="exact"/>
        <w:rPr>
          <w:sz w:val="20"/>
          <w:szCs w:val="20"/>
          <w:color w:val="auto"/>
        </w:rPr>
      </w:pPr>
    </w:p>
    <w:p>
      <w:pPr>
        <w:jc w:val="both"/>
        <w:ind w:left="3" w:right="2659"/>
        <w:spacing w:after="0" w:line="257" w:lineRule="auto"/>
        <w:rPr>
          <w:sz w:val="20"/>
          <w:szCs w:val="20"/>
          <w:color w:val="auto"/>
        </w:rPr>
      </w:pPr>
      <w:r>
        <w:rPr>
          <w:rFonts w:ascii="Courier New" w:cs="Courier New" w:eastAsia="Courier New" w:hAnsi="Courier New"/>
          <w:sz w:val="15"/>
          <w:szCs w:val="15"/>
          <w:color w:val="auto"/>
        </w:rPr>
        <w:t>On May 29, 1997, Itron and its President and Chief Executive Officer, Johnny M. Humphreys, were served with a complaint alleging securities fraud filed by Mark G. Epstein, on his own behalf and alleged to be on behalf of all others similarly situated, in the U.S. District Court for the Eastern District of Washington (Civil Action No. CS-97-214 RHW).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automatic meter reading ("AMR") system and regarding the suitability of Itron's encoder receiver transmitter devices for use with an advanced Fixed network AMR system. The complaint seeks monetary damages, costs and attorneys' fees and unspecified equitable or injunctive relief. On July 28, 1997, the Company and Mr. Humphreys filed a motion to dismiss the complaint for failure to state a proper claim for relief for securities fraud. The Company continues to believe it has good defenses to the claims alleged and intends to defend itself vigorously in this action.</w:t>
      </w:r>
    </w:p>
    <w:p>
      <w:pPr>
        <w:spacing w:after="0" w:line="177"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6" w:lineRule="exact"/>
        <w:rPr>
          <w:sz w:val="20"/>
          <w:szCs w:val="20"/>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The Company held its annual meeting of shareholders on April 29, 1997. Four directors were elected at the meeting, S. Edward White, whose term is for two years, and Michael B. Bracy, Graham M. Wilson and Mary Ann Peters, all of whose terms are for three years. Johnny M. Humphreys, Paul A. Redmond, Ted C. DeMerritt and Jon E. Eliassen continued their terms as Directors. The following summarizes all matters voted on at the meeting:</w:t>
      </w:r>
    </w:p>
    <w:p>
      <w:pPr>
        <w:spacing w:after="0" w:line="18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8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2320" w:type="dxa"/>
            <w:vAlign w:val="bottom"/>
          </w:tcPr>
          <w:p>
            <w:pPr>
              <w:spacing w:after="0"/>
              <w:rPr>
                <w:sz w:val="20"/>
                <w:szCs w:val="20"/>
                <w:color w:val="auto"/>
              </w:rPr>
            </w:pPr>
            <w:r>
              <w:rPr>
                <w:rFonts w:ascii="Courier New" w:cs="Courier New" w:eastAsia="Courier New" w:hAnsi="Courier New"/>
                <w:sz w:val="16"/>
                <w:szCs w:val="16"/>
                <w:color w:val="auto"/>
              </w:rPr>
              <w:t>Election of Directors:</w:t>
            </w:r>
          </w:p>
        </w:tc>
        <w:tc>
          <w:tcPr>
            <w:tcW w:w="20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Nominee</w:t>
            </w:r>
          </w:p>
        </w:tc>
        <w:tc>
          <w:tcPr>
            <w:tcW w:w="2320" w:type="dxa"/>
            <w:vAlign w:val="bottom"/>
          </w:tcPr>
          <w:p>
            <w:pPr>
              <w:spacing w:after="0"/>
              <w:rPr>
                <w:sz w:val="15"/>
                <w:szCs w:val="15"/>
                <w:color w:val="auto"/>
              </w:rPr>
            </w:pP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 Favor</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Withheld</w:t>
            </w:r>
          </w:p>
        </w:tc>
      </w:tr>
      <w:tr>
        <w:trPr>
          <w:trHeight w:val="182"/>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w w:val="96"/>
              </w:rPr>
              <w:t>- --------------------------------</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S. Edward White</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11,412,376</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61,301</w:t>
            </w:r>
          </w:p>
        </w:tc>
      </w:tr>
      <w:tr>
        <w:trPr>
          <w:trHeight w:val="182"/>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Michael B. Bracy</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11,411,988</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61,689</w:t>
            </w:r>
          </w:p>
        </w:tc>
      </w:tr>
      <w:tr>
        <w:trPr>
          <w:trHeight w:val="182"/>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Graham M. Wilson</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11,213,753</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259,924</w:t>
            </w:r>
          </w:p>
        </w:tc>
      </w:tr>
      <w:tr>
        <w:trPr>
          <w:trHeight w:val="182"/>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Mary Ann Peters</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11,409,138</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61,539</w:t>
            </w:r>
          </w:p>
        </w:tc>
      </w:tr>
    </w:tbl>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Amendment of the Company's 1989 Restated Stock Option Plan:</w:t>
      </w:r>
    </w:p>
    <w:p>
      <w:pPr>
        <w:spacing w:after="0" w:line="1" w:lineRule="exact"/>
        <w:rPr>
          <w:sz w:val="20"/>
          <w:szCs w:val="20"/>
          <w:color w:val="auto"/>
        </w:rPr>
      </w:pPr>
    </w:p>
    <w:p>
      <w:pPr>
        <w:ind w:left="1043"/>
        <w:spacing w:after="0"/>
        <w:tabs>
          <w:tab w:leader="none" w:pos="2443" w:val="left"/>
          <w:tab w:leader="none" w:pos="4323" w:val="left"/>
          <w:tab w:leader="none" w:pos="5843"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r>
        <w:rPr>
          <w:sz w:val="20"/>
          <w:szCs w:val="20"/>
          <w:color w:val="auto"/>
        </w:rPr>
        <w:tab/>
      </w:r>
      <w:r>
        <w:rPr>
          <w:rFonts w:ascii="Courier New" w:cs="Courier New" w:eastAsia="Courier New" w:hAnsi="Courier New"/>
          <w:sz w:val="15"/>
          <w:szCs w:val="15"/>
          <w:color w:val="auto"/>
        </w:rPr>
        <w:t>Broker Non-Votes</w:t>
      </w:r>
    </w:p>
    <w:p>
      <w:pPr>
        <w:spacing w:after="0" w:line="1" w:lineRule="exact"/>
        <w:rPr>
          <w:sz w:val="20"/>
          <w:szCs w:val="20"/>
          <w:color w:val="auto"/>
        </w:rPr>
      </w:pPr>
    </w:p>
    <w:p>
      <w:pPr>
        <w:ind w:left="3"/>
        <w:spacing w:after="0"/>
        <w:tabs>
          <w:tab w:leader="none" w:pos="1783" w:val="left"/>
          <w:tab w:leader="none" w:pos="3663" w:val="left"/>
          <w:tab w:leader="none" w:pos="5563" w:val="left"/>
        </w:tabs>
        <w:rPr>
          <w:sz w:val="20"/>
          <w:szCs w:val="20"/>
          <w:color w:val="auto"/>
        </w:rPr>
      </w:pPr>
      <w:r>
        <w:rPr>
          <w:rFonts w:ascii="Courier New" w:cs="Courier New" w:eastAsia="Courier New" w:hAnsi="Courier New"/>
          <w:sz w:val="16"/>
          <w:szCs w:val="16"/>
          <w:color w:val="auto"/>
        </w:rPr>
        <w:t>- ---------------</w:t>
        <w:tab/>
        <w:t>-----------------</w:t>
        <w:tab/>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63"/>
        <w:spacing w:after="0"/>
        <w:tabs>
          <w:tab w:leader="none" w:pos="2243" w:val="left"/>
          <w:tab w:leader="none" w:pos="4143" w:val="left"/>
          <w:tab w:leader="none" w:pos="6223" w:val="left"/>
        </w:tabs>
        <w:rPr>
          <w:sz w:val="20"/>
          <w:szCs w:val="20"/>
          <w:color w:val="auto"/>
        </w:rPr>
      </w:pPr>
      <w:r>
        <w:rPr>
          <w:rFonts w:ascii="Courier New" w:cs="Courier New" w:eastAsia="Courier New" w:hAnsi="Courier New"/>
          <w:sz w:val="16"/>
          <w:szCs w:val="16"/>
          <w:color w:val="auto"/>
        </w:rPr>
        <w:t>5,735,269</w:t>
      </w:r>
      <w:r>
        <w:rPr>
          <w:sz w:val="20"/>
          <w:szCs w:val="20"/>
          <w:color w:val="auto"/>
        </w:rPr>
        <w:tab/>
      </w:r>
      <w:r>
        <w:rPr>
          <w:rFonts w:ascii="Courier New" w:cs="Courier New" w:eastAsia="Courier New" w:hAnsi="Courier New"/>
          <w:sz w:val="16"/>
          <w:szCs w:val="16"/>
          <w:color w:val="auto"/>
        </w:rPr>
        <w:t>1,902,883</w:t>
      </w:r>
      <w:r>
        <w:rPr>
          <w:sz w:val="20"/>
          <w:szCs w:val="20"/>
          <w:color w:val="auto"/>
        </w:rPr>
        <w:tab/>
      </w:r>
      <w:r>
        <w:rPr>
          <w:rFonts w:ascii="Courier New" w:cs="Courier New" w:eastAsia="Courier New" w:hAnsi="Courier New"/>
          <w:sz w:val="16"/>
          <w:szCs w:val="16"/>
          <w:color w:val="auto"/>
        </w:rPr>
        <w:t>27,262</w:t>
      </w:r>
      <w:r>
        <w:rPr>
          <w:sz w:val="20"/>
          <w:szCs w:val="20"/>
          <w:color w:val="auto"/>
        </w:rPr>
        <w:tab/>
      </w:r>
      <w:r>
        <w:rPr>
          <w:rFonts w:ascii="Courier New" w:cs="Courier New" w:eastAsia="Courier New" w:hAnsi="Courier New"/>
          <w:sz w:val="15"/>
          <w:szCs w:val="15"/>
          <w:color w:val="auto"/>
        </w:rPr>
        <w:t>3,808,263</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Ratify Deloitte &amp; Touche LLP as Independent Auditors:</w:t>
      </w:r>
    </w:p>
    <w:p>
      <w:pPr>
        <w:spacing w:after="0" w:line="1" w:lineRule="exact"/>
        <w:rPr>
          <w:sz w:val="20"/>
          <w:szCs w:val="20"/>
          <w:color w:val="auto"/>
        </w:rPr>
      </w:pPr>
    </w:p>
    <w:p>
      <w:pPr>
        <w:ind w:left="1043"/>
        <w:spacing w:after="0"/>
        <w:tabs>
          <w:tab w:leader="none" w:pos="2443" w:val="left"/>
          <w:tab w:leader="none" w:pos="4323" w:val="left"/>
          <w:tab w:leader="none" w:pos="5843"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r>
        <w:rPr>
          <w:sz w:val="20"/>
          <w:szCs w:val="20"/>
          <w:color w:val="auto"/>
        </w:rPr>
        <w:tab/>
      </w:r>
      <w:r>
        <w:rPr>
          <w:rFonts w:ascii="Courier New" w:cs="Courier New" w:eastAsia="Courier New" w:hAnsi="Courier New"/>
          <w:sz w:val="15"/>
          <w:szCs w:val="15"/>
          <w:color w:val="auto"/>
        </w:rPr>
        <w:t>Broker Non-Votes</w:t>
      </w:r>
    </w:p>
    <w:p>
      <w:pPr>
        <w:spacing w:after="0" w:line="1" w:lineRule="exact"/>
        <w:rPr>
          <w:sz w:val="20"/>
          <w:szCs w:val="20"/>
          <w:color w:val="auto"/>
        </w:rPr>
      </w:pPr>
    </w:p>
    <w:p>
      <w:pPr>
        <w:ind w:left="3"/>
        <w:spacing w:after="0"/>
        <w:tabs>
          <w:tab w:leader="none" w:pos="1783" w:val="left"/>
          <w:tab w:leader="none" w:pos="3663" w:val="left"/>
          <w:tab w:leader="none" w:pos="5563" w:val="left"/>
        </w:tabs>
        <w:rPr>
          <w:sz w:val="20"/>
          <w:szCs w:val="20"/>
          <w:color w:val="auto"/>
        </w:rPr>
      </w:pPr>
      <w:r>
        <w:rPr>
          <w:rFonts w:ascii="Courier New" w:cs="Courier New" w:eastAsia="Courier New" w:hAnsi="Courier New"/>
          <w:sz w:val="16"/>
          <w:szCs w:val="16"/>
          <w:color w:val="auto"/>
        </w:rPr>
        <w:t>- ---------------</w:t>
        <w:tab/>
        <w:t>-----------------</w:t>
        <w:tab/>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383"/>
        <w:spacing w:after="0"/>
        <w:tabs>
          <w:tab w:leader="none" w:pos="2723" w:val="left"/>
          <w:tab w:leader="none" w:pos="4623" w:val="left"/>
          <w:tab w:leader="none" w:pos="6703" w:val="left"/>
        </w:tabs>
        <w:rPr>
          <w:sz w:val="20"/>
          <w:szCs w:val="20"/>
          <w:color w:val="auto"/>
        </w:rPr>
      </w:pPr>
      <w:r>
        <w:rPr>
          <w:rFonts w:ascii="Courier New" w:cs="Courier New" w:eastAsia="Courier New" w:hAnsi="Courier New"/>
          <w:sz w:val="16"/>
          <w:szCs w:val="16"/>
          <w:color w:val="auto"/>
        </w:rPr>
        <w:t>11,466,344</w:t>
      </w:r>
      <w:r>
        <w:rPr>
          <w:sz w:val="20"/>
          <w:szCs w:val="20"/>
          <w:color w:val="auto"/>
        </w:rPr>
        <w:tab/>
      </w:r>
      <w:r>
        <w:rPr>
          <w:rFonts w:ascii="Courier New" w:cs="Courier New" w:eastAsia="Courier New" w:hAnsi="Courier New"/>
          <w:sz w:val="16"/>
          <w:szCs w:val="16"/>
          <w:color w:val="auto"/>
        </w:rPr>
        <w:t>2,345</w:t>
      </w:r>
      <w:r>
        <w:rPr>
          <w:sz w:val="20"/>
          <w:szCs w:val="20"/>
          <w:color w:val="auto"/>
        </w:rPr>
        <w:tab/>
      </w:r>
      <w:r>
        <w:rPr>
          <w:rFonts w:ascii="Courier New" w:cs="Courier New" w:eastAsia="Courier New" w:hAnsi="Courier New"/>
          <w:sz w:val="16"/>
          <w:szCs w:val="16"/>
          <w:color w:val="auto"/>
        </w:rPr>
        <w:t>4,988</w:t>
      </w:r>
      <w:r>
        <w:rPr>
          <w:sz w:val="20"/>
          <w:szCs w:val="20"/>
          <w:color w:val="auto"/>
        </w:rPr>
        <w:tab/>
      </w:r>
      <w:r>
        <w:rPr>
          <w:rFonts w:ascii="Courier New" w:cs="Courier New" w:eastAsia="Courier New" w:hAnsi="Courier New"/>
          <w:sz w:val="12"/>
          <w:szCs w:val="12"/>
          <w:color w:val="auto"/>
        </w:rPr>
        <w:t>-</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843" w:hanging="843"/>
        <w:spacing w:after="0"/>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6" w:lineRule="exact"/>
        <w:rPr>
          <w:rFonts w:ascii="Courier New" w:cs="Courier New" w:eastAsia="Courier New" w:hAnsi="Courier New"/>
          <w:sz w:val="16"/>
          <w:szCs w:val="16"/>
          <w:color w:val="auto"/>
        </w:rPr>
      </w:pPr>
    </w:p>
    <w:p>
      <w:pPr>
        <w:ind w:left="843" w:right="3799"/>
        <w:spacing w:after="0" w:line="47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 11 - Statement re Computation of Earnings per Share Exhibit 27 - Financial Data Schedule</w:t>
      </w:r>
    </w:p>
    <w:p>
      <w:pPr>
        <w:spacing w:after="0" w:line="4"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jc w:val="both"/>
        <w:ind w:left="84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One report on Form 8-K, dated May 2, 1997, was filed during the quarter ended June 30, 1997, pursuant to Items 5 and 7 of that form. The report related to the acquisition of DCI by the Company.</w:t>
      </w:r>
    </w:p>
    <w:p>
      <w:pPr>
        <w:spacing w:after="0" w:line="188" w:lineRule="exact"/>
        <w:rPr>
          <w:rFonts w:ascii="Courier New" w:cs="Courier New" w:eastAsia="Courier New" w:hAnsi="Courier New"/>
          <w:sz w:val="16"/>
          <w:szCs w:val="16"/>
          <w:color w:val="auto"/>
        </w:rPr>
      </w:pPr>
    </w:p>
    <w:p>
      <w:pPr>
        <w:jc w:val="both"/>
        <w:ind w:left="84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One report on Form 8-K, dated May 29, 1997, was filed during the quarter ended June 30, 1997, pursuant to Items 5 and 7 of that form. The report related to the class action lawsuit filed against the Company.</w:t>
      </w:r>
    </w:p>
    <w:p>
      <w:pPr>
        <w:sectPr>
          <w:pgSz w:w="11900" w:h="16838" w:orient="portrait"/>
          <w:cols w:equalWidth="0" w:num="1">
            <w:col w:w="10222"/>
          </w:cols>
          <w:pgMar w:left="237" w:top="841" w:right="1440" w:bottom="0" w:gutter="0" w:footer="0" w:header="0"/>
        </w:sectPr>
      </w:pPr>
    </w:p>
    <w:bookmarkStart w:id="11" w:name="page12"/>
    <w:bookmarkEnd w:id="11"/>
    <w:p>
      <w:pPr>
        <w:jc w:val="both"/>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center"/>
        <w:ind w:right="-260"/>
        <w:spacing w:after="0"/>
        <w:rPr>
          <w:sz w:val="20"/>
          <w:szCs w:val="20"/>
          <w:color w:val="auto"/>
        </w:rPr>
      </w:pPr>
      <w:r>
        <w:rPr>
          <w:rFonts w:ascii="Courier New" w:cs="Courier New" w:eastAsia="Courier New" w:hAnsi="Courier New"/>
          <w:sz w:val="16"/>
          <w:szCs w:val="16"/>
          <w:color w:val="auto"/>
        </w:rPr>
        <w:t>SIGNATURE</w:t>
      </w:r>
    </w:p>
    <w:p>
      <w:pPr>
        <w:spacing w:after="0" w:line="368"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Commission Act of 1934, the registrant has duly caused this report to be signed on its behalf by the undersigned thereunto duly authorized.</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ITRON, INC.</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1205"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G. REMINGTON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G. Remington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Officer and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w:t>
      </w:r>
    </w:p>
    <w:p>
      <w:pPr>
        <w:spacing w:after="0" w:line="200" w:lineRule="exact"/>
        <w:rPr>
          <w:sz w:val="20"/>
          <w:szCs w:val="20"/>
          <w:color w:val="auto"/>
        </w:rPr>
      </w:pPr>
    </w:p>
    <w:p>
      <w:pPr>
        <w:sectPr>
          <w:pgSz w:w="11900" w:h="16838" w:orient="portrait"/>
          <w:cols w:equalWidth="0" w:num="2">
            <w:col w:w="3780" w:space="660"/>
            <w:col w:w="5779"/>
          </w:cols>
          <w:pgMar w:left="240" w:top="1205"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13, 1997</w:t>
      </w:r>
    </w:p>
    <w:p>
      <w:pPr>
        <w:sectPr>
          <w:pgSz w:w="11900" w:h="16838" w:orient="portrait"/>
          <w:cols w:equalWidth="0" w:num="2">
            <w:col w:w="460" w:space="200"/>
            <w:col w:w="9559"/>
          </w:cols>
          <w:pgMar w:left="240" w:top="1205" w:right="1440" w:bottom="1440" w:gutter="0" w:footer="0" w:header="0"/>
          <w:type w:val="continuous"/>
        </w:sectPr>
      </w:pPr>
    </w:p>
    <w:bookmarkStart w:id="13" w:name="page14"/>
    <w:bookmarkEnd w:id="13"/>
    <w:p>
      <w:pPr>
        <w:jc w:val="center"/>
        <w:ind w:right="3860"/>
        <w:spacing w:after="0"/>
        <w:rPr>
          <w:sz w:val="20"/>
          <w:szCs w:val="20"/>
          <w:color w:val="auto"/>
        </w:rPr>
      </w:pPr>
      <w:r>
        <w:rPr>
          <w:rFonts w:ascii="Courier New" w:cs="Courier New" w:eastAsia="Courier New" w:hAnsi="Courier New"/>
          <w:sz w:val="16"/>
          <w:szCs w:val="16"/>
          <w:color w:val="auto"/>
        </w:rPr>
        <w:t>ITRON, INC.</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STATEMENT RE COMPUTATION OF EARNINGS PER SHARE</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(Unaudited, shares in thousands)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Three months ended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June 30,</w:t>
            </w:r>
          </w:p>
        </w:tc>
        <w:tc>
          <w:tcPr>
            <w:tcW w:w="29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w w:val="97"/>
              </w:rPr>
              <w:t>Six months ended June 30.</w:t>
            </w:r>
          </w:p>
        </w:tc>
      </w:tr>
      <w:tr>
        <w:trPr>
          <w:trHeight w:val="546"/>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Primary Shares (Based on Average Price):</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24"/>
                <w:szCs w:val="24"/>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580" w:type="dxa"/>
            <w:vAlign w:val="bottom"/>
          </w:tcPr>
          <w:p>
            <w:pPr>
              <w:spacing w:after="0"/>
              <w:rPr>
                <w:sz w:val="15"/>
                <w:szCs w:val="15"/>
                <w:color w:val="auto"/>
              </w:rPr>
            </w:pP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14,256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13,282</w:t>
            </w:r>
          </w:p>
        </w:tc>
        <w:tc>
          <w:tcPr>
            <w:tcW w:w="2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13,838</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13,242</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Dilutive effect of outstanding stock options and warrants</w:t>
            </w:r>
          </w:p>
        </w:tc>
        <w:tc>
          <w:tcPr>
            <w:tcW w:w="19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903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911</w:t>
            </w:r>
          </w:p>
        </w:tc>
      </w:tr>
      <w:tr>
        <w:trPr>
          <w:trHeight w:val="182"/>
        </w:trPr>
        <w:tc>
          <w:tcPr>
            <w:tcW w:w="5580" w:type="dxa"/>
            <w:vAlign w:val="bottom"/>
          </w:tcPr>
          <w:p>
            <w:pPr>
              <w:spacing w:after="0"/>
              <w:rPr>
                <w:sz w:val="15"/>
                <w:szCs w:val="15"/>
                <w:color w:val="auto"/>
              </w:rPr>
            </w:pP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Primary weighted average shares outstanding</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14,256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14,185</w:t>
            </w:r>
          </w:p>
        </w:tc>
        <w:tc>
          <w:tcPr>
            <w:tcW w:w="280" w:type="dxa"/>
            <w:vAlign w:val="bottom"/>
          </w:tcPr>
          <w:p>
            <w:pPr>
              <w:spacing w:after="0"/>
              <w:rPr>
                <w:sz w:val="24"/>
                <w:szCs w:val="24"/>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13,383</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14,153</w:t>
            </w:r>
          </w:p>
        </w:tc>
      </w:tr>
      <w:tr>
        <w:trPr>
          <w:trHeight w:val="182"/>
        </w:trPr>
        <w:tc>
          <w:tcPr>
            <w:tcW w:w="5580" w:type="dxa"/>
            <w:vAlign w:val="bottom"/>
          </w:tcPr>
          <w:p>
            <w:pPr>
              <w:spacing w:after="0"/>
              <w:rPr>
                <w:sz w:val="15"/>
                <w:szCs w:val="15"/>
                <w:color w:val="auto"/>
              </w:rPr>
            </w:pP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5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Three months ended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June 30,</w:t>
            </w:r>
          </w:p>
        </w:tc>
        <w:tc>
          <w:tcPr>
            <w:tcW w:w="29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w w:val="97"/>
              </w:rPr>
              <w:t>Six months ended June 30,</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Fully Diluted Shares (Based on Ending Price):</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24"/>
                <w:szCs w:val="24"/>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580" w:type="dxa"/>
            <w:vAlign w:val="bottom"/>
          </w:tcPr>
          <w:p>
            <w:pPr>
              <w:spacing w:after="0"/>
              <w:rPr>
                <w:sz w:val="15"/>
                <w:szCs w:val="15"/>
                <w:color w:val="auto"/>
              </w:rPr>
            </w:pP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14,256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13,282</w:t>
            </w:r>
          </w:p>
        </w:tc>
        <w:tc>
          <w:tcPr>
            <w:tcW w:w="280" w:type="dxa"/>
            <w:vAlign w:val="bottom"/>
          </w:tcPr>
          <w:p>
            <w:pPr>
              <w:spacing w:after="0"/>
              <w:rPr>
                <w:sz w:val="15"/>
                <w:szCs w:val="15"/>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13,838</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13,242</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Dilutive effect of outstanding stock options and warrants</w:t>
            </w:r>
          </w:p>
        </w:tc>
        <w:tc>
          <w:tcPr>
            <w:tcW w:w="19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599</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626</w:t>
            </w:r>
          </w:p>
        </w:tc>
      </w:tr>
      <w:tr>
        <w:trPr>
          <w:trHeight w:val="182"/>
        </w:trPr>
        <w:tc>
          <w:tcPr>
            <w:tcW w:w="5580" w:type="dxa"/>
            <w:vAlign w:val="bottom"/>
          </w:tcPr>
          <w:p>
            <w:pPr>
              <w:spacing w:after="0"/>
              <w:rPr>
                <w:sz w:val="15"/>
                <w:szCs w:val="15"/>
                <w:color w:val="auto"/>
              </w:rPr>
            </w:pP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Fully diluted weighted average shares outstanding</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14,256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13,881</w:t>
            </w:r>
          </w:p>
        </w:tc>
        <w:tc>
          <w:tcPr>
            <w:tcW w:w="280" w:type="dxa"/>
            <w:vAlign w:val="bottom"/>
          </w:tcPr>
          <w:p>
            <w:pPr>
              <w:spacing w:after="0"/>
              <w:rPr>
                <w:sz w:val="24"/>
                <w:szCs w:val="24"/>
                <w:color w:val="auto"/>
              </w:rPr>
            </w:pP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13,838</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13,868</w:t>
            </w:r>
          </w:p>
        </w:tc>
      </w:tr>
      <w:tr>
        <w:trPr>
          <w:trHeight w:val="182"/>
        </w:trPr>
        <w:tc>
          <w:tcPr>
            <w:tcW w:w="5580" w:type="dxa"/>
            <w:vAlign w:val="bottom"/>
          </w:tcPr>
          <w:p>
            <w:pPr>
              <w:spacing w:after="0"/>
              <w:rPr>
                <w:sz w:val="15"/>
                <w:szCs w:val="15"/>
                <w:color w:val="auto"/>
              </w:rPr>
            </w:pP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865" w:right="13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5</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6-MOS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DEC-31-1997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JUN-30-1997</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20,364</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39,397</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(1,214)</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29,498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98,382</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119,635</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(35,474)</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215,655</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31,340</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102,504</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(42)</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215,655</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93,315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93,315</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60,405</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60,405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36,765</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(3,855)</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(2,389)</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(6,244)</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2,310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(3,934)</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(3,934)</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(.28)</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(.28)</w:t>
      </w:r>
    </w:p>
    <w:sectPr>
      <w:pgSz w:w="11900" w:h="16838" w:orient="portrait"/>
      <w:cols w:equalWidth="0" w:num="1">
        <w:col w:w="10119"/>
      </w:cols>
      <w:pgMar w:left="3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2019-12-13T15:50:51Z</dcterms:created>
  <dcterms:modified xsi:type="dcterms:W3CDTF">2019-12-13T15:50:51Z</dcterms:modified>
</cp:coreProperties>
</file>