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Itron,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465741106</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465741106</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3,630,314</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3,630,314</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3,630,314</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465741106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2111 N Molter Road, Liberty Lake</w:t>
      </w:r>
    </w:p>
    <w:p>
      <w:pPr>
        <w:ind w:left="740"/>
        <w:spacing w:after="0"/>
        <w:rPr>
          <w:sz w:val="20"/>
          <w:szCs w:val="20"/>
          <w:color w:val="auto"/>
        </w:rPr>
      </w:pPr>
      <w:r>
        <w:rPr>
          <w:rFonts w:ascii="Courier New" w:cs="Courier New" w:eastAsia="Courier New" w:hAnsi="Courier New"/>
          <w:sz w:val="18"/>
          <w:szCs w:val="18"/>
          <w:color w:val="auto"/>
        </w:rPr>
        <w:t>Washington 99019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465741106</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73" w:lineRule="auto"/>
        <w:rPr>
          <w:sz w:val="20"/>
          <w:szCs w:val="20"/>
          <w:color w:val="auto"/>
        </w:rPr>
      </w:pPr>
      <w:r>
        <w:rPr>
          <w:rFonts w:ascii="Courier New" w:cs="Courier New" w:eastAsia="Courier New" w:hAnsi="Courier New"/>
          <w:sz w:val="16"/>
          <w:szCs w:val="16"/>
          <w:color w:val="auto"/>
        </w:rPr>
        <w:t>Capital Research Global Investors is deemed to be the beneficial owner of 3,630,314 shares or 9.3% of the 39,149,045 shares believed to be outstanding as a result of CRMC acting as investment adviser to various investment companies registered under Section 8 of the Investment Company Act of 1940.</w:t>
      </w:r>
    </w:p>
    <w:p>
      <w:pPr>
        <w:spacing w:after="0" w:line="38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465741106</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Itron, Inc. Capital Research Global Investors holds more than five percent of the outstanding Common Stock of Itron, Inc. as of December 31, 2013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AMCAP Fund</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6"/>
          <w:szCs w:val="16"/>
          <w:color w:val="auto"/>
        </w:rPr>
        <w:t>***By</w:t>
        <w:tab/>
        <w:t>/s/ Herbert Y. Poon</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Herbert Y. Poon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Signed pursuant to a Power of Attorney dated January 28, 2014</w:t>
      </w:r>
    </w:p>
    <w:p>
      <w:pPr>
        <w:spacing w:after="0" w:line="4"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included as an Exhibit to Schedule 13G filed with the Securities and Exchange Commission by Capital Research Global Investors on February 10, 2014 with respect to Allergan, Inc. CUSIP: 465741106 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465741106</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2019-12-05T21:01:06Z</dcterms:created>
  <dcterms:modified xsi:type="dcterms:W3CDTF">2019-12-05T21:01:06Z</dcterms:modified>
</cp:coreProperties>
</file>