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1"/>
        </w:rPr>
        <w:t>Itron,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99060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28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01"/>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29, 2024, there were outstanding 45,869,373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77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494,618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338,250</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156,368</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166,761</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50"/>
        </w:trPr>
        <w:tc>
          <w:tcPr>
            <w:tcW w:w="7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net of tax</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87"/>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40" w:type="dxa"/>
            <w:vAlign w:val="bottom"/>
            <w:gridSpan w:val="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1,049,438</w:t>
            </w:r>
          </w:p>
        </w:tc>
      </w:tr>
      <w:tr>
        <w:trPr>
          <w:trHeight w:val="257"/>
        </w:trPr>
        <w:tc>
          <w:tcPr>
            <w:tcW w:w="676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1,052,504</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199,520</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537,236</w:t>
            </w:r>
          </w:p>
        </w:tc>
      </w:tr>
      <w:tr>
        <w:trPr>
          <w:trHeight w:val="216"/>
        </w:trPr>
        <w:tc>
          <w:tcPr>
            <w:tcW w:w="67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454,827</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176,028</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1,272,832</w:t>
            </w:r>
          </w:p>
        </w:tc>
      </w:tr>
      <w:tr>
        <w:trPr>
          <w:trHeight w:val="216"/>
        </w:trPr>
        <w:tc>
          <w:tcPr>
            <w:tcW w:w="67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46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45,850 and 45,512 shares issued</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1,820,510</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(81,190)</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(428,409)</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1,364,724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1,310,911</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1,331,431</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2,676,563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1,833,510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1,364,724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1,385,310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6,919</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1,796,005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1,171,282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1,194,143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14,463</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(34,791)</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(payments) related to the sale of business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202,007</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300,606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196,013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14,014</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2024 and 2023, Consolidated Statements of Equity for the three months ended March 31, 2024 and 2023, the Consolidated Statements of Cash Flows for the three months ended March 31, 2024 and 2023, and the Consolidated Balance Sheets as of March 31, 2024 and December 31, 2023, of Itron, Inc. and its subsidiaries. All entries required for the fair presentation of the financial statements are of a normal recurring nature, except as disclosed. The results of operations for the three months ended March 31, 2024 are not necessarily indicative of the results expected for the full year or for any other period.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2023 filed with the SEC in our Annual Report on Form 10-K on February 26, 2024 (2023 Annual Report). There have been no significant changes in financial statement preparation or significant accounting policies since December 31, 2023.</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March 31, 2024 and December 31,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struggle to keep pace with rapidly changing demand. While we have had improvements since 2022 levels, our ability to obtain adequate supply of semiconductor components has impacted our ability to service customer demand in a timely manner. The temporary imbalance in supply and demand creates business uncertainties that include costs and availability. Efforts continue with suppliers to improve supply resiliency,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w:t>
      </w:r>
    </w:p>
    <w:p>
      <w:pPr>
        <w:spacing w:after="0" w:line="9" w:lineRule="exact"/>
        <w:rPr>
          <w:sz w:val="20"/>
          <w:szCs w:val="20"/>
          <w:color w:val="auto"/>
        </w:rPr>
      </w:pPr>
    </w:p>
    <w:p>
      <w:pPr>
        <w:jc w:val="both"/>
        <w:ind w:firstLine="8"/>
        <w:spacing w:after="0" w:line="253" w:lineRule="auto"/>
        <w:tabs>
          <w:tab w:leader="none" w:pos="4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Reportable Segment Disclosures, which amends the reportable segment disclosure requirements, primarily through enhanced disclosures about significant segment expenses. ASU 2023-07 is effective for our annual financial reporting in 2024 and interim financial reports for the first quarter of 2025, with early adoption permitted. These amendments are to be applied retrospectively to all prior periods presented in the financial statements. We are currently evaluating the impact this standard will have on our consolidated financial statement disclosures for our reportable segment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amends Income Taxes (Topic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Retrospective application is permitted. We are currently evaluating the impact this standard will have on our consolidated financial statement disclosures.</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46,357</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45,281</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0.1 million and 0.7 million stock-based awards were excluded from the calculation of diluted EPS for the three months ended March 31, 2024 and 2023 because they were anti-dilutive. These stock-based awards could be dilutive in future periods.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2024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average share price of Itron stock for the period, the warrants would be anti-dilutive. For the three months ended March 31, 2024, the quarterly average closing prices of our common stock did not exceed the warrant strike price and therefore 3.7 million shares were considered anti-dilutive.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$722 and $738)</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310,617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30,931</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0" w:type="dxa"/>
            <w:vAlign w:val="bottom"/>
            <w:tcBorders>
              <w:bottom w:val="single" w:sz="8" w:color="auto"/>
            </w:tcBorders>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209,937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213,303</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3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0" w:type="dxa"/>
            <w:vAlign w:val="bottom"/>
          </w:tcPr>
          <w:p>
            <w:pPr>
              <w:spacing w:after="0"/>
              <w:rPr>
                <w:sz w:val="1"/>
                <w:szCs w:val="1"/>
                <w:color w:val="auto"/>
              </w:rPr>
            </w:pPr>
          </w:p>
        </w:tc>
      </w:tr>
      <w:tr>
        <w:trPr>
          <w:trHeight w:val="212"/>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287,220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0" w:type="dxa"/>
            <w:vAlign w:val="bottom"/>
          </w:tcPr>
          <w:p>
            <w:pPr>
              <w:spacing w:after="0"/>
              <w:rPr>
                <w:sz w:val="1"/>
                <w:szCs w:val="1"/>
                <w:color w:val="auto"/>
              </w:rPr>
            </w:pPr>
          </w:p>
        </w:tc>
      </w:tr>
      <w:tr>
        <w:trPr>
          <w:trHeight w:val="21"/>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314,740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318,546</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125,942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0" w:type="dxa"/>
            <w:vAlign w:val="bottom"/>
          </w:tcPr>
          <w:p>
            <w:pPr>
              <w:spacing w:after="0"/>
              <w:rPr>
                <w:sz w:val="1"/>
                <w:szCs w:val="1"/>
                <w:color w:val="auto"/>
              </w:rPr>
            </w:pPr>
          </w:p>
        </w:tc>
      </w:tr>
      <w:tr>
        <w:trPr>
          <w:trHeight w:val="207"/>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3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595,370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602,898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(470,391)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(474,092)</w:t>
            </w:r>
          </w:p>
        </w:tc>
        <w:tc>
          <w:tcPr>
            <w:tcW w:w="0" w:type="dxa"/>
            <w:vAlign w:val="bottom"/>
          </w:tcPr>
          <w:p>
            <w:pPr>
              <w:spacing w:after="0"/>
              <w:rPr>
                <w:sz w:val="1"/>
                <w:szCs w:val="1"/>
                <w:color w:val="auto"/>
              </w:rPr>
            </w:pPr>
          </w:p>
        </w:tc>
      </w:tr>
      <w:tr>
        <w:trPr>
          <w:trHeight w:val="212"/>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124,979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w:t>
            </w: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42,035</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r>
      <w:tr>
        <w:trPr>
          <w:trHeight w:val="216"/>
        </w:trPr>
        <w:tc>
          <w:tcPr>
            <w:tcW w:w="67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acquired </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926,019</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910,063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firstLine="8"/>
        <w:spacing w:after="0" w:line="251" w:lineRule="auto"/>
        <w:tabs>
          <w:tab w:leader="none" w:pos="16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March 1, 2024, we completed the acquisition of 100% of the shares Elpis2, Inc. (Elpis Squared), a privately held software and services company. The purchase resulted in the addition of intangible assets of $15.0 million. Refer to Note 5: Goodwill and Note 17: Business Combination for additional information.</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were expected to exceed projected revenues.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March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16,161</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0" w:type="dxa"/>
            <w:vAlign w:val="bottom"/>
          </w:tcPr>
          <w:p>
            <w:pPr>
              <w:spacing w:after="0"/>
              <w:rPr>
                <w:sz w:val="1"/>
                <w:szCs w:val="1"/>
                <w:color w:val="auto"/>
              </w:rPr>
            </w:pPr>
          </w:p>
        </w:tc>
      </w:tr>
      <w:tr>
        <w:trPr>
          <w:trHeight w:val="235"/>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three months ended March 31, 2024:</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3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2"/>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911,847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1,052,504</w:t>
            </w:r>
          </w:p>
        </w:tc>
      </w:tr>
      <w:tr>
        <w:trPr>
          <w:trHeight w:val="216"/>
        </w:trPr>
        <w:tc>
          <w:tcPr>
            <w:tcW w:w="34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19,676</w:t>
            </w: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w:t>
            </w: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March 31, 2024</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904,988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159,287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1,064,275</w:t>
            </w:r>
          </w:p>
        </w:tc>
      </w:tr>
      <w:tr>
        <w:trPr>
          <w:trHeight w:val="23"/>
        </w:trPr>
        <w:tc>
          <w:tcPr>
            <w:tcW w:w="3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20" w:firstLine="8"/>
        <w:spacing w:after="0" w:line="306" w:lineRule="auto"/>
        <w:tabs>
          <w:tab w:leader="none" w:pos="169"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 2024, we acquired Elpis Squared. The purchase resulted in the recognition of $19.7 million in goodwill allocated to our Outcomes operating segment and reporting unit. Refer to Note 4: Intangible Assets and Liabilities and Note 17: Business Combination for additional information on the transaction.</w:t>
      </w:r>
    </w:p>
    <w:p>
      <w:pPr>
        <w:spacing w:after="0" w:line="15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34"/>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454,827</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 March 31, 2024, there were no outstanding loan balances under the credit facility, and $52.4 million was utilized by outstanding standby letters of credit, resulting in $447.6 million available for additional borrowings or standby letters of credit within the revolver. At March 31, 2024, $247.6 million was available for additional standby letters of credit under the letter of credit sub-facility, and no amounts were outstanding under the swingline sub-facility.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(amount remaining at March 31, 2024)</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2024, a total of 39 contracts were offsetting our exposures from the euro, pound sterling, Indonesian rupiah, Canadian dollar, Australian dollar, and various other currencies, with notional amounts ranging from $111,000 to $34.9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57"/>
        </w:trPr>
        <w:tc>
          <w:tcPr>
            <w:tcW w:w="6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63,887</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66,199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67,430</w:t>
            </w: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9"/>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10,357,273 shares of common stock authorized for issuance subject to stock splits, dividends, and other similar events, and at March 31, 2024, 982,319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510,025 shares of common stock were available for future issuance at March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37"/>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5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1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3"/>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March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March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all stock-based compensation expense related to nonvested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2023</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22,962</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March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released is presented as gross shares and does not reflect shares withheld by us for employee payroll tax obligations.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total unrecognized compensation expense on restricted stock units was $71.0 million, which is expected to be recognized over a weighted average period of approximately 2.0 years.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59.22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tax rate for the three months ended March 31, 2024 of 21% is in line with the federal statutory rate of 21%, it is overall impacted by the effect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 benefit related to stock-based compensation, tax credits, state taxes, and uncertain tax positions.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rate for the three months ended March 31, 2023 of 1%,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an expense related to stock-based compensation, tax credits,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1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130,067</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129,591</w:t>
            </w: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we are under examination by certain tax authorities. We have received assessments of approximately $13 million from German tax authorities for years 2014-2017 and have reflected those amounts as current liabilities, and plan to appeal certain items not taken into account in the assessments.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(59,059)</w:t>
            </w:r>
          </w:p>
        </w:tc>
      </w:tr>
      <w:tr>
        <w:trPr>
          <w:trHeight w:val="235"/>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447,585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240,941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84,318</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May 2, 2024,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24,831</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17,829</w:t>
            </w:r>
          </w:p>
        </w:tc>
      </w:tr>
      <w:tr>
        <w:trPr>
          <w:trHeight w:val="212"/>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7,002</w:t>
            </w:r>
          </w:p>
        </w:tc>
      </w:tr>
      <w:tr>
        <w:trPr>
          <w:trHeight w:val="21"/>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bl>
    <w:p>
      <w:pPr>
        <w:spacing w:after="0" w:line="3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180" w:type="dxa"/>
            <w:vAlign w:val="bottom"/>
            <w:gridSpan w:val="3"/>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Costs Recognized During the</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1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March</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March 31,</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48,528</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4"/>
                <w:szCs w:val="14"/>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20" w:type="dxa"/>
            <w:vAlign w:val="bottom"/>
          </w:tcPr>
          <w:p>
            <w:pPr>
              <w:spacing w:after="0"/>
              <w:rPr>
                <w:sz w:val="14"/>
                <w:szCs w:val="14"/>
                <w:color w:val="auto"/>
              </w:rPr>
            </w:pPr>
          </w:p>
        </w:tc>
        <w:tc>
          <w:tcPr>
            <w:tcW w:w="20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Recognized</w:t>
            </w:r>
          </w:p>
        </w:tc>
        <w:tc>
          <w:tcPr>
            <w:tcW w:w="20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Three Months</w:t>
            </w:r>
          </w:p>
        </w:tc>
        <w:tc>
          <w:tcPr>
            <w:tcW w:w="20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March 31,</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Ended March 31, 2024</w:t>
            </w:r>
          </w:p>
        </w:tc>
        <w:tc>
          <w:tcPr>
            <w:tcW w:w="480" w:type="dxa"/>
            <w:vAlign w:val="bottom"/>
          </w:tcPr>
          <w:p>
            <w:pPr>
              <w:spacing w:after="0"/>
              <w:rPr>
                <w:sz w:val="18"/>
                <w:szCs w:val="18"/>
                <w:color w:val="auto"/>
              </w:rPr>
            </w:pPr>
          </w:p>
        </w:tc>
        <w:tc>
          <w:tcPr>
            <w:tcW w:w="160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and the 2021 Projects during the three months ended March 31, 2024:</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2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March 31, 2024</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65,187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$23.7 million and $21.0 million as of March 31, 2024 and December 31, 2023 and are classified within other current liabilities on the Consolidated Balance Sheets. The long-term portions of restructuring liabilities were $41.5 million and $51.4 million as of March 31, 2024 and December 31, 2023.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May 2, 2024.</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the convertible note hedge transactions. The convertible note hedge transactions meet the criteria in Accounting Standards Codification (ASC) 815-40 to be classified within Stockholders' Equity, and therefore the convertible note hedge transactions are not revalued after their issuance.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notes, and results in a $20.6 million deferred tax asset recognized through equity.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(AOCI)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(94,674)</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other comprehensive income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w:t>
            </w:r>
          </w:p>
        </w:tc>
      </w:tr>
      <w:tr>
        <w:trPr>
          <w:trHeight w:val="213"/>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w:t>
            </w:r>
          </w:p>
        </w:tc>
      </w:tr>
      <w:tr>
        <w:trPr>
          <w:trHeight w:val="213"/>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March 31, 2024 and December 31, 2023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2000" w:type="dxa"/>
            <w:vAlign w:val="bottom"/>
          </w:tcPr>
          <w:p>
            <w:pPr>
              <w:jc w:val="center"/>
              <w:ind w:right="87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80" w:type="dxa"/>
            <w:vAlign w:val="bottom"/>
          </w:tcPr>
          <w:p>
            <w:pPr>
              <w:jc w:val="center"/>
              <w:ind w:right="47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8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200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455,400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454,827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423,476</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(loss)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117,451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281,470</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527,822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416,324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45,493</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313,468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62,896</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494,618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105,776</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26,879</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205,379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156,368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7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74,956</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12,911</w:t>
            </w:r>
          </w:p>
        </w:tc>
      </w:tr>
      <w:tr>
        <w:trPr>
          <w:trHeight w:val="213"/>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(112,338)</w:t>
            </w:r>
          </w:p>
        </w:tc>
      </w:tr>
      <w:tr>
        <w:trPr>
          <w:trHeight w:val="212"/>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no single customer represented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372,842</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98,744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w:t>
            </w:r>
          </w:p>
        </w:tc>
      </w:tr>
      <w:tr>
        <w:trPr>
          <w:trHeight w:val="207"/>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494,618</w:t>
            </w:r>
          </w:p>
        </w:tc>
      </w:tr>
      <w:tr>
        <w:trPr>
          <w:trHeight w:val="23"/>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w:t>
            </w:r>
          </w:p>
        </w:tc>
      </w:tr>
      <w:tr>
        <w:trPr>
          <w:trHeight w:val="235"/>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108,004</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(25,023)</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2024, total contract assets were $80.1 million and total contract liabilities were $163.0 million. On March 31, 2024, total contract assets were $83.8 million and total contract liabilities were $200.3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$1.8 billion for the next 12 months and approximately $1.8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over the extended warranty period, and hardware, which is recognized as units are delivered. The estimate of when remaining performance obligations will be recognized requires significant judgment.</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Elpis2,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preliminary purchase price for this acquisition is $34.1 million, with adjustment for the final working capital amount, to be determined in July 2024. The purchase price was allocated to acquired assets and liabilities assumed, primarily $15.0 million in finite-lived intangible assets and $19.7 million in goodwill. Since this was a stock acquisition, none of the goodwill is deductible for tax purposes. The purchase was funded through cash on hand. Refer to Note 4: Intangible Assets and Liabilities and Note 5: Goodwill for additional information</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2023 filed with the Securities and Exchange Commission (SEC) in our Annual Report on Form 10-K on February 26, 2024 (2023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w:t>
      </w:r>
      <w:r>
        <w:rPr>
          <w:rFonts w:ascii="Times New Roman" w:cs="Times New Roman" w:eastAsia="Times New Roman" w:hAnsi="Times New Roman"/>
          <w:sz w:val="18"/>
          <w:szCs w:val="18"/>
          <w:i w:val="1"/>
          <w:iCs w:val="1"/>
          <w:color w:val="auto"/>
        </w:rPr>
        <w:t>https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222222"/>
        </w:rPr>
        <w:t>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2023 Annual Report and other reports on file with the SEC. We undertake no obligation to update or revise any forward-looking statement, whether written or oral.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corporate operating expenses are neither allocated to the segments nor included in the measures of segment performance.</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40-43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March 31, 2024 compared with the three months ended March 31, 2023</w:t>
      </w:r>
    </w:p>
    <w:p>
      <w:pPr>
        <w:spacing w:after="0" w:line="65"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$603.4 million compared with $494.6 million in 2023, an increase of $108.8 million, or 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34.0% compared with 31.6%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$24.2 million, or 15%,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income attributable to Itron, Inc. was $51.7 million compared with net loss of $11.8 million in </w:t>
      </w:r>
      <w:r>
        <w:rPr>
          <w:rFonts w:ascii="Times New Roman" w:cs="Times New Roman" w:eastAsia="Times New Roman" w:hAnsi="Times New Roman"/>
          <w:sz w:val="18"/>
          <w:szCs w:val="18"/>
          <w:color w:val="222222"/>
        </w:rPr>
        <w:t>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$1.38 to a diluted income per share of $1.12 in 2024</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$57.3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$22.4 million</w:t>
      </w:r>
      <w:r>
        <w:rPr>
          <w:rFonts w:ascii="Times New Roman" w:cs="Times New Roman" w:eastAsia="Times New Roman" w:hAnsi="Times New Roman"/>
          <w:sz w:val="18"/>
          <w:szCs w:val="18"/>
          <w:color w:val="222222"/>
        </w:rPr>
        <w:t xml:space="preserve"> in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$1.24, an increase of $0.75 compared with 2023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8"/>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$76.5 million compared with $39.5 million in </w:t>
      </w:r>
      <w:r>
        <w:rPr>
          <w:rFonts w:ascii="Times New Roman" w:cs="Times New Roman" w:eastAsia="Times New Roman" w:hAnsi="Times New Roman"/>
          <w:sz w:val="18"/>
          <w:szCs w:val="18"/>
          <w:color w:val="222222"/>
        </w:rPr>
        <w:t>2023</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8"/>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color w:val="222222"/>
        </w:rPr>
        <w:t xml:space="preserve">Total backlog was </w:t>
      </w:r>
      <w:r>
        <w:rPr>
          <w:rFonts w:ascii="Times New Roman" w:cs="Times New Roman" w:eastAsia="Times New Roman" w:hAnsi="Times New Roman"/>
          <w:sz w:val="18"/>
          <w:szCs w:val="18"/>
          <w:color w:val="000000"/>
        </w:rPr>
        <w:t>$4.3 billion</w:t>
      </w:r>
      <w:r>
        <w:rPr>
          <w:rFonts w:ascii="Times New Roman" w:cs="Times New Roman" w:eastAsia="Times New Roman" w:hAnsi="Times New Roman"/>
          <w:sz w:val="18"/>
          <w:szCs w:val="18"/>
          <w:color w:val="222222"/>
        </w:rPr>
        <w:t xml:space="preserve"> and twelve-month backlog was </w:t>
      </w:r>
      <w:r>
        <w:rPr>
          <w:rFonts w:ascii="Times New Roman" w:cs="Times New Roman" w:eastAsia="Times New Roman" w:hAnsi="Times New Roman"/>
          <w:sz w:val="18"/>
          <w:szCs w:val="18"/>
          <w:color w:val="000000"/>
        </w:rPr>
        <w:t>$1.9 billion</w:t>
      </w:r>
      <w:r>
        <w:rPr>
          <w:rFonts w:ascii="Times New Roman" w:cs="Times New Roman" w:eastAsia="Times New Roman" w:hAnsi="Times New Roman"/>
          <w:sz w:val="18"/>
          <w:szCs w:val="18"/>
          <w:color w:val="222222"/>
        </w:rPr>
        <w:t xml:space="preserve"> at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$4.5 billion</w:t>
      </w:r>
      <w:r>
        <w:rPr>
          <w:rFonts w:ascii="Times New Roman" w:cs="Times New Roman" w:eastAsia="Times New Roman" w:hAnsi="Times New Roman"/>
          <w:sz w:val="18"/>
          <w:szCs w:val="18"/>
          <w:color w:val="222222"/>
        </w:rPr>
        <w:t xml:space="preserve"> and $1.9 billion at March 31, 2023</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Acquisition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 The preliminary purchase price for this acquisition is $34.1 million, with adjustment for the final working capital amount, to be determined in July 2024. The purchase price was allocated to acquired assets and liabilities assumed, primarily $15.0 million in finite-lived intangible assets and $19.7 million in goodwill. Since this was a stock acquisition, none of the goodwill is deductible for tax purposes. The purchase was funded through cash on hand.</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Geopolitical and Economic Supply Chain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aftermath of these types of events, global supply chains, including labor, struggle to keep pace with rapidly changing demand. While we have had improvements since 2022 levels, our ability to obtain adequate supply of semiconductor components has impacted our ability to service customer demand in a timely manner. The temporary imbalance in supply and demand creates business uncertainties that include costs and availability. Efforts continue with suppliers to improve supply resiliency,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 For more information on risks associated with global economic challenges, please see our risk in Part I, Item 1A: Risk Factors in our 2023 Annual Report.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728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527,822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416,324</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75,620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78,294</w:t>
            </w:r>
          </w:p>
        </w:tc>
        <w:tc>
          <w:tcPr>
            <w:tcW w:w="12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2"/>
        </w:trPr>
        <w:tc>
          <w:tcPr>
            <w:tcW w:w="20" w:type="dxa"/>
            <w:vAlign w:val="bottom"/>
            <w:shd w:val="clear" w:color="auto" w:fill="CCEEFF"/>
          </w:tcPr>
          <w:p>
            <w:pPr>
              <w:spacing w:after="0"/>
              <w:rPr>
                <w:sz w:val="18"/>
                <w:szCs w:val="18"/>
                <w:color w:val="auto"/>
              </w:rPr>
            </w:pPr>
          </w:p>
        </w:tc>
        <w:tc>
          <w:tcPr>
            <w:tcW w:w="728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603,442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494,618</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205,379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156,368</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166,761</w:t>
            </w:r>
          </w:p>
        </w:tc>
        <w:tc>
          <w:tcPr>
            <w:tcW w:w="12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(15)%</w:t>
            </w: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(10,393)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51,721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(11,836)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72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138,054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125,041</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67,325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31,327</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22,382</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39,468</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94%</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72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2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28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72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40-43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after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0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48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108,824</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2024 vs. Three months ended March 31, 2023</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Total revenues increased $108.8 million, or 22%, compared with the same period in </w:t>
      </w:r>
      <w:r>
        <w:rPr>
          <w:rFonts w:ascii="Times New Roman" w:cs="Times New Roman" w:eastAsia="Times New Roman" w:hAnsi="Times New Roman"/>
          <w:sz w:val="18"/>
          <w:szCs w:val="18"/>
          <w:color w:val="000000"/>
        </w:rPr>
        <w:t>2023. Product revenues increased by $111.5 million, and service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revenues decreased by $2.7 million. </w:t>
      </w:r>
      <w:r>
        <w:rPr>
          <w:rFonts w:ascii="Times New Roman" w:cs="Times New Roman" w:eastAsia="Times New Roman" w:hAnsi="Times New Roman"/>
          <w:sz w:val="18"/>
          <w:szCs w:val="18"/>
          <w:color w:val="222222"/>
        </w:rPr>
        <w:t>Device Solutions increased by $8.5 million; Networked Solutions increased by</w:t>
      </w:r>
      <w:r>
        <w:rPr>
          <w:rFonts w:ascii="Times New Roman" w:cs="Times New Roman" w:eastAsia="Times New Roman" w:hAnsi="Times New Roman"/>
          <w:sz w:val="18"/>
          <w:szCs w:val="18"/>
          <w:color w:val="000000"/>
        </w:rPr>
        <w:t xml:space="preserve"> $94.0 million</w:t>
      </w:r>
      <w:r>
        <w:rPr>
          <w:rFonts w:ascii="Times New Roman" w:cs="Times New Roman" w:eastAsia="Times New Roman" w:hAnsi="Times New Roman"/>
          <w:sz w:val="18"/>
          <w:szCs w:val="18"/>
          <w:color w:val="222222"/>
        </w:rPr>
        <w:t>; and Outcomes increased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by $6.3 million when compared with the same period last year. C</w:t>
      </w:r>
      <w:r>
        <w:rPr>
          <w:rFonts w:ascii="Times New Roman" w:cs="Times New Roman" w:eastAsia="Times New Roman" w:hAnsi="Times New Roman"/>
          <w:sz w:val="18"/>
          <w:szCs w:val="18"/>
          <w:color w:val="000000"/>
        </w:rPr>
        <w:t>hanges in exchange rates favorably impacted total revenues by</w:t>
      </w:r>
      <w:r>
        <w:rPr>
          <w:rFonts w:ascii="Times New Roman" w:cs="Times New Roman" w:eastAsia="Times New Roman" w:hAnsi="Times New Roman"/>
          <w:sz w:val="18"/>
          <w:szCs w:val="18"/>
          <w:color w:val="222222"/>
        </w:rPr>
        <w:t xml:space="preserve"> $1.2 million</w:t>
      </w:r>
      <w:r>
        <w:rPr>
          <w:rFonts w:ascii="Times New Roman" w:cs="Times New Roman" w:eastAsia="Times New Roman" w:hAnsi="Times New Roman"/>
          <w:sz w:val="18"/>
          <w:szCs w:val="18"/>
          <w:color w:val="000000"/>
        </w:rPr>
        <w:t>, of which</w:t>
      </w:r>
      <w:r>
        <w:rPr>
          <w:rFonts w:ascii="Times New Roman" w:cs="Times New Roman" w:eastAsia="Times New Roman" w:hAnsi="Times New Roman"/>
          <w:sz w:val="18"/>
          <w:szCs w:val="18"/>
          <w:color w:val="222222"/>
        </w:rPr>
        <w:t xml:space="preserve"> $1.0 million </w:t>
      </w:r>
      <w:r>
        <w:rPr>
          <w:rFonts w:ascii="Times New Roman" w:cs="Times New Roman" w:eastAsia="Times New Roman" w:hAnsi="Times New Roman"/>
          <w:sz w:val="18"/>
          <w:szCs w:val="18"/>
          <w:color w:val="000000"/>
        </w:rPr>
        <w:t>favorably impacted Device Solutions.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2024 vs. Three months ended March 31,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22222"/>
        </w:rPr>
        <w:t xml:space="preserve">Gross margin was 34.0%, compared with 31.6%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Product sales gross margin increased to 32.4%, compared with 28.6%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 xml:space="preserve"> and gross margin on service revenues decreased to 45.3%, compared with 47.8% in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22222"/>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142,579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166,761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(24,182)</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decreased $24.2 million for the three months ended March 31, 2024 as compared with the same period in 2023. This was primarily the result of a $36.4 million decrease in restructuring costs and a $1.1 million decrease in amortization of intangible assets. The decrease was partially offset by an increase of $10.5 million in sales, general and administrative expenses and a $2.8 million increase in research and development expenses. The increases in sales, general and administrative and research and development expenses were primarily driven by increased labor costs. For additional details, refer to Item 1: Financial Statements (Unaudited), Note 12: Restructuring included in this Quarterly Report on Form 10-Q.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80" w:type="dxa"/>
            <w:vAlign w:val="bottom"/>
          </w:tcPr>
          <w:p>
            <w:pPr>
              <w:spacing w:after="0"/>
              <w:rPr>
                <w:sz w:val="18"/>
                <w:szCs w:val="18"/>
                <w:color w:val="auto"/>
              </w:rPr>
            </w:pPr>
          </w:p>
        </w:tc>
      </w:tr>
      <w:tr>
        <w:trPr>
          <w:trHeight w:val="23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112%</w:t>
            </w:r>
          </w:p>
        </w:tc>
      </w:tr>
      <w:tr>
        <w:trPr>
          <w:trHeight w:val="207"/>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14%</w:t>
            </w:r>
          </w:p>
        </w:tc>
      </w:tr>
      <w:tr>
        <w:trPr>
          <w:trHeight w:val="207"/>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7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for the three months ended March 31, 2024 was income of $2.4 million, compared with net expense of $1.7 million in the same period in 2023. The net other income for the three months ended March 31, 2024, as compared with the same period in 2023, was primarily driven by the $2.0 million increase in interest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our income tax expense was $13.4 million, compared with an income tax benefit of $0.1 million for the same period in 2023. While our tax rate for the three months ended March 31, 2024 of 21% is in line with the federal statutory rate of 21%, it is overall impacted by the effect of valuation allowances on deferred tax assets, the forecasted mix of earnings in domestic and international jurisdictions, U.S. taxation of foreign earnings including GILTI (Global Intangible Low-Taxed Income), net of Section 250 deduction, Subpart F income, a benefit related to stock-based compensation, tax credits, state taxes, and uncertain tax positions. Our tax rate for the three months ended March 31, 2023 of 1% differed from the federal statutory rate of 21% due to the impact of valuation allowances on deferred tax assets, the forecasted mix of earnings in domestic and international jurisdictions, U.S. taxation of foreign earnings including GILTI (Global Intangible Low Taxed Income), net of Section 250 deduction, Subpart F income, an expense related to stock-based compensation, tax credits, and uncertain tax positions.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repeal the capitalization and amortization requirement, as of year-end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w:t>
      </w: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forecast calculations for calendar year 2024, the Company expects to meet the safe harbors in most jurisdictions, and the remaining top-up tax is forecasted to be immaterial.</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6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6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4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2"/>
        </w:trPr>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0" w:type="dxa"/>
            <w:vAlign w:val="bottom"/>
          </w:tcPr>
          <w:p>
            <w:pPr>
              <w:spacing w:after="0"/>
              <w:rPr>
                <w:sz w:val="1"/>
                <w:szCs w:val="1"/>
                <w:color w:val="auto"/>
              </w:rPr>
            </w:pPr>
          </w:p>
        </w:tc>
      </w:tr>
      <w:tr>
        <w:trPr>
          <w:trHeight w:val="215"/>
        </w:trPr>
        <w:tc>
          <w:tcPr>
            <w:tcW w:w="6780" w:type="dxa"/>
            <w:vAlign w:val="bottom"/>
            <w:vMerge w:val="continue"/>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income (loss) and operating margin</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(112,338)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income (loss) and operating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7,496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8,498</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9"/>
              </w:rPr>
              <w:t>6,351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$8.5 million, or 7%. Changes in foreign currency exchange rates favorably impacted revenues by $1.0 million. The 2024 increase in revenues was driven primarily by increased smart water meter and communication module sales in Europe, Middle East, and Africa.</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2024 vs. Three months ended March 31,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2024, gross margin was 23.7%, compared with 20.1% for the same period in 2023. The 360 basis point increase over the prior year was primarily due to an improved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$1.3 million, or 13%, for the first three months of 2024, compared with the same period in 2023. The decrease was primarily due to lower product development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8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4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94,048</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2024 vs. Three months ended March 31,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$94.0 million, or 30%, for the first three months of 2024 compared with the same period in 2023. The increase was primarily from product revenues due to the ramp of ongoing and new deployments and improved component supply enabling us to fulfill more of the previously constrained customer demand.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37.1% for the 2024 period, compared with 33.7% in 2023. The 340 basis point increase was primarily related to favorable product and solutions volumes and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$3.5 million, or 11%, for the first three months of 2024, compared with the same period in 2023. The increase was primarily related to higher product development driven by labor costs.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820" w:type="dxa"/>
            <w:vAlign w:val="bottom"/>
            <w:tcBorders>
              <w:bottom w:val="single" w:sz="8" w:color="auto"/>
            </w:tcBorders>
            <w:gridSpan w:val="4"/>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4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6,049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6,278</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(2,589)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1,231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$6.3 million, or 10%, for the first three months of 2024, compared with 2023. This increase was driven by growth in recurring managed services, distributed energy management, and acquisition-related revenue for grid planning.</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March 31, 2024 vs. Three months ended March 31, 2023</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35.1% for the period ending in 2024, compared with 42.7% for last year. The 760 basis point decrease was driven by increased costs for managed services and changes in software and solutions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March 31, 2024 vs. Three months ended March 31, 2023</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three months of 2024 increased $1.2 million, or 9%, compared with the same period last year. This was primarily related to increased research and development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March 31, 2024 vs. Three months ended March 31, 2023</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first three months of 2024, Corporate unallocated expenses decreased $27.7 million, or 25%, compared with the 2023 period. This was primarily the result of a $36.4 million decrease in restructuring costs, as well as a $1.1 million decrease in amortization of intangible assets. The decreases were offset by a $9.5 million increase in sales, general and administrative expenses, primarily driven by increased labor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220" w:type="dxa"/>
            <w:vAlign w:val="bottom"/>
            <w:vMerge w:val="restart"/>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w w:val="99"/>
              </w:rPr>
              <w:t>Quarterly</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322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4,272</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4,511</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4,241</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2023</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4,397</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2023</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4,462</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$300.6 million at March 31, 2024, compared with $302.0 million at December 31, 2023. The $1.4 million decrease in cash and cash equivalents in the 2024 period was primarily the result of cash used in investing activities for the acquisition of Elpis Squared, almost entirely offset by cash provided by operations as a result of higher earnings.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in 2024 was $41.3 million compared with $1.4 million during the same period in 2023. The increase was primarily due to increased earnings and working capital, partially offset by higher variable compensation payouts in 2024.</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$41.1 million compared with $7.7 million in 2023, resulting in a change of $33.5 million. The increase in cash used was primarily the result of the acquisition of Elpis Squared for $34.1 million in 2024 and increase in property, plant, and equipment purchased of $0.2 million in 2024 compared with the same period in 2023.</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in 2024 was $1.1 million, compared with net cash used of $0.1 million for the same period in 2023. The increase is due primarily to the issuance of common stock in 2024 of $1.6 million.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March 31, 2024 was a decrease of $2.7 million, compared with an increase of $0.3 million for the same period in 2023. Our foreign currency exposure relates to non-U.S. dollar denominated balances in our international subsidiary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41,308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center"/>
              <w:ind w:left="1099"/>
              <w:spacing w:after="0"/>
              <w:rPr>
                <w:sz w:val="20"/>
                <w:szCs w:val="20"/>
                <w:color w:val="auto"/>
              </w:rPr>
            </w:pPr>
            <w:r>
              <w:rPr>
                <w:rFonts w:ascii="Times New Roman" w:cs="Times New Roman" w:eastAsia="Times New Roman" w:hAnsi="Times New Roman"/>
                <w:sz w:val="16"/>
                <w:szCs w:val="16"/>
                <w:color w:val="auto"/>
              </w:rPr>
              <w:t>1,429</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rPr>
              <w:t>(6,902)</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34,163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(5,473)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operating activities.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March 31, 2024 and December 31, 2023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seven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March 31, 2024, no amount was outstanding under the 2018 credit facility, and $52.4 million was utilized by outstanding standby letters of credit, resulting in $447.6 million available for borrowing or standby letters of credit under the revolver. At March 31, 2024, $247.6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 accrued and unpaid interest must be repaid. However, that date may be advanced to December 14, 2025 if Itron does not settle or extend a sufficient portion of outstanding convertible notes, as detailed in the seventh amendment.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are expected to be substantially complete by the end of 2024, with an estimated $23 million in cash payments remaining as of March 31, 2024 with cash outflows expected through 2025.</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 with an estimated $44 million in cash payments remaining as of March 31, 2024 with cash outflows expected through 2027.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paid out $6.2 million related to all our restructuring projects. As of March 31, 2024, $65.2 million was accrued for these restructuring projects, of which $23.7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repurchases under the 2023 Stock Repurchase Program through May 2, 2024.</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$40 million in U.S federal taxes, $8 million in state taxes, and $26 million in local and foreign taxes during 2024. For a discussion of our tax provision and unrecognized tax benefits, see Item 1: Financial Statements (Unaudited), Note 10: Income Taxes included in this Quarterly Report on Form 10-Q.</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there was $49.3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2024, $6.7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dependence on certain key vendors and components, </w:t>
      </w:r>
      <w:r>
        <w:rPr>
          <w:rFonts w:ascii="Times New Roman" w:cs="Times New Roman" w:eastAsia="Times New Roman" w:hAnsi="Times New Roman"/>
          <w:sz w:val="18"/>
          <w:szCs w:val="18"/>
          <w:color w:val="000000"/>
        </w:rPr>
        <w:t>changes in estimated liabilities for product warranties and/or litigation, supply constraints, future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business combinations, capital market fluctuations, international risks, and other factors described under Part I, Item 1A: Risk Factors of our 2023 Annual Report, as well as Part I, Item 3: Quantitative and Qualitative Disclosures About Market Risk included in this Quarterly Report on Form 10-Q.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2023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and acquisition and integration related expenses. We define non-GAAP operating income as operating income (loss) excluding the expenses related to the amortization of intangible assets, restructuring,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(loss)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 (loss).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restructuring,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100" w:type="dxa"/>
            <w:vAlign w:val="bottom"/>
          </w:tcPr>
          <w:p>
            <w:pPr>
              <w:spacing w:after="0"/>
              <w:rPr>
                <w:sz w:val="18"/>
                <w:szCs w:val="18"/>
                <w:color w:val="auto"/>
              </w:rPr>
            </w:pPr>
          </w:p>
        </w:tc>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1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166,761</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9"/>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(36,609)</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10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125,041</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1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9"/>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36,609</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10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31,327</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1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9"/>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36,609</w:t>
            </w:r>
          </w:p>
        </w:tc>
      </w:tr>
      <w:tr>
        <w:trPr>
          <w:trHeight w:val="219"/>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1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100" w:type="dxa"/>
            <w:vAlign w:val="bottom"/>
            <w:shd w:val="clear" w:color="auto" w:fill="CCEEFF"/>
          </w:tcPr>
          <w:p>
            <w:pPr>
              <w:spacing w:after="0"/>
              <w:rPr>
                <w:sz w:val="18"/>
                <w:szCs w:val="18"/>
                <w:color w:val="auto"/>
              </w:rPr>
            </w:pP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w:t>
            </w:r>
          </w:p>
        </w:tc>
      </w:tr>
      <w:tr>
        <w:trPr>
          <w:trHeight w:val="212"/>
        </w:trPr>
        <w:tc>
          <w:tcPr>
            <w:tcW w:w="10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22,382</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10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100" w:type="dxa"/>
            <w:vAlign w:val="bottom"/>
            <w:shd w:val="clear" w:color="auto" w:fill="CCEEFF"/>
          </w:tcPr>
          <w:p>
            <w:pPr>
              <w:spacing w:after="0"/>
              <w:rPr>
                <w:sz w:val="19"/>
                <w:szCs w:val="19"/>
                <w:color w:val="auto"/>
              </w:rPr>
            </w:pP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10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weighted average common shares outstanding - Diluted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45,572</w:t>
            </w:r>
          </w:p>
        </w:tc>
      </w:tr>
      <w:tr>
        <w:trPr>
          <w:trHeight w:val="20"/>
        </w:trPr>
        <w:tc>
          <w:tcPr>
            <w:tcW w:w="1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w:t>
            </w:r>
          </w:p>
        </w:tc>
      </w:tr>
      <w:tr>
        <w:trPr>
          <w:trHeight w:val="213"/>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r>
      <w:tr>
        <w:trPr>
          <w:trHeight w:val="21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13"/>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14,463</w:t>
            </w:r>
          </w:p>
        </w:tc>
      </w:tr>
      <w:tr>
        <w:trPr>
          <w:trHeight w:val="213"/>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36,609</w:t>
            </w:r>
          </w:p>
        </w:tc>
      </w:tr>
      <w:tr>
        <w:trPr>
          <w:trHeight w:val="21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r>
      <w:tr>
        <w:trPr>
          <w:trHeight w:val="216"/>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w:t>
            </w:r>
          </w:p>
        </w:tc>
      </w:tr>
      <w:tr>
        <w:trPr>
          <w:trHeight w:val="212"/>
        </w:trPr>
        <w:tc>
          <w:tcPr>
            <w:tcW w:w="7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Free Cash Flow</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w:t>
            </w:r>
          </w:p>
        </w:tc>
      </w:tr>
      <w:tr>
        <w:trPr>
          <w:trHeight w:val="21"/>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namely the multicurrency revolving line of credit. At March 31, 2024,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25% of total revenues for the three months ended March 31, 2024 compared with 28% for the same respective period in 2023.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2024, a total of 39 contracts were offsetting our exposures from the euro, pound sterling, Indonesian rupiah, Canadian dollar, Australian dollar, and various other currencies, with notional amounts ranging from $111,000 to $34.9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2024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2023, which was filed with the Securities and Exchange Commission on February 26, 2024.</w:t>
      </w:r>
    </w:p>
    <w:p>
      <w:pPr>
        <w:spacing w:after="0" w:line="200" w:lineRule="exact"/>
        <w:rPr>
          <w:sz w:val="20"/>
          <w:szCs w:val="20"/>
          <w:color w:val="auto"/>
        </w:rPr>
      </w:pP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 (3)</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through January 31, 2024</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2024 through February 29, 2024</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2024 through March 31, 2024</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74.93</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May 11, 2023, Itron's Board of Directors authorized a share repurchase program of up to $100 million of Itron's common stock over an 18-month period.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64" w:lineRule="exact"/>
        <w:rPr>
          <w:rFonts w:ascii="Times New Roman" w:cs="Times New Roman" w:eastAsia="Times New Roman" w:hAnsi="Times New Roman"/>
          <w:sz w:val="21"/>
          <w:szCs w:val="21"/>
          <w:color w:val="auto"/>
          <w:vertAlign w:val="superscript"/>
        </w:rPr>
      </w:pPr>
    </w:p>
    <w:p>
      <w:pPr>
        <w:ind w:left="340" w:hanging="332"/>
        <w:spacing w:after="0"/>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represent shares transferred to us by certain employees who vested in restricted stock units and used shares to pay all, or a portion of, the related taxes.</w:t>
      </w:r>
    </w:p>
    <w:p>
      <w:pPr>
        <w:spacing w:after="0" w:line="3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first quarter of 2024 that was not reported.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0" w:type="dxa"/>
            <w:vAlign w:val="bottom"/>
            <w:gridSpan w:val="2"/>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5240" w:type="dxa"/>
            <w:vAlign w:val="bottom"/>
            <w:tcBorders>
              <w:top w:val="single" w:sz="8" w:color="auto"/>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1440" w:right="20" w:hanging="939"/>
        <w:spacing w:after="0" w:line="224"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March 31, 2024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67" w:lineRule="exact"/>
        <w:rPr>
          <w:sz w:val="20"/>
          <w:szCs w:val="20"/>
          <w:color w:val="auto"/>
        </w:rPr>
      </w:pPr>
    </w:p>
    <w:p>
      <w:pPr>
        <w:ind w:left="1440" w:hanging="939"/>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 2024</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March 31, 2024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 2024</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80"/>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2024-05-02T12:10:05Z</dcterms:created>
  <dcterms:modified xsi:type="dcterms:W3CDTF">2024-05-02T12:10:05Z</dcterms:modified>
</cp:coreProperties>
</file>