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370840</wp:posOffset>
            </wp:positionH>
            <wp:positionV relativeFrom="page">
              <wp:posOffset>389255</wp:posOffset>
            </wp:positionV>
            <wp:extent cx="68065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3"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December 31, 2022</w:t>
      </w:r>
    </w:p>
    <w:p>
      <w:pPr>
        <w:ind w:left="60"/>
        <w:spacing w:after="0" w:line="391" w:lineRule="exact"/>
        <w:tabs>
          <w:tab w:leader="none" w:pos="460" w:val="left"/>
        </w:tabs>
        <w:rPr>
          <w:sz w:val="20"/>
          <w:szCs w:val="20"/>
          <w:color w:val="auto"/>
        </w:rPr>
      </w:pPr>
      <w:r>
        <w:rPr>
          <w:rFonts w:ascii="Arial" w:cs="Arial" w:eastAsia="Arial" w:hAnsi="Arial"/>
          <w:sz w:val="35"/>
          <w:szCs w:val="35"/>
          <w:b w:val="1"/>
          <w:bCs w:val="1"/>
          <w:color w:val="auto"/>
          <w:vertAlign w:val="subscript"/>
        </w:rPr>
        <w:t>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40"/>
          </w:cols>
          <w:pgMar w:left="320" w:top="760" w:right="339" w:bottom="1440" w:gutter="0" w:footer="0" w:header="0"/>
        </w:sectPr>
      </w:pPr>
    </w:p>
    <w:p>
      <w:pPr>
        <w:spacing w:after="0" w:line="1"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68" w:lineRule="exact"/>
        <w:rPr>
          <w:sz w:val="24"/>
          <w:szCs w:val="24"/>
          <w:color w:val="auto"/>
        </w:rPr>
      </w:pPr>
    </w:p>
    <w:p>
      <w:pPr>
        <w:sectPr>
          <w:pgSz w:w="11900" w:h="16838" w:orient="portrait"/>
          <w:cols w:equalWidth="0" w:num="2">
            <w:col w:w="2980" w:space="580"/>
            <w:col w:w="7680"/>
          </w:cols>
          <w:pgMar w:left="320" w:top="76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760" w:right="339" w:bottom="1440" w:gutter="0" w:footer="0" w:header="0"/>
          <w:type w:val="continuous"/>
        </w:sectPr>
      </w:pP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40"/>
          </w:cols>
          <w:pgMar w:left="320" w:top="760" w:right="339" w:bottom="1440" w:gutter="0" w:footer="0" w:header="0"/>
          <w:type w:val="continuous"/>
        </w:sectPr>
      </w:pPr>
    </w:p>
    <w:p>
      <w:pPr>
        <w:spacing w:after="0" w:line="66"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420" w:space="720"/>
            <w:col w:w="4100"/>
          </w:cols>
          <w:pgMar w:left="320" w:top="760" w:right="3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920" w:type="dxa"/>
            <w:vAlign w:val="bottom"/>
            <w:gridSpan w:val="7"/>
          </w:tcPr>
          <w:p>
            <w:pPr>
              <w:jc w:val="right"/>
              <w:ind w:right="3236"/>
              <w:spacing w:after="0"/>
              <w:rPr>
                <w:sz w:val="20"/>
                <w:szCs w:val="20"/>
                <w:color w:val="auto"/>
              </w:rPr>
            </w:pPr>
            <w:r>
              <w:rPr>
                <w:rFonts w:ascii="Arial" w:cs="Arial" w:eastAsia="Arial" w:hAnsi="Arial"/>
                <w:sz w:val="18"/>
                <w:szCs w:val="18"/>
                <w:b w:val="1"/>
                <w:bCs w:val="1"/>
                <w:color w:val="auto"/>
                <w:w w:val="92"/>
              </w:rPr>
              <w:t>Securities registered pursuant to Section 12(b) of the Act:</w:t>
            </w:r>
          </w:p>
        </w:tc>
      </w:tr>
      <w:tr>
        <w:trPr>
          <w:trHeight w:val="257"/>
        </w:trPr>
        <w:tc>
          <w:tcPr>
            <w:tcW w:w="120" w:type="dxa"/>
            <w:vAlign w:val="bottom"/>
          </w:tcPr>
          <w:p>
            <w:pPr>
              <w:spacing w:after="0"/>
              <w:rPr>
                <w:sz w:val="22"/>
                <w:szCs w:val="22"/>
                <w:color w:val="auto"/>
              </w:rPr>
            </w:pPr>
          </w:p>
        </w:tc>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Title of each class</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Trading Symbol(s)</w:t>
            </w:r>
          </w:p>
        </w:tc>
        <w:tc>
          <w:tcPr>
            <w:tcW w:w="4060" w:type="dxa"/>
            <w:vAlign w:val="bottom"/>
            <w:gridSpan w:val="2"/>
          </w:tcPr>
          <w:p>
            <w:pPr>
              <w:jc w:val="right"/>
              <w:ind w:right="556"/>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120" w:type="dxa"/>
            <w:vAlign w:val="bottom"/>
          </w:tcPr>
          <w:p>
            <w:pPr>
              <w:spacing w:after="0"/>
              <w:rPr>
                <w:sz w:val="19"/>
                <w:szCs w:val="19"/>
                <w:color w:val="auto"/>
              </w:rPr>
            </w:pPr>
          </w:p>
        </w:tc>
        <w:tc>
          <w:tcPr>
            <w:tcW w:w="3100" w:type="dxa"/>
            <w:vAlign w:val="bottom"/>
            <w:tcBorders>
              <w:top w:val="single" w:sz="8" w:color="auto"/>
            </w:tcBorders>
          </w:tcPr>
          <w:p>
            <w:pPr>
              <w:jc w:val="center"/>
              <w:ind w:left="570"/>
              <w:spacing w:after="0"/>
              <w:rPr>
                <w:sz w:val="20"/>
                <w:szCs w:val="20"/>
                <w:color w:val="auto"/>
              </w:rPr>
            </w:pPr>
            <w:r>
              <w:rPr>
                <w:rFonts w:ascii="Arial" w:cs="Arial" w:eastAsia="Arial" w:hAnsi="Arial"/>
                <w:sz w:val="18"/>
                <w:szCs w:val="18"/>
                <w:color w:val="auto"/>
                <w:w w:val="90"/>
              </w:rPr>
              <w:t>Common stock, no par value</w:t>
            </w: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ITRI</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6"/>
              </w:rPr>
              <w:t>NASDAQ Global Select Market</w:t>
            </w:r>
          </w:p>
        </w:tc>
      </w:tr>
      <w:tr>
        <w:trPr>
          <w:trHeight w:val="668"/>
        </w:trPr>
        <w:tc>
          <w:tcPr>
            <w:tcW w:w="708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50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tc>
        <w:tc>
          <w:tcPr>
            <w:tcW w:w="3560" w:type="dxa"/>
            <w:vAlign w:val="bottom"/>
          </w:tcPr>
          <w:p>
            <w:pPr>
              <w:jc w:val="right"/>
              <w:ind w:right="33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7580" w:type="dxa"/>
            <w:vAlign w:val="bottom"/>
            <w:gridSpan w:val="8"/>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3560" w:type="dxa"/>
            <w:vAlign w:val="bottom"/>
          </w:tcPr>
          <w:p>
            <w:pPr>
              <w:jc w:val="right"/>
              <w:ind w:right="3236"/>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5" w:lineRule="exact"/>
        <w:rPr>
          <w:sz w:val="24"/>
          <w:szCs w:val="24"/>
          <w:color w:val="auto"/>
        </w:rPr>
      </w:pPr>
    </w:p>
    <w:p>
      <w:pPr>
        <w:ind w:right="20"/>
        <w:spacing w:after="0" w:line="21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21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56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27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26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6" w:lineRule="exact"/>
        <w:rPr>
          <w:sz w:val="24"/>
          <w:szCs w:val="24"/>
          <w:color w:val="auto"/>
        </w:rPr>
      </w:pPr>
    </w:p>
    <w:p>
      <w:pPr>
        <w:ind w:right="5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1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spacing w:after="0" w:line="275"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the shares of common stock held by non-affiliates of the registrant (based on the closing price for the common stock on the NASDAQ Global Select Market) was $2,208,007,305.</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22, 2023, there were outstanding 45,294,966 shares of the registrant's common stock, no par value, which is the only class of common stock of the registrant.</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The information called for by Part III is incorporated by reference to the definitive Proxy Statement for the Annual Meeting of Shareholders of the Company to be held on May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6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w w:val="96"/>
              </w:rPr>
              <w:t>Itron, Inc.</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gridSpan w:val="11"/>
          </w:tcPr>
          <w:p>
            <w:pPr>
              <w:jc w:val="center"/>
              <w:ind w:right="3220"/>
              <w:spacing w:after="0"/>
              <w:rPr>
                <w:sz w:val="20"/>
                <w:szCs w:val="20"/>
                <w:color w:val="auto"/>
              </w:rPr>
            </w:pPr>
            <w:r>
              <w:rPr>
                <w:rFonts w:ascii="Arial" w:cs="Arial" w:eastAsia="Arial" w:hAnsi="Arial"/>
                <w:sz w:val="18"/>
                <w:szCs w:val="18"/>
                <w:b w:val="1"/>
                <w:bCs w:val="1"/>
                <w:color w:val="auto"/>
                <w:w w:val="89"/>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8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6"/>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620" w:type="dxa"/>
            <w:vAlign w:val="bottom"/>
            <w:gridSpan w:val="2"/>
          </w:tcPr>
          <w:p>
            <w:pPr>
              <w:ind w:left="62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Pr>
          <w:p>
            <w:pPr>
              <w:spacing w:after="0" w:line="190" w:lineRule="exact"/>
              <w:rPr>
                <w:sz w:val="20"/>
                <w:szCs w:val="20"/>
                <w:color w:val="auto"/>
              </w:rPr>
            </w:pPr>
            <w:r>
              <w:rPr>
                <w:rFonts w:ascii="Arial" w:cs="Arial" w:eastAsia="Arial" w:hAnsi="Arial"/>
                <w:sz w:val="18"/>
                <w:szCs w:val="18"/>
                <w:color w:val="0000FF"/>
                <w:w w:val="84"/>
              </w:rPr>
              <w:t>Business</w:t>
            </w:r>
          </w:p>
        </w:tc>
        <w:tc>
          <w:tcPr>
            <w:tcW w:w="6960" w:type="dxa"/>
            <w:vAlign w:val="bottom"/>
            <w:gridSpan w:val="22"/>
          </w:tcPr>
          <w:p>
            <w:pPr>
              <w:spacing w:after="0"/>
              <w:rPr>
                <w:sz w:val="16"/>
                <w:szCs w:val="16"/>
                <w:color w:val="auto"/>
              </w:rPr>
            </w:pPr>
          </w:p>
        </w:tc>
        <w:tc>
          <w:tcPr>
            <w:tcW w:w="680" w:type="dxa"/>
            <w:vAlign w:val="bottom"/>
            <w:gridSpan w:val="3"/>
          </w:tcPr>
          <w:p>
            <w:pPr>
              <w:jc w:val="center"/>
              <w:ind w:left="510"/>
              <w:spacing w:after="0" w:line="190"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1A:</w:t>
            </w:r>
          </w:p>
        </w:tc>
        <w:tc>
          <w:tcPr>
            <w:tcW w:w="76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680" w:type="dxa"/>
            <w:vAlign w:val="bottom"/>
            <w:gridSpan w:val="3"/>
          </w:tcPr>
          <w:p>
            <w:pPr>
              <w:jc w:val="center"/>
              <w:ind w:left="510"/>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1B:</w:t>
            </w:r>
          </w:p>
        </w:tc>
        <w:tc>
          <w:tcPr>
            <w:tcW w:w="760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sz w:val="20"/>
                <w:szCs w:val="20"/>
                <w:color w:val="auto"/>
              </w:rPr>
            </w:pPr>
            <w:r>
              <w:rPr>
                <w:rFonts w:ascii="Arial" w:cs="Arial" w:eastAsia="Arial" w:hAnsi="Arial"/>
                <w:sz w:val="18"/>
                <w:szCs w:val="18"/>
                <w:color w:val="0000FF"/>
              </w:rPr>
              <w:t>Properties</w:t>
            </w:r>
          </w:p>
        </w:tc>
        <w:tc>
          <w:tcPr>
            <w:tcW w:w="5560" w:type="dxa"/>
            <w:vAlign w:val="bottom"/>
            <w:gridSpan w:val="15"/>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sz w:val="20"/>
                <w:szCs w:val="20"/>
                <w:color w:val="auto"/>
              </w:rPr>
            </w:pPr>
            <w:r>
              <w:rPr>
                <w:rFonts w:ascii="Arial" w:cs="Arial" w:eastAsia="Arial" w:hAnsi="Arial"/>
                <w:sz w:val="18"/>
                <w:szCs w:val="18"/>
                <w:color w:val="0000FF"/>
                <w:w w:val="87"/>
              </w:rPr>
              <w:t>Legal Proceedings</w:t>
            </w:r>
          </w:p>
        </w:tc>
        <w:tc>
          <w:tcPr>
            <w:tcW w:w="6260" w:type="dxa"/>
            <w:vAlign w:val="bottom"/>
            <w:gridSpan w:val="1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760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620" w:type="dxa"/>
            <w:vAlign w:val="bottom"/>
            <w:gridSpan w:val="2"/>
          </w:tcPr>
          <w:p>
            <w:pPr>
              <w:ind w:left="620"/>
              <w:spacing w:after="0" w:line="190" w:lineRule="exact"/>
              <w:rPr>
                <w:sz w:val="20"/>
                <w:szCs w:val="20"/>
                <w:color w:val="auto"/>
              </w:rPr>
            </w:pPr>
            <w:r>
              <w:rPr>
                <w:rFonts w:ascii="Arial" w:cs="Arial" w:eastAsia="Arial" w:hAnsi="Arial"/>
                <w:sz w:val="18"/>
                <w:szCs w:val="18"/>
                <w:color w:val="auto"/>
              </w:rPr>
              <w:t>Item 5:</w:t>
            </w:r>
          </w:p>
        </w:tc>
        <w:tc>
          <w:tcPr>
            <w:tcW w:w="7600" w:type="dxa"/>
            <w:vAlign w:val="bottom"/>
            <w:gridSpan w:val="23"/>
          </w:tcPr>
          <w:p>
            <w:pPr>
              <w:spacing w:after="0" w:line="190" w:lineRule="exact"/>
              <w:rPr>
                <w:sz w:val="20"/>
                <w:szCs w:val="20"/>
                <w:color w:val="auto"/>
              </w:rPr>
            </w:pPr>
            <w:r>
              <w:rPr>
                <w:rFonts w:ascii="Arial" w:cs="Arial" w:eastAsia="Arial" w:hAnsi="Arial"/>
                <w:sz w:val="18"/>
                <w:szCs w:val="18"/>
                <w:color w:val="0000FF"/>
                <w:w w:val="94"/>
              </w:rPr>
              <w:t>Market for Registrant's Common Equity, Related Stockholder Matters and Issuer Purchases of Equity</w:t>
            </w:r>
          </w:p>
        </w:tc>
        <w:tc>
          <w:tcPr>
            <w:tcW w:w="680" w:type="dxa"/>
            <w:vAlign w:val="bottom"/>
            <w:gridSpan w:val="3"/>
            <w:vMerge w:val="restart"/>
          </w:tcPr>
          <w:p>
            <w:pPr>
              <w:jc w:val="center"/>
              <w:ind w:left="410"/>
              <w:spacing w:after="0"/>
              <w:rPr>
                <w:sz w:val="20"/>
                <w:szCs w:val="20"/>
                <w:color w:val="auto"/>
              </w:rPr>
            </w:pPr>
            <w:r>
              <w:rPr>
                <w:rFonts w:ascii="Arial" w:cs="Arial" w:eastAsia="Arial" w:hAnsi="Arial"/>
                <w:sz w:val="18"/>
                <w:szCs w:val="18"/>
                <w:color w:val="0000FF"/>
                <w:w w:val="89"/>
              </w:rPr>
              <w:t>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0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8"/>
                <w:szCs w:val="18"/>
                <w:color w:val="0000FF"/>
              </w:rPr>
              <w:t>Securities</w:t>
            </w:r>
          </w:p>
        </w:tc>
        <w:tc>
          <w:tcPr>
            <w:tcW w:w="3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6:</w:t>
            </w:r>
          </w:p>
        </w:tc>
        <w:tc>
          <w:tcPr>
            <w:tcW w:w="7600" w:type="dxa"/>
            <w:vAlign w:val="bottom"/>
            <w:gridSpan w:val="23"/>
          </w:tcPr>
          <w:p>
            <w:pPr>
              <w:spacing w:after="0"/>
              <w:rPr>
                <w:sz w:val="20"/>
                <w:szCs w:val="20"/>
                <w:color w:val="auto"/>
              </w:rPr>
            </w:pPr>
            <w:r>
              <w:rPr>
                <w:rFonts w:ascii="Arial" w:cs="Arial" w:eastAsia="Arial" w:hAnsi="Arial"/>
                <w:sz w:val="18"/>
                <w:szCs w:val="18"/>
                <w:color w:val="0000FF"/>
              </w:rPr>
              <w:t>[Reserved]</w:t>
            </w: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7:</w:t>
            </w:r>
          </w:p>
        </w:tc>
        <w:tc>
          <w:tcPr>
            <w:tcW w:w="6440" w:type="dxa"/>
            <w:vAlign w:val="bottom"/>
            <w:gridSpan w:val="2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160" w:type="dxa"/>
            <w:vAlign w:val="bottom"/>
            <w:gridSpan w:val="3"/>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7A:</w:t>
            </w:r>
          </w:p>
        </w:tc>
        <w:tc>
          <w:tcPr>
            <w:tcW w:w="4360" w:type="dxa"/>
            <w:vAlign w:val="bottom"/>
            <w:gridSpan w:val="17"/>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gridSpan w:val="3"/>
          </w:tcPr>
          <w:p>
            <w:pPr>
              <w:spacing w:after="0"/>
              <w:rPr>
                <w:sz w:val="18"/>
                <w:szCs w:val="18"/>
                <w:color w:val="auto"/>
              </w:rPr>
            </w:pPr>
          </w:p>
        </w:tc>
        <w:tc>
          <w:tcPr>
            <w:tcW w:w="1160" w:type="dxa"/>
            <w:vAlign w:val="bottom"/>
            <w:gridSpan w:val="3"/>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8:</w:t>
            </w:r>
          </w:p>
        </w:tc>
        <w:tc>
          <w:tcPr>
            <w:tcW w:w="4360" w:type="dxa"/>
            <w:vAlign w:val="bottom"/>
            <w:gridSpan w:val="17"/>
          </w:tcPr>
          <w:p>
            <w:pPr>
              <w:spacing w:after="0"/>
              <w:rPr>
                <w:sz w:val="20"/>
                <w:szCs w:val="20"/>
                <w:color w:val="auto"/>
              </w:rPr>
            </w:pPr>
            <w:r>
              <w:rPr>
                <w:rFonts w:ascii="Arial" w:cs="Arial" w:eastAsia="Arial" w:hAnsi="Arial"/>
                <w:sz w:val="18"/>
                <w:szCs w:val="18"/>
                <w:color w:val="0000FF"/>
              </w:rPr>
              <w:t>Financial Statements and Supplementary Data</w:t>
            </w:r>
          </w:p>
        </w:tc>
        <w:tc>
          <w:tcPr>
            <w:tcW w:w="3240" w:type="dxa"/>
            <w:vAlign w:val="bottom"/>
            <w:gridSpan w:val="6"/>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3"/>
          </w:tcPr>
          <w:p>
            <w:pPr>
              <w:spacing w:after="0"/>
              <w:rPr>
                <w:sz w:val="20"/>
                <w:szCs w:val="20"/>
                <w:color w:val="auto"/>
              </w:rPr>
            </w:pPr>
            <w:r>
              <w:rPr>
                <w:rFonts w:ascii="Arial" w:cs="Arial" w:eastAsia="Arial" w:hAnsi="Arial"/>
                <w:sz w:val="18"/>
                <w:szCs w:val="18"/>
                <w:color w:val="0000FF"/>
              </w:rPr>
              <w:t>Report of Independent Registered Public Accounting Fir</w:t>
            </w:r>
            <w:r>
              <w:rPr>
                <w:rFonts w:ascii="Arial" w:cs="Arial" w:eastAsia="Arial" w:hAnsi="Arial"/>
                <w:sz w:val="18"/>
                <w:szCs w:val="18"/>
                <w:color w:val="0E32E1"/>
              </w:rPr>
              <w:t>m</w:t>
            </w:r>
            <w:r>
              <w:rPr>
                <w:rFonts w:ascii="Arial" w:cs="Arial" w:eastAsia="Arial" w:hAnsi="Arial"/>
                <w:sz w:val="18"/>
                <w:szCs w:val="18"/>
                <w:color w:val="0000FF"/>
              </w:rPr>
              <w:t xml:space="preserve"> </w:t>
            </w:r>
            <w:r>
              <w:rPr>
                <w:rFonts w:ascii="Arial" w:cs="Arial" w:eastAsia="Arial" w:hAnsi="Arial"/>
                <w:sz w:val="18"/>
                <w:szCs w:val="18"/>
                <w:color w:val="000000"/>
              </w:rPr>
              <w:t>(PCAOB ID No. 34)</w:t>
            </w: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right w:val="single" w:sz="8" w:color="0E32E1"/>
            </w:tcBorders>
            <w:shd w:val="clear" w:color="auto" w:fill="0000FF"/>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11"/>
          </w:tcPr>
          <w:p>
            <w:pPr>
              <w:spacing w:after="0"/>
              <w:rPr>
                <w:sz w:val="20"/>
                <w:szCs w:val="20"/>
                <w:color w:val="auto"/>
              </w:rPr>
            </w:pPr>
            <w:r>
              <w:rPr>
                <w:rFonts w:ascii="Arial" w:cs="Arial" w:eastAsia="Arial" w:hAnsi="Arial"/>
                <w:sz w:val="18"/>
                <w:szCs w:val="18"/>
                <w:color w:val="0000FF"/>
                <w:w w:val="89"/>
              </w:rPr>
              <w:t>Consolidated Statements of Operations</w:t>
            </w:r>
          </w:p>
        </w:tc>
        <w:tc>
          <w:tcPr>
            <w:tcW w:w="12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7"/>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gridSpan w:val="16"/>
          </w:tcPr>
          <w:p>
            <w:pPr>
              <w:spacing w:after="0"/>
              <w:rPr>
                <w:sz w:val="20"/>
                <w:szCs w:val="20"/>
                <w:color w:val="auto"/>
              </w:rPr>
            </w:pPr>
            <w:r>
              <w:rPr>
                <w:rFonts w:ascii="Arial" w:cs="Arial" w:eastAsia="Arial" w:hAnsi="Arial"/>
                <w:sz w:val="18"/>
                <w:szCs w:val="18"/>
                <w:color w:val="0000FF"/>
                <w:w w:val="88"/>
              </w:rPr>
              <w:t>Consolidated Statements of Comprehensive Income (Loss)</w:t>
            </w:r>
          </w:p>
        </w:tc>
        <w:tc>
          <w:tcPr>
            <w:tcW w:w="3380" w:type="dxa"/>
            <w:vAlign w:val="bottom"/>
            <w:gridSpan w:val="7"/>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gridSpan w:val="16"/>
          </w:tcPr>
          <w:p>
            <w:pPr>
              <w:spacing w:after="0"/>
              <w:rPr>
                <w:sz w:val="20"/>
                <w:szCs w:val="20"/>
                <w:color w:val="auto"/>
              </w:rPr>
            </w:pPr>
            <w:r>
              <w:rPr>
                <w:rFonts w:ascii="Arial" w:cs="Arial" w:eastAsia="Arial" w:hAnsi="Arial"/>
                <w:sz w:val="18"/>
                <w:szCs w:val="18"/>
                <w:color w:val="0000FF"/>
              </w:rPr>
              <w:t>Consolidated Balance Sheets</w:t>
            </w:r>
          </w:p>
        </w:tc>
        <w:tc>
          <w:tcPr>
            <w:tcW w:w="3380" w:type="dxa"/>
            <w:vAlign w:val="bottom"/>
            <w:gridSpan w:val="7"/>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3"/>
          </w:tcPr>
          <w:p>
            <w:pPr>
              <w:spacing w:after="0"/>
              <w:rPr>
                <w:sz w:val="20"/>
                <w:szCs w:val="20"/>
                <w:color w:val="auto"/>
              </w:rPr>
            </w:pPr>
            <w:r>
              <w:rPr>
                <w:rFonts w:ascii="Arial" w:cs="Arial" w:eastAsia="Arial" w:hAnsi="Arial"/>
                <w:sz w:val="18"/>
                <w:szCs w:val="18"/>
                <w:color w:val="0000FF"/>
              </w:rPr>
              <w:t>Consolidated Statements of Equity</w:t>
            </w: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3"/>
          </w:tcPr>
          <w:p>
            <w:pPr>
              <w:spacing w:after="0"/>
              <w:rPr>
                <w:sz w:val="20"/>
                <w:szCs w:val="20"/>
                <w:color w:val="auto"/>
              </w:rPr>
            </w:pPr>
            <w:r>
              <w:rPr>
                <w:rFonts w:ascii="Arial" w:cs="Arial" w:eastAsia="Arial" w:hAnsi="Arial"/>
                <w:sz w:val="18"/>
                <w:szCs w:val="18"/>
                <w:color w:val="0000FF"/>
              </w:rPr>
              <w:t>Consolidated Statements of Cash Flows</w:t>
            </w: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3"/>
          </w:tcPr>
          <w:p>
            <w:pPr>
              <w:spacing w:after="0"/>
              <w:rPr>
                <w:sz w:val="20"/>
                <w:szCs w:val="20"/>
                <w:color w:val="auto"/>
              </w:rPr>
            </w:pPr>
            <w:r>
              <w:rPr>
                <w:rFonts w:ascii="Arial" w:cs="Arial" w:eastAsia="Arial" w:hAnsi="Arial"/>
                <w:sz w:val="18"/>
                <w:szCs w:val="18"/>
                <w:color w:val="0000FF"/>
              </w:rPr>
              <w:t>Notes to Consolidated Financial Statements</w:t>
            </w: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9:</w:t>
            </w:r>
          </w:p>
        </w:tc>
        <w:tc>
          <w:tcPr>
            <w:tcW w:w="6440" w:type="dxa"/>
            <w:vAlign w:val="bottom"/>
            <w:gridSpan w:val="20"/>
          </w:tcPr>
          <w:p>
            <w:pPr>
              <w:spacing w:after="0"/>
              <w:rPr>
                <w:sz w:val="20"/>
                <w:szCs w:val="20"/>
                <w:color w:val="auto"/>
              </w:rPr>
            </w:pPr>
            <w:r>
              <w:rPr>
                <w:rFonts w:ascii="Arial" w:cs="Arial" w:eastAsia="Arial" w:hAnsi="Arial"/>
                <w:sz w:val="18"/>
                <w:szCs w:val="18"/>
                <w:color w:val="0000FF"/>
                <w:w w:val="89"/>
              </w:rPr>
              <w:t>Changes in and Disagreements with Accountants on Accounting and Financial Disclosure</w:t>
            </w:r>
          </w:p>
        </w:tc>
        <w:tc>
          <w:tcPr>
            <w:tcW w:w="1160" w:type="dxa"/>
            <w:vAlign w:val="bottom"/>
            <w:gridSpan w:val="3"/>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9A:</w:t>
            </w:r>
          </w:p>
        </w:tc>
        <w:tc>
          <w:tcPr>
            <w:tcW w:w="64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160" w:type="dxa"/>
            <w:vAlign w:val="bottom"/>
            <w:gridSpan w:val="3"/>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Arial" w:cs="Arial" w:eastAsia="Arial" w:hAnsi="Arial"/>
                <w:sz w:val="18"/>
                <w:szCs w:val="18"/>
                <w:color w:val="0000FF"/>
                <w:w w:val="89"/>
              </w:rPr>
              <w:t>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9B:</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420" w:type="dxa"/>
            <w:vAlign w:val="bottom"/>
          </w:tcPr>
          <w:p>
            <w:pPr>
              <w:spacing w:after="0"/>
              <w:rPr>
                <w:sz w:val="18"/>
                <w:szCs w:val="18"/>
                <w:color w:val="auto"/>
              </w:rPr>
            </w:pPr>
          </w:p>
        </w:tc>
        <w:tc>
          <w:tcPr>
            <w:tcW w:w="584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3"/>
              </w:rPr>
              <w:t>100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9C:</w:t>
            </w:r>
          </w:p>
        </w:tc>
        <w:tc>
          <w:tcPr>
            <w:tcW w:w="760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280" w:type="dxa"/>
            <w:vAlign w:val="bottom"/>
            <w:gridSpan w:val="5"/>
          </w:tcPr>
          <w:p>
            <w:pPr>
              <w:jc w:val="center"/>
              <w:spacing w:after="0"/>
              <w:rPr>
                <w:sz w:val="20"/>
                <w:szCs w:val="20"/>
                <w:color w:val="auto"/>
              </w:rPr>
            </w:pPr>
            <w:r>
              <w:rPr>
                <w:rFonts w:ascii="Arial" w:cs="Arial" w:eastAsia="Arial" w:hAnsi="Arial"/>
                <w:sz w:val="18"/>
                <w:szCs w:val="18"/>
                <w:color w:val="0000FF"/>
                <w:w w:val="93"/>
              </w:rPr>
              <w:t>100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620" w:type="dxa"/>
            <w:vAlign w:val="bottom"/>
            <w:gridSpan w:val="2"/>
          </w:tcPr>
          <w:p>
            <w:pPr>
              <w:ind w:left="62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5"/>
          </w:tcPr>
          <w:p>
            <w:pPr>
              <w:spacing w:after="0" w:line="190" w:lineRule="exact"/>
              <w:rPr>
                <w:sz w:val="20"/>
                <w:szCs w:val="20"/>
                <w:color w:val="auto"/>
              </w:rPr>
            </w:pPr>
            <w:r>
              <w:rPr>
                <w:rFonts w:ascii="Arial" w:cs="Arial" w:eastAsia="Arial" w:hAnsi="Arial"/>
                <w:sz w:val="18"/>
                <w:szCs w:val="18"/>
                <w:color w:val="0000FF"/>
                <w:w w:val="90"/>
              </w:rPr>
              <w:t>Directors, Executive Officers and Corporate Governance</w:t>
            </w:r>
          </w:p>
        </w:tc>
        <w:tc>
          <w:tcPr>
            <w:tcW w:w="3500" w:type="dxa"/>
            <w:vAlign w:val="bottom"/>
            <w:gridSpan w:val="8"/>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0000FF"/>
            </w:tcBorders>
            <w:gridSpan w:val="3"/>
          </w:tcPr>
          <w:p>
            <w:pPr>
              <w:jc w:val="center"/>
              <w:spacing w:after="0" w:line="190" w:lineRule="exact"/>
              <w:rPr>
                <w:sz w:val="20"/>
                <w:szCs w:val="20"/>
                <w:color w:val="auto"/>
              </w:rPr>
            </w:pPr>
            <w:r>
              <w:rPr>
                <w:rFonts w:ascii="Arial" w:cs="Arial" w:eastAsia="Arial" w:hAnsi="Arial"/>
                <w:sz w:val="18"/>
                <w:szCs w:val="18"/>
                <w:color w:val="0000FF"/>
                <w:w w:val="93"/>
              </w:rPr>
              <w:t>101</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11:</w:t>
            </w:r>
          </w:p>
        </w:tc>
        <w:tc>
          <w:tcPr>
            <w:tcW w:w="760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1280" w:type="dxa"/>
            <w:vAlign w:val="bottom"/>
            <w:gridSpan w:val="5"/>
          </w:tcPr>
          <w:p>
            <w:pPr>
              <w:jc w:val="center"/>
              <w:spacing w:after="0"/>
              <w:rPr>
                <w:sz w:val="20"/>
                <w:szCs w:val="20"/>
                <w:color w:val="auto"/>
              </w:rPr>
            </w:pPr>
            <w:r>
              <w:rPr>
                <w:rFonts w:ascii="Arial" w:cs="Arial" w:eastAsia="Arial" w:hAnsi="Arial"/>
                <w:sz w:val="18"/>
                <w:szCs w:val="18"/>
                <w:color w:val="0000FF"/>
                <w:w w:val="93"/>
              </w:rPr>
              <w:t>101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12:</w:t>
            </w:r>
          </w:p>
        </w:tc>
        <w:tc>
          <w:tcPr>
            <w:tcW w:w="7600" w:type="dxa"/>
            <w:vAlign w:val="bottom"/>
            <w:gridSpan w:val="23"/>
          </w:tcPr>
          <w:p>
            <w:pPr>
              <w:spacing w:after="0"/>
              <w:rPr>
                <w:sz w:val="20"/>
                <w:szCs w:val="20"/>
                <w:color w:val="auto"/>
              </w:rPr>
            </w:pPr>
            <w:r>
              <w:rPr>
                <w:rFonts w:ascii="Arial" w:cs="Arial" w:eastAsia="Arial" w:hAnsi="Arial"/>
                <w:sz w:val="18"/>
                <w:szCs w:val="18"/>
                <w:color w:val="0000FF"/>
                <w:w w:val="94"/>
              </w:rPr>
              <w:t>Security Ownership of Certain Beneficial Owners and Management and Related Stockholder Matters</w:t>
            </w:r>
          </w:p>
        </w:tc>
        <w:tc>
          <w:tcPr>
            <w:tcW w:w="1280" w:type="dxa"/>
            <w:vAlign w:val="bottom"/>
            <w:gridSpan w:val="5"/>
          </w:tcPr>
          <w:p>
            <w:pPr>
              <w:jc w:val="center"/>
              <w:spacing w:after="0"/>
              <w:rPr>
                <w:sz w:val="20"/>
                <w:szCs w:val="20"/>
                <w:color w:val="auto"/>
              </w:rPr>
            </w:pPr>
            <w:r>
              <w:rPr>
                <w:rFonts w:ascii="Arial" w:cs="Arial" w:eastAsia="Arial" w:hAnsi="Arial"/>
                <w:sz w:val="18"/>
                <w:szCs w:val="18"/>
                <w:color w:val="0000FF"/>
                <w:w w:val="93"/>
              </w:rPr>
              <w:t>101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3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93"/>
              </w:rPr>
              <w:t>101</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Principal Accountant Fees and Services</w:t>
            </w:r>
          </w:p>
        </w:tc>
        <w:tc>
          <w:tcPr>
            <w:tcW w:w="216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93"/>
              </w:rPr>
              <w:t>102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620" w:type="dxa"/>
            <w:vAlign w:val="bottom"/>
            <w:gridSpan w:val="2"/>
          </w:tcPr>
          <w:p>
            <w:pPr>
              <w:ind w:left="620"/>
              <w:spacing w:after="0" w:line="190" w:lineRule="exact"/>
              <w:rPr>
                <w:sz w:val="20"/>
                <w:szCs w:val="20"/>
                <w:color w:val="auto"/>
              </w:rPr>
            </w:pPr>
            <w:r>
              <w:rPr>
                <w:rFonts w:ascii="Arial" w:cs="Arial" w:eastAsia="Arial" w:hAnsi="Arial"/>
                <w:sz w:val="18"/>
                <w:szCs w:val="18"/>
                <w:color w:val="auto"/>
              </w:rPr>
              <w:t>Item 15:</w:t>
            </w:r>
          </w:p>
        </w:tc>
        <w:tc>
          <w:tcPr>
            <w:tcW w:w="7600" w:type="dxa"/>
            <w:vAlign w:val="bottom"/>
            <w:gridSpan w:val="23"/>
          </w:tcPr>
          <w:p>
            <w:pPr>
              <w:spacing w:after="0" w:line="190" w:lineRule="exact"/>
              <w:rPr>
                <w:sz w:val="20"/>
                <w:szCs w:val="20"/>
                <w:color w:val="auto"/>
              </w:rPr>
            </w:pPr>
            <w:r>
              <w:rPr>
                <w:rFonts w:ascii="Arial" w:cs="Arial" w:eastAsia="Arial" w:hAnsi="Arial"/>
                <w:sz w:val="18"/>
                <w:szCs w:val="18"/>
                <w:color w:val="0000FF"/>
              </w:rPr>
              <w:t>Exhibit and Financial Statement Schedules</w:t>
            </w:r>
          </w:p>
        </w:tc>
        <w:tc>
          <w:tcPr>
            <w:tcW w:w="1280" w:type="dxa"/>
            <w:vAlign w:val="bottom"/>
            <w:gridSpan w:val="5"/>
          </w:tcPr>
          <w:p>
            <w:pPr>
              <w:jc w:val="center"/>
              <w:spacing w:after="0" w:line="190" w:lineRule="exact"/>
              <w:rPr>
                <w:sz w:val="20"/>
                <w:szCs w:val="20"/>
                <w:color w:val="auto"/>
              </w:rPr>
            </w:pPr>
            <w:r>
              <w:rPr>
                <w:rFonts w:ascii="Arial" w:cs="Arial" w:eastAsia="Arial" w:hAnsi="Arial"/>
                <w:sz w:val="18"/>
                <w:szCs w:val="18"/>
                <w:color w:val="0000FF"/>
                <w:w w:val="93"/>
              </w:rPr>
              <w:t>103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93"/>
              </w:rPr>
              <w:t>107</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3"/>
        </w:trPr>
        <w:tc>
          <w:tcPr>
            <w:tcW w:w="38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222222"/>
        </w:rPr>
        <w:t xml:space="preserve">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Annual Report on Form 10-K.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w:t>
      </w:r>
      <w:r>
        <w:rPr>
          <w:rFonts w:ascii="Arial" w:cs="Arial" w:eastAsia="Arial" w:hAnsi="Arial"/>
          <w:sz w:val="16"/>
          <w:szCs w:val="16"/>
          <w:i w:val="1"/>
          <w:iCs w:val="1"/>
          <w:color w:val="000000"/>
        </w:rPr>
        <w:t>Item 1A: Risk Factors</w:t>
      </w:r>
      <w:r>
        <w:rPr>
          <w:rFonts w:ascii="Arial" w:cs="Arial" w:eastAsia="Arial" w:hAnsi="Arial"/>
          <w:sz w:val="16"/>
          <w:szCs w:val="16"/>
          <w:i w:val="1"/>
          <w:iCs w:val="1"/>
          <w:color w:val="222222"/>
        </w:rPr>
        <w:t xml:space="preserve"> included in this Annual Report </w:t>
      </w:r>
      <w:r>
        <w:rPr>
          <w:rFonts w:ascii="Arial" w:cs="Arial" w:eastAsia="Arial" w:hAnsi="Arial"/>
          <w:sz w:val="16"/>
          <w:szCs w:val="16"/>
          <w:i w:val="1"/>
          <w:iCs w:val="1"/>
          <w:color w:val="000000"/>
        </w:rPr>
        <w:t>and other reports on file with the Securities and Exchange Commission</w:t>
      </w:r>
      <w:r>
        <w:rPr>
          <w:rFonts w:ascii="Arial" w:cs="Arial" w:eastAsia="Arial" w:hAnsi="Arial"/>
          <w:sz w:val="16"/>
          <w:szCs w:val="16"/>
          <w:i w:val="1"/>
          <w:iCs w:val="1"/>
          <w:color w:val="222222"/>
        </w:rPr>
        <w:t>. We undertake no obligation to update or revise any forward-looking statement, whether written or oral.</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Documents we provide to the Securities and Exchange Commission (SEC) are available free of charge under the Investors section of our website at </w:t>
      </w:r>
      <w:r>
        <w:rPr>
          <w:rFonts w:ascii="Arial" w:cs="Arial" w:eastAsia="Arial" w:hAnsi="Arial"/>
          <w:sz w:val="16"/>
          <w:szCs w:val="16"/>
          <w:i w:val="1"/>
          <w:iCs w:val="1"/>
          <w:color w:val="auto"/>
        </w:rPr>
        <w:t xml:space="preserve">www.itron.com </w:t>
      </w:r>
      <w:r>
        <w:rPr>
          <w:rFonts w:ascii="Arial" w:cs="Arial" w:eastAsia="Arial" w:hAnsi="Arial"/>
          <w:sz w:val="16"/>
          <w:szCs w:val="16"/>
          <w:color w:val="auto"/>
        </w:rPr>
        <w:t>as soon as practicable after they are filed with or furnished to the SEC. In addition, these documents are available at the SEC's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http://www.sec.gov</w:t>
      </w:r>
      <w:r>
        <w:rPr>
          <w:rFonts w:ascii="Arial" w:cs="Arial" w:eastAsia="Arial" w:hAnsi="Arial"/>
          <w:sz w:val="16"/>
          <w:szCs w:val="16"/>
          <w:color w:val="auto"/>
        </w:rPr>
        <w:t>). The information posted on or accessible through our website is not part of or incorporated by reference into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Itron is a leader in enabling utilities and cities to safely, securely and reliably deliver critical infrastructure solutions to communities around the world. Our proven platform enables smart networks, software, services, devices and sensors to help our customers better manage their operations in the energy, water, and smart city spaces. We are among the leading technology and services companies offering end-to-end device solutions, networked solutions, and outcomes-based products and services to the utility and municipal sectors. Our comprehensive offerings control, measure, monitor, and provide data analytics and services that enable utilities and municipalities to manage their critical resources responsibly and efficiently.</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have over 40 years of experience supporting utilities and municipalities in the management of their data and critical infrastructure needs and we have delivered continuous innovation to help drive the industry forward. Incorporated in 1977 with a focus on meter reading services and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w:t>
      </w:r>
      <w:r>
        <w:rPr>
          <w:rFonts w:ascii="Arial" w:cs="Arial" w:eastAsia="Arial" w:hAnsi="Arial"/>
          <w:sz w:val="17"/>
          <w:szCs w:val="17"/>
          <w:color w:val="222222"/>
        </w:rPr>
        <w:t>Comverge, which</w:t>
      </w:r>
      <w:r>
        <w:rPr>
          <w:rFonts w:ascii="Arial" w:cs="Arial" w:eastAsia="Arial" w:hAnsi="Arial"/>
          <w:sz w:val="17"/>
          <w:szCs w:val="17"/>
          <w:color w:val="auto"/>
        </w:rPr>
        <w:t xml:space="preserve"> </w:t>
      </w:r>
      <w:r>
        <w:rPr>
          <w:rFonts w:ascii="Arial" w:cs="Arial" w:eastAsia="Arial" w:hAnsi="Arial"/>
          <w:sz w:val="17"/>
          <w:szCs w:val="17"/>
          <w:color w:val="222222"/>
        </w:rPr>
        <w:t>e</w:t>
      </w:r>
      <w:r>
        <w:rPr>
          <w:rFonts w:ascii="Arial" w:cs="Arial" w:eastAsia="Arial" w:hAnsi="Arial"/>
          <w:sz w:val="17"/>
          <w:szCs w:val="17"/>
          <w:color w:val="000000"/>
        </w:rPr>
        <w:t>nabled us to offer integrated cloud-based demand response, energy efficiency, and customer engagement solutions. In 2018, we strengthened our ability to</w:t>
      </w:r>
      <w:r>
        <w:rPr>
          <w:rFonts w:ascii="Arial" w:cs="Arial" w:eastAsia="Arial" w:hAnsi="Arial"/>
          <w:sz w:val="17"/>
          <w:szCs w:val="17"/>
          <w:color w:val="222222"/>
        </w:rPr>
        <w:t xml:space="preserve"> </w:t>
      </w:r>
      <w:r>
        <w:rPr>
          <w:rFonts w:ascii="Arial" w:cs="Arial" w:eastAsia="Arial" w:hAnsi="Arial"/>
          <w:sz w:val="17"/>
          <w:szCs w:val="17"/>
          <w:color w:val="000000"/>
        </w:rPr>
        <w:t>deliver a broader set of solutions and to increase the pace of growth and innovation in the utility, smart city, and broader Industrial Internet of Things (IIoT) markets with the acquisition of Silver Spring Networks, Inc. (SSNI).</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Looking forward, we will continue to innovate and support open standards and maintain a device and transport agnostic platform that enables our customers to meet their needs either directly or via our ecosystem of partners. We support a worldwide network of connected devices, and we will continue to develop more applications, new opportunities, and value-added outcomes for our customers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discussion of our solutions, markets, and operating segments. Refer to Part II, Item 7: Management's Discussion and Analysis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and Part II, Item 8: Financial Statements and Supplementary Data for specific segment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way the world manages energy and water will be one of the defining actions of this century. At Itron, we are committed to creating a more resourceful world—one where energy, water, and city resources are managed safely, securely, and reliably, to help improve day-to-day life and promote the well-being of people around the world. We invent new ways for cities and utilities to work together so they can use data captured by our intelligent endpoints, sensors, and systems to cost-effectively leverage their infrastructure to deliver multiple services and applications on a reliable, intelligent platform capable of serving all their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Itron helps our customers adapt to a rapidly changing world and to address a number of macro trends, including:</w:t>
      </w:r>
    </w:p>
    <w:p>
      <w:pPr>
        <w:spacing w:after="0" w:line="50" w:lineRule="exact"/>
        <w:rPr>
          <w:sz w:val="20"/>
          <w:szCs w:val="20"/>
          <w:color w:val="auto"/>
        </w:rPr>
      </w:pPr>
    </w:p>
    <w:p>
      <w:pPr>
        <w:ind w:left="6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Infrastructure – </w:t>
      </w:r>
      <w:r>
        <w:rPr>
          <w:rFonts w:ascii="Arial" w:cs="Arial" w:eastAsia="Arial" w:hAnsi="Arial"/>
          <w:sz w:val="18"/>
          <w:szCs w:val="18"/>
          <w:color w:val="auto"/>
        </w:rPr>
        <w:t>such as aging utility infrastructure, grid security, safety, asset monitoring and management, and incorporating the proliferation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energy resources, such as electric vehicles, renewable energy and storage, into the grid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Environmental – </w:t>
      </w:r>
      <w:r>
        <w:rPr>
          <w:rFonts w:ascii="Arial" w:cs="Arial" w:eastAsia="Arial" w:hAnsi="Arial"/>
          <w:sz w:val="18"/>
          <w:szCs w:val="18"/>
          <w:color w:val="auto"/>
        </w:rPr>
        <w:t>such as extreme weather, resource scarcity, and demand for sustainability and decarbonization</w:t>
      </w:r>
    </w:p>
    <w:p>
      <w:pPr>
        <w:spacing w:after="0" w:line="26"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S</w:t>
      </w:r>
      <w:r>
        <w:rPr>
          <w:rFonts w:ascii="Arial" w:cs="Arial" w:eastAsia="Arial" w:hAnsi="Arial"/>
          <w:sz w:val="18"/>
          <w:szCs w:val="18"/>
          <w:i w:val="1"/>
          <w:iCs w:val="1"/>
          <w:color w:val="auto"/>
        </w:rPr>
        <w:t>ocial –</w:t>
      </w:r>
      <w:r>
        <w:rPr>
          <w:rFonts w:ascii="Arial" w:cs="Arial" w:eastAsia="Arial" w:hAnsi="Arial"/>
          <w:sz w:val="18"/>
          <w:szCs w:val="18"/>
          <w:color w:val="auto"/>
        </w:rPr>
        <w:t xml:space="preserve"> such as enhanced customer experience, critical need consumers, privacy, urbanization, population increase, and the management of "big data" and incorporating IIoT technology into their existing operations</w:t>
      </w: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solutions include smart networks, software, services, devices, sensors, and data analytics upon a platform that allows our customers to not only address the changing macro trends listed above but also to address pressing industry challenges to better manage and control assets, intelligently benchmark, secure revenue, lower operational costs, improve customer service, develop new business models and revenue streams, improve safety, and enable efficient management of valuable resources. Our comprehensive solutions and data analytics also help our customers address operational issues including increasing demand on resources, non-technical loss, leak detection, environmental and regulatory compliance, integrating renewable and distributed energy sources, and improving operational reliability.</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Itron solutions include technology, software, and services delivered as part of a standalone, one-time purchase or end-to-end solution over multiple years. The portfolio includes hardware products used for measurement, control, or sensing, with and without communications capability; a combination of endpoints and network infrastructure with embedded intelligence that is designed and sold as a complete solution to acquire and transport application-specific data; distribution automation - intelligent communication for the modern grid allowing secure, low-voltage distribution-system automation and control; distributed energy resource management (DERMs) to connect, analyze, and optimize distributed energy resources; and value-added services, software, and products that organize, analyze, and interpret data to gain insights, make decisions, and inform actions. We also offer managed services, Software-as-a-Service (SaaS), Network-as-a-Service (NaaS), technical support services, licensed hardware technology, and consulting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Drivers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Utility and municipalities are undergoing an evolution in affordability, reliability and sustainability impacting how they operate critical infrastructure, manage scarce resources, address impacts of climate disruption, and interact with their customers. Efficiently managing resources within energy, water, and cities is a top priority globally, as increasing populations and resource consumption along with extreme weather events continue to stress an aging infrastructure. The growing demand for energy, water, and municipal services coupled with the proliferation of renewable energy sources, smart communicating devices, sensors, and multiple data-producing technologies as well as the growing need to manage distributed energy resources is forcing providers to rethink how they operate and service their communities. This evolution comes at a time when utilities and municipalities are challenged by cost constraints, regulatory requirements, environmental concerns, safety, and resource scarcity. Itron provides its customers with solution-based offerings to safely, securely, and reliably optimize their critical infrastructure to improve the efficiency of their services and to better understand their customers and peers with near real-time knowledge of their resource usage. An added benefit of our solutions is that a utility or municipality can empower its customers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to understand and have control over their resource usage, allowing for better management and conservation of valuable resources.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 address these challenges, utilities and cities are looking to leverage innovations across a networked platform, such as edge (or distributed) intelligence to build and maintain critical infrastructure that can:</w:t>
      </w:r>
    </w:p>
    <w:p>
      <w:pPr>
        <w:ind w:left="660" w:hanging="328"/>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efficiently and effectively operate energy and water systems that are safe, reliable, and resilient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reduce the risk and impact of natural disasters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think for itself, repair itself, and anticipate problems before they occur</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deliver enhanced, more personalized services at lower cost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accommodate next-generation services through shared infrastructure between utilities and cities/municipalities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provide actionable insights for asset management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Outcomes. The following is a description of each of the three segments:</w:t>
      </w:r>
    </w:p>
    <w:p>
      <w:pPr>
        <w:spacing w:after="0" w:line="23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Device Solutions – </w:t>
      </w:r>
      <w:r>
        <w:rPr>
          <w:rFonts w:ascii="Arial" w:cs="Arial" w:eastAsia="Arial" w:hAnsi="Arial"/>
          <w:sz w:val="18"/>
          <w:szCs w:val="18"/>
          <w:color w:val="auto"/>
        </w:rPr>
        <w:t>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19"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i w:val="1"/>
          <w:iCs w:val="1"/>
          <w:color w:val="auto"/>
        </w:rPr>
        <w:t xml:space="preserve">Networked Solutions – </w:t>
      </w:r>
      <w:r>
        <w:rPr>
          <w:rFonts w:ascii="Arial" w:cs="Arial" w:eastAsia="Arial" w:hAnsi="Arial"/>
          <w:sz w:val="16"/>
          <w:szCs w:val="16"/>
          <w:color w:val="auto"/>
        </w:rPr>
        <w:t>This segment primarily includes a combination of communicating devices (e.g., smart meters, modules, endpoints,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sensors), 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spacing w:after="0" w:line="179"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i w:val="1"/>
          <w:iCs w:val="1"/>
          <w:color w:val="auto"/>
        </w:rPr>
        <w:t xml:space="preserve">Outcomes – </w:t>
      </w:r>
      <w:r>
        <w:rPr>
          <w:rFonts w:ascii="Arial" w:cs="Arial" w:eastAsia="Arial" w:hAnsi="Arial"/>
          <w:sz w:val="18"/>
          <w:szCs w:val="18"/>
          <w:color w:val="auto"/>
        </w:rPr>
        <w:t>This segment primarily includes our value-added, enhanced software and services in which we manage, organize, analyze, and interpret</w:t>
      </w:r>
      <w:r>
        <w:rPr>
          <w:rFonts w:ascii="Arial" w:cs="Arial" w:eastAsia="Arial" w:hAnsi="Arial"/>
          <w:sz w:val="18"/>
          <w:szCs w:val="18"/>
          <w:i w:val="1"/>
          <w:iCs w:val="1"/>
          <w:color w:val="auto"/>
        </w:rPr>
        <w:t xml:space="preserve"> </w:t>
      </w:r>
      <w:r>
        <w:rPr>
          <w:rFonts w:ascii="Arial" w:cs="Arial" w:eastAsia="Arial" w:hAnsi="Arial"/>
          <w:sz w:val="18"/>
          <w:szCs w:val="18"/>
          <w:color w:val="auto"/>
        </w:rPr>
        <w:t>raw, 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may vary based on actual currency rates at the time of shipment, supply constraints, and adjusted customer project timing.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price allocated to the remaining performance obligations disclosed in Part II, Item 8: Financial Statements and Supplementary Data, Note 17: Revenues.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 Bookings</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 Backlog</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12-Month Backlog</w:t>
            </w: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December 31, 2021</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1,539</w:t>
            </w: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backlog, as of December 31, 2021, included $64.7 million of backlog related to the sale of certain Gas product lines from our Device Solutions manufacturing and business operations in Europe and North America to Dresser Utility Solutions (Dresser). At transaction close on February 28, 2022, $55.7 million of this backlog was transferred to Dresser. For more information on the transaction refer to Part II, Item 8: Financial Statements and Supplementary Data, Note 18: Sale of Businesses.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use a combination of direct and indirect sales channels to access our customers. A direct sales force is utilized for our larger customers, with which we have long-established relationships. This direct sales force is focused on solution selling, solving problems and business challenges, and delivering valuable outcomes to our utility and smart city customers. For smaller utilities and most municipalities, we typically use an indirect sales channel that extends the reach of Itron's solutions by empowering trusted partners with the right tools, training, and technology to grow their business, deliver results, and help these customers better manage energy and water. These channels consist of distributors, agents, partners, and meter manufacturer representatives.</w:t>
      </w:r>
    </w:p>
    <w:p>
      <w:pPr>
        <w:spacing w:after="0" w:line="1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 single customer represented more than 10% of total revenues for the years ended December 31, 2022, 2021, and 2020. Our 10 largest customers in each of the years ended December 31, 2022, 2021, and 2020, accounted for approximately 32%, 25%, and 33% of total revenues.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require a wide variety of components and materials, which are subject to price and supply fluctuations. We enter into typical contracts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perform certain contracts depends on the availability of these materials. Refer to Item 1A: Risk Factors for further discussion related to manufacturing and supply risks.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manufacturing facilities are located throughout the world, an overview of which is presented in Item 2: Properties. While we manufacture and assemble a portion of our products, we outsource the manufacturing of many products and sub-assemblies to various manufacturing partners and strive to create an efficient and cost-effective structure. This approach allows us to reduce the costs related to our manufacturing overhead and inventory and also allows us to adjust more quickly to changing customer demand. These manufacturing partners assemble our sub-assemblies and products using design specifications, quality assurance programs, and standards that we establish and procure components and assemble our products based on demand forecasts. These forecasts represent our estimates of future demand for our products based upon historical trends and analysis from our sales and product management functions, as adjusted for overall market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delivering solutions and systems to our customers, we frequently partner with third-party vendors to provide hardware, software, or services, e.g., meter installation and communication network equipment and infrastructure. Due to the interoperable, open-standards based nature of our platform, we have also cultivated a highly diverse and growing ecosystem of partners and third-party developers who can create complementary solutions for our customers that run on the same network and within the same platform framework.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perform on our contractual obligations with our customers is dependent on these partners meeting their obligations to us. Refer to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for further discussion related to third-party vendors and strategic partners.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research and development is focused on both improving existing technology and developing innovative new technology for critical infrastructure in electricity, natural gas, water, heat, smart city, and DERMs verticals. This includes endpoints, sensing and control devices, data collection software, communication technologies, data warehousing, software applications, and the IIoT. We invested approximately $185 million, $197 million, and $194 million in research and development in 2022, 2021 and 2020, which represented 10% of total revenues for 2022 and 2021 and 9% of total revenues for 2020. Refer to Item 1A: Risk Factors for further discussion related to costs of developing competitive products and services.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December 31, 2022, we had 5,477 people in our workforce, including 4,822 permanent employees. We have not experienced significant employee work stoppages and our employee relations are deemed to be good.</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an equal opportunity employer, and we promote a culture of inclusion and diversity. We monitor our progress through various programs and policies. We offer wages and a range of company-paid benefits we believe are competitive with other companies in our industry and in the markets we serve.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breakdown of our employees by region and self-identified gender: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As of December 31, 2022</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169"/>
        </w:trPr>
        <w:tc>
          <w:tcPr>
            <w:tcW w:w="4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4"/>
                <w:szCs w:val="14"/>
                <w:color w:val="auto"/>
              </w:rPr>
            </w:pPr>
          </w:p>
        </w:tc>
        <w:tc>
          <w:tcPr>
            <w:tcW w:w="190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rPr>
              <w:t>Percentage of Total</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Region</w:t>
            </w:r>
          </w:p>
        </w:tc>
        <w:tc>
          <w:tcPr>
            <w:tcW w:w="1600" w:type="dxa"/>
            <w:vAlign w:val="bottom"/>
            <w:gridSpan w:val="2"/>
          </w:tcPr>
          <w:p>
            <w:pPr>
              <w:ind w:left="560"/>
              <w:spacing w:after="0"/>
              <w:rPr>
                <w:sz w:val="20"/>
                <w:szCs w:val="20"/>
                <w:color w:val="auto"/>
              </w:rPr>
            </w:pPr>
            <w:r>
              <w:rPr>
                <w:rFonts w:ascii="Arial" w:cs="Arial" w:eastAsia="Arial" w:hAnsi="Arial"/>
                <w:sz w:val="18"/>
                <w:szCs w:val="18"/>
                <w:b w:val="1"/>
                <w:bCs w:val="1"/>
                <w:color w:val="auto"/>
              </w:rPr>
              <w:t>Male</w:t>
            </w:r>
          </w:p>
        </w:tc>
        <w:tc>
          <w:tcPr>
            <w:tcW w:w="1620" w:type="dxa"/>
            <w:vAlign w:val="bottom"/>
            <w:gridSpan w:val="2"/>
          </w:tcPr>
          <w:p>
            <w:pPr>
              <w:ind w:left="480"/>
              <w:spacing w:after="0"/>
              <w:rPr>
                <w:sz w:val="20"/>
                <w:szCs w:val="20"/>
                <w:color w:val="auto"/>
              </w:rPr>
            </w:pPr>
            <w:r>
              <w:rPr>
                <w:rFonts w:ascii="Arial" w:cs="Arial" w:eastAsia="Arial" w:hAnsi="Arial"/>
                <w:sz w:val="18"/>
                <w:szCs w:val="18"/>
                <w:b w:val="1"/>
                <w:bCs w:val="1"/>
                <w:color w:val="auto"/>
              </w:rPr>
              <w:t>Female</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Employees</w:t>
            </w:r>
          </w:p>
        </w:tc>
        <w:tc>
          <w:tcPr>
            <w:tcW w:w="100" w:type="dxa"/>
            <w:vAlign w:val="bottom"/>
          </w:tcPr>
          <w:p>
            <w:pPr>
              <w:spacing w:after="0"/>
              <w:rPr>
                <w:sz w:val="21"/>
                <w:szCs w:val="21"/>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Employees</w:t>
            </w: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50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1,454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 &amp; Other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43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
        </w:trPr>
        <w:tc>
          <w:tcPr>
            <w:tcW w:w="4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These numbers do not include contingent workers (655 as of December 31,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enable utilities and cities to safely, securely, and reliably deliver critical infrastructure services to communities around the world. Our portfolio of smart networks, software, services, meters, and sensors help our customers better manage energy, water, and city infrastructure resources for the people they serve. Consequently, we operate within a large and complex competitive landscape, and our competitors range from small companies to large, established corporations. Some of our competitors have diversified product portfolios and participate in multiple geographic markets, while others focus on specific regional markets and/or certain types of products, including some low-cost suppliers of devices based in Asia. Our primary competitors include LM Ericsson Telephone Company, Landis+Gyr, Mueller Water Products, and Xylem, Inc. (formerly Sensus).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competitive advantage is based on our in-depth knowledge of the industries we serve, our capacity to innovate, and our ability to provide complete end-to-end integrated solutions. We also differentiate ourselves with an intelligent IIoT platform that is solution, device, and transport agnostic—a platform that can be backwards compatible, able to run a multitude of applications and solutions, is highly secure, fully integrated into our portfolio, highly interoperable, captures relays, and leverages high-resolution data for near real-time decision making. The platform involves an ever-growing, diverse ecosystem of partners and third-party developers who can create and deploy specific point solutions creating greater value for our customers.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global leader in the IIoT category; an industry leader in communication modules deployed; a leading industry innovator; a leader of energy and water end-to-end solutions; and a global leader in endpoints under managed services. We continue to serve our established customer relationships and expand upon our track record of delivering reliable, accurate, and long-lived products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for a discussion of the competitive pressures we face.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research and development, joint sales and marketing, or access to new geographic markets. Refer to Item 1A: Risk Factors for a discussion of risks associated with strategic alliances.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patents and patent applications cover a range of technologies that relate to standard metering, smart metering solutions and technology, meter data management software, knowledge application solutions, and IIoT. We also rely on a combination of copyrights, trademarks,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Regulations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our business, we are impacted by many governmental regulations, including environmental regulations. We believe that we are materially in compliance with all federal, state, and local governmental laws, rules, and regulations applicable to the operation of our business. There are no known regulations pending that will have a substantial adverse impact on our business, revenue, earnings, or cash flows. However, if new or amended laws or regulations impose significant operational restrictions and compliance requirements upon the Company or its products, the Company's business, capital expenditures, results of operations, financial condition and competitive position could be altered.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27,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Thomas L. Deitrich</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top w:val="single" w:sz="8" w:color="CCEEFF"/>
            </w:tcBorders>
            <w:shd w:val="clear" w:color="auto" w:fill="CCEEFF"/>
          </w:tcPr>
          <w:p>
            <w:pPr>
              <w:spacing w:after="0"/>
              <w:rPr>
                <w:sz w:val="19"/>
                <w:szCs w:val="19"/>
                <w:color w:val="auto"/>
              </w:rPr>
            </w:pPr>
          </w:p>
        </w:tc>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Michel C. Cadieux</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Justin K. Patrick</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Senior Vice President, Device Solutions</w:t>
            </w: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F. Marcolini</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Networked Solutions</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Donald L. Reeves</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Senior Vice President, Outcomes</w:t>
            </w: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E. Ware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General Counsel and Corporate Secretary</w:t>
            </w:r>
          </w:p>
        </w:tc>
      </w:tr>
    </w:tbl>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Thomas L. Deitrich </w:t>
      </w:r>
      <w:r>
        <w:rPr>
          <w:rFonts w:ascii="Arial" w:cs="Arial" w:eastAsia="Arial" w:hAnsi="Arial"/>
          <w:sz w:val="18"/>
          <w:szCs w:val="18"/>
          <w:color w:val="auto"/>
        </w:rPr>
        <w:t>is President and Chief Executive Officer and a member of our Board of Directors. Mr. Deitrich was appointed to his current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to the Board of Directors in August 2019. Mr. Deitrich joined Itron in October 2015, serving as Itron's Executive Vice President and Chief Operating Officer until his promotion to CEO.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 Mr. Deitrich is a director of ON Semiconductor Corporation, a NASDAQ listed company.</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Joan S. Hooper </w:t>
      </w:r>
      <w:r>
        <w:rPr>
          <w:rFonts w:ascii="Arial" w:cs="Arial" w:eastAsia="Arial" w:hAnsi="Arial"/>
          <w:sz w:val="18"/>
          <w:szCs w:val="18"/>
          <w:color w:val="auto"/>
        </w:rPr>
        <w:t>is Senior Vice President and Chief Financial Officer. Ms. Hooper was appointed to this role in June 2017. Prior to joining Itron, Ms.</w:t>
      </w:r>
      <w:r>
        <w:rPr>
          <w:rFonts w:ascii="Arial" w:cs="Arial" w:eastAsia="Arial" w:hAnsi="Arial"/>
          <w:sz w:val="18"/>
          <w:szCs w:val="18"/>
          <w:b w:val="1"/>
          <w:bCs w:val="1"/>
          <w:color w:val="auto"/>
        </w:rPr>
        <w:t xml:space="preserve"> </w:t>
      </w:r>
      <w:r>
        <w:rPr>
          <w:rFonts w:ascii="Arial" w:cs="Arial" w:eastAsia="Arial" w:hAnsi="Arial"/>
          <w:sz w:val="18"/>
          <w:szCs w:val="18"/>
          <w:color w:val="auto"/>
        </w:rPr>
        <w:t>Hooper was Chief Financial Officer of CHC Helicopter from 2011 to July 2015. Following Ms. Hooper's departure from CHC, CHC filed a voluntary petition of relief under Chapter 11 of the U.S. Bankruptcy Code in May 2016, and CHC emerged from bankruptcy in March 2017. Prior to CHC, she held several executive finance positions at Dell, Inc. from 2003 to 2010, including Vice President and Chief Financial Officer for its Global Public and Americas business units, Vice President of Corporate Finance and Chief Accounting Officer.</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and has been so since joining Itron in February 2014. From 2008 to 2012, Mr. Cadieux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Human Resources and Security at Freescale Semiconductor, Inc. (Freescale). Mr. Cadieux has more than 30 years leading HR organizations in global technology and manufacturing companies including Betz Laboratories, the Hudson Bay Company, ING Bank of Canada, Advanced Micro Devices/ATI, and Freescale.</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Justin K. Patrick </w:t>
      </w:r>
      <w:r>
        <w:rPr>
          <w:rFonts w:ascii="Arial" w:cs="Arial" w:eastAsia="Arial" w:hAnsi="Arial"/>
          <w:sz w:val="16"/>
          <w:szCs w:val="16"/>
          <w:color w:val="auto"/>
        </w:rPr>
        <w:t>is Senior Vice President, Device Solutions, where he is responsible for Itron's strategy to become a leading global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safety, and operational devices for utilities and cities. Mr. Patrick joined Itron in January 2020. From 2018 to 2020, Mr. Patrick was Vice President &amp; General Manager, Residential Products at Johnson Controls International (JCI). Before that role, he was Vice President &amp; General Manager, Variable Refrigerant Flow Systems and Ductless from 2014 to 2017, and Director, Channel Strategy and Marketing from 2010 to 2014 at JCI. Prior to his time at JCI, Mr. Patrick held a sales leadership role at the Auer Steel and Heating Supply Company, and at Carrier Corporation he had roles of increasing responsibility culminating in general management. Prior to his civilian career, Mr. Patrick served as a Surface Warfare Officer in the United States Navy.</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John F. Marcolini </w:t>
      </w:r>
      <w:r>
        <w:rPr>
          <w:rFonts w:ascii="Arial" w:cs="Arial" w:eastAsia="Arial" w:hAnsi="Arial"/>
          <w:sz w:val="17"/>
          <w:szCs w:val="17"/>
          <w:color w:val="auto"/>
        </w:rPr>
        <w:t>is Senior Vice President, Networked Solutions, where he is responsible for product development, marketing, and overall strategy for</w:t>
      </w:r>
      <w:r>
        <w:rPr>
          <w:rFonts w:ascii="Arial" w:cs="Arial" w:eastAsia="Arial" w:hAnsi="Arial"/>
          <w:sz w:val="17"/>
          <w:szCs w:val="17"/>
          <w:b w:val="1"/>
          <w:bCs w:val="1"/>
          <w:color w:val="auto"/>
        </w:rPr>
        <w:t xml:space="preserve"> </w:t>
      </w:r>
      <w:r>
        <w:rPr>
          <w:rFonts w:ascii="Arial" w:cs="Arial" w:eastAsia="Arial" w:hAnsi="Arial"/>
          <w:sz w:val="17"/>
          <w:szCs w:val="17"/>
          <w:color w:val="auto"/>
        </w:rPr>
        <w:t>Itron's global networking platforms and smart cities strategy and solutions. Mr. Marcolini was appointed to this role in July 2020. Mr. Marcolini joined Itron in January 2018 as part of Itron's acquisition of SSNI as the Vice President of product management, responsible for product strategy and lifecycle management across Itron's smart energy, smart city and IIoT portfolios. He has more than 20 years of product management, business development, and customer delivery experience with deep technical knowledge of networking, radio frequency technologies, and IIoT. Mr. Marcolini has also spent many years working with utility customers to deliver and implement complex product deployments.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Donald L. Reeves </w:t>
      </w:r>
      <w:r>
        <w:rPr>
          <w:rFonts w:ascii="Arial" w:cs="Arial" w:eastAsia="Arial" w:hAnsi="Arial"/>
          <w:sz w:val="18"/>
          <w:szCs w:val="18"/>
          <w:color w:val="auto"/>
        </w:rPr>
        <w:t>is Senior Vice President, Outcomes, where he is responsible for Itron's software and services offerings, delivery teams, managed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operations, and customer support. Mr. Reeves was appointed to this role in September 2019. Mr. Reeves joined Itron in January 2018 as part of Itron's acquisition of SSNI, and, from 2016 to 2018, he was SSNI's Chief Technology Officer. From 2005 to 2016, Mr. Reeves held several managed services and engineering positions at SSNI. Prior to joining SSNI, Mr. Reeves served as Vice President of Engineering at Black Pearl from 2003 to 2004 and was Vice President of Engineering at Commerce One from 2001 to 2003, and prior to that held leadership positions at several startup technology companies.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Christopher E. Ware </w:t>
      </w:r>
      <w:r>
        <w:rPr>
          <w:rFonts w:ascii="Arial" w:cs="Arial" w:eastAsia="Arial" w:hAnsi="Arial"/>
          <w:sz w:val="18"/>
          <w:szCs w:val="18"/>
          <w:color w:val="auto"/>
        </w:rPr>
        <w:t>is Vice President, General Counsel and Corporate Secretary. Mr. Ware has more than 25 years of experience as a senior legal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executive. He joined Itron in March 2021 as Associate General Counsel and Chief Compliance Officer. In March 2022, he was promoted to Vice President, Legal and Corporate Secretary. In this role, he is responsible for Itron's corporate governance, business legal solutions, and risk management. Prior to joining Itron, Mr. Ware served as Executive Director and General Manager at Johnson Controls International (JCI) from 2018 to 2021. Before that position, Mr. Ware occupied numerous senior legal roles within JCI from 2011 to 2018. He also held roles in the U.S. Attorney's Office, the Department of Justice, and several private law firms.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Industry Risks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are dependent on the utility industry, which has lengthy and unpredictable sales cycles and has experienced volatility in capital spending, each of which has and could cause our operating results to fluctuate significantly.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climate disruption, and fluctuating interest rates. We have experienced, and may in the future experience, variability in operating results on an annual and a quarterly basis as a result of these factors.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industries in which we sell our products and services, in particular the utility industry, are subject to substantial government regulation. For example, regulations have often influenced the frequency of customer meter replacements. Sales cycles for our standalone meter products have typically been based on annual or biennial bid-based agreements. Utilities place purchase orders against these agreements as their inventories decline, which can create fluctuations in our sales volumes.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must continually shift and adapt our products and services mix, which requires substantial judgment and investment.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market is characterized by increasing complexity driven by evolving technology, increased regulatory pressures, and the emergence of new competitive products, all of which impact the way our products and services are designed, developed, marketed, and delivered. The shift in, and increasing complexity of, our products and services mix involves judgment and entails risks. In order to successfully design and develop more complex offerings, we must anticipate the right products, solutions, and technologies to meet estimated market demands. These estimates may prove wrong. Additionally, our complex offerings may contain defects when they are first introduced; their release may be delayed due to unforeseen difficulties during product and service design and development; or they may have reliability, quality, or compatibility problems. We may not be able to successfully design workarounds. Any shift in, or increased complexity of, our products and services mix may not be easily understood or adopted by our current or future customers, who may be reluctant to buy, or may delay purchases of, our products and services.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our evolving products and services mix could cause us to incur substantial additional costs if we need to materially improve our manufacturing infrastructure, develop new systems to deliver our services, or fundamentally change the way in which we deliver services. Also, if one of our new offerings were competitive to our prior offerings and represented an adequate or superior alternative, customers could decide to abandon prior offerings that produce higher revenue or better margins than the new offering. Therefore, the adaptation to new technologies or standards or the development and launch of new products or services could result in lower revenue, lower margins, and/or higher costs, which could unfavorably impact our financial performance.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Delays in the availability of or shortages in raw materials and component parts used in the manufacture of our products, as well as freight, labor, and other ancillary cost increases, could unfavorably impact our revenues and results of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impacted by the availability and prices of raw materials and component parts used in the manufacturing process of our products. Raw materials include purchased castings made of metal or alloys (such as brass, which uses copper as its main component, aluminum, stainless steel and cast iron), plastic resins, glass, and other electronic components, such as microprocessors and semiconductors. There are multiple sources for these raw materials and components, but we sometimes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rely on single suppliers for certain of these materials. Our inability to obtain adequate supplies of raw materials and component parts at favorable prices could have a material adverse effect on our business, financial condition, or results of operations, including reduced revenue, lower profit margins, and delays in deliveries to customers, which could result in damages or penalties to be paid under the terms of certain of our customer contracts. Since we do not control the production of these raw materials and component parts, there may be delays caused by an interruption in the production or transportation of these materials for reasons that are beyond our control. World commodity markets, inflation, tariffs or embargoes may also affect the availability or prices of raw materials or component parts. Recently, inflation in our raw materials and component costs, freight charges, and labor costs have increased above historical levels, due to, among other things, the continuing impacts of the pandemic and the uncertain economic environment. Certain customer arrangements within our backlog may include previously committed pricing, and we may or may not be able to fully recover increased costs through pricing actions with these customers.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may be adversely impacted if key vendors, strategic partners, and other third parties fail to perform.</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of our products, subassemblies, and system components, including most of our circuit boards, are procured from limited or sole sources. We cannot be certain that we will not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and pandemics, component or material shortages, cost increases, or other similar problems. Further, to minimize their inventory risk, our manufacturers may not order components from third-party suppliers with adequate lead time, thereby impacting our ability to meet our demand forecast. If we fail to manage our relationship with our manufacturers effectively, or if they experience operational difficulties, our ability to ship products to our customers and distributors could be impaired, and our competitive position and reputation could be harmed. If we receive shipments of products that fail to comply with our technical specifications or that fail to conform to our quality control standards, and if we are not able to obtain replacement products in a timely manner, we risk revenue losses from the inability to sell those products, increased administrative and shipping costs, and lower profitability. Additionally, if defects are not discovered until after consumers take delivery of our products, those customers could lose confidence in the technical attributes of our products, and our business could be harmed. Although arrangements with these partners may contain provisions for warranty expense reimbursement, we may remain responsible to the customer for warranty service in the event of product defects and could experience an unanticipated product defect or warranty liability. While we rely on partners to adhere to our supplier code of conduct, material violations of the supplier code of conduct could occur.</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been and will continue to be affected by the ongoing COVID-19 pandemic, and such effects will continue to have an adverse effect on our business operations, results of operations, cash flows, and financial condition.</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experienced disruptions to our business from the ongoing COVID-19 pandemic, and the full impact of the COVID-19 pandemic on all aspects of our business and geographic markets is highly uncertain and cannot be predicted with confidence. This includes how it may impact our customers, employees, vendors, strategic partners, managed services, and manufacturing operations. The COVID-19 pandemic has created significant volatility, uncertainty, and economic disruption, which may materially and adversely affect our business operations, cash flows, and financial condition.</w:t>
      </w:r>
    </w:p>
    <w:p>
      <w:pPr>
        <w:spacing w:after="0" w:line="18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impact of the pandemic on third parties on which we rely, such as our suppliers, contract manufacturers, distributors, and strategic partners, cannot be fully known or controlled by us. As a result, we have and will likely continue to experience difficulties sourcing components, sub-assemblies, outsourced finished goods, and other products and services. In particular, our ability to obtain adequate supply of semiconductor components has impacted our ability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service recovering customer demand. While we believe the current imbalance in supply and demand is temporal, the timeline to recovery is uncertain. Efforts are ongoing with suppliers to increase supply, including the approval of alternate sources. The impact of the COVID-19 pandemic on our customers and demand for our products is also uncertain. Due to resulting financial constraints, illness within their organizations, quarantine and travel restrictions placed upon our customers' employees, as well as individual actions our customers may take in response to the spread of COVID-19, our customers may have difficulty in making timely payments to us or may have an inability or unwillingness to purchase our products and services. Also, certain of our projects require regulatory approvals, and our customers may experience delays in regulatory approvals. Any of these effects may materially and adversely affect us.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take measures, both voluntary and as a result of government directives and guidance, to mitigate the effects of the COVID-19 pandemic on us and others. These measures have included, among others, restrictions on our employees' access to our physical work locations and the purchase of personal protective equipment. Additionally, we may implement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temporary closure or reduction in operations of certain of our facilities, either voluntarily or through imposed lockdowns, which is disruptive to our operations. We have also implemented measures to allow certain employees to work remotely, which may place a burden on our IT systems and may expose us to increased vulnerability to cyber-attack and other cyber-disruption. Many of these measures may result in incremental costs to us, and such costs may not be recoverable or adequately covered by our insurance. Further, any focus by our management on mitigating COVID-19 effects has required, and will continue to require, a large investment of time and resources, which may delay other value-add initiatives.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company with global operations, we are subject to numerous government jurisdictions at all levels that are addressing COVID-19 differently. The guidance and directives provided by these governmental authorities is difficult to predict, may be unclear in their application, and are unknown in duration. This includes uncertainty in governmental authorities' assessments of our business as "essential". If governmental authorities were to reverse their designation of our business as "essential", it could have a material effect on our results of operations and cash flows.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full extent to which the COVID-19 pandemic impacts us depends on numerous evolving factors and future developments that we are not able to predict at this time, including: medical advancements to treat or stop the virus including the effectiveness, widespread availability, and application of any vaccine; governmental, business, and other actions, which could include limitations on our operations to provide products or services; the duration and severity of the outbreak, including resurgence, reinfections, or mutation of the virus, and the related limitations on our ability to conduct business; or the length of time and velocity at which we will return to more normalized operations. The impact of COVID-19 may also include possible impairment or other charges and may exacerbate other risks discussed herein, any of which could have a material effect on us. This situation continues to change, and additional impacts may arise that we are not aware of currently.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competition, which may result in a loss of market share or price erosion of our products and services.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These competitors may sell products and services at lower prices in order to gain or grow market share, be able to respond more quickly to new or emerging technologies and changes in customer requirements, and may have made or make strategic acquisitions or establish cooperative relationships among themselves or with third parties that enhance their ability to address the needs of our prospective customers. Other companies may also drive technological innovation and develop products and services that are equal in quality and performance or superior to our products and services, which could reduce our market position, reduce our overall sales, and require us to invest additional funds in new technology development. In addition, our products and services may experience price erosion if low-cost providers expand their presence in our markets, improve their quality, or form alliances or cooperative relationships with our competitors, or if our products and services become commoditized. For example, some utilities may purchase meters separately from the communication devices. The specifications for such meters may require interchangeability, which could lead to further commoditization of the meter, thus driving prices lower and reducing margins. Pricing pressure is also driven by other events outside our control, to include movement away from manually read meters, government programs, and new construction. Should we fail to compete successfully with current or future competitors or to adequately manage pricing pressure, we could experience material adverse effects on our business, financial condition, results of operations, and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cannot continue to invest in developing competitive products and services, we will not be able to compete effectively.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success will depend, in part, on our ability to continue to develop, design and manufacture competitive products and services, enhance and sustain our existing products and services, keep pace with technological advances and changing customer requirements, gain international market acceptance, and manage other factors in the markets in which we sell our products and services. Product and service development will require continued investment to maintain our competitive position, and the periods in which we incur significant research and development costs may drive variability in our results of operations.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research and development schedules. New products often require certifications or regulatory approvals before the products can be used, and we cannot be certain our new products will be approved in a timely manner, or at all. Finally, we may not achieve market acceptance of our new products and services.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maintain a high level of customer satisfaction, demand for our products and services could suffer.</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our success depends on our ability to understand and address our customers' requirements and concerns. This includes our ability to effectively articulate and demonstrate to customers how our products and services meet their needs and to deliver our products timely as committed, with a sufficient level of quality. In addition, we continue to work toward easing general concerns about the safety and perceived health risks of using radio frequency communications, as well as privacy concerns of monitoring home appliance energy usage, which have had some adverse publicity in the past. If we were unable to overcome these real and perceived risks, we could face customer dissatisfaction, dilution of our brand, decreased overall demand for our services, and loss of revenue. In addition, our inability to meet customer performance, safety, and service expectations may damage our reputation and could consequently limit our ability to retain existing customers and attract new customers, which would adversely affect our ability to generate revenue and unfavorably impact our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defects could disrupt our operations and result in harm to our reputation and financial position.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other third-party vendors, or regulatory entities; result in the loss of business to competitors; or result in litigation. We may incur additional warranty expenses in the future with respect to new or established products, which could materially and adversely affect our operations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geopolitical instability, or other natural or man-made disasters or business interruptions. The occurrence of any of these business disruptions could seriously harm our business, financial condition, and results of operations.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inventory, intangible assets, long-lived assets, and goodwill that are susceptible to valuation adjustments as a result of changes in various factors or conditions, which could impact our results of operations and financial condition. Factors that could trigger an impairment of such assets include the following:</w:t>
      </w:r>
    </w:p>
    <w:p>
      <w:pPr>
        <w:spacing w:after="0" w:line="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 in the net realizable value of inventory, which becomes obsolete or exceeds anticipated demand</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industry or economic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Failure to attract and retain key personnel who are critical to the success of our business could unfavorably impact our ability to operate or grow our business.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depends in large part on the efforts of our highly qualified technical and management personnel and highly skilled individuals in all disciplines. The loss of one or more of these employees and the inability to attract and retain qualified replacements could have a material adverse effect on our business. In addition, as our products and services become more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technologically complex, it could become especially difficult to recruit or retain personnel with unique in-demand skills and knowledge, whom we would expect to become recruiting targets for our competitors and for other companies relying on similar talent. There is no assurance that we will be able to recruit or retain qualified personnel, and this failure could diminish our ability to develop and deliver new products and services, which could cause our operations and financial results to be unfavorably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 and guidance could result in unfavorable accounting charges or effects.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our consolidated financial statements in accordance with U.S. generally accepted accounting principles (GAAP). These principles are subject to interpretation by the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 and Organization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indebtedness could restrict our operational flexibility and prevent us from raising additional capital or meeting our obligations under our debt instruments.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our total outstanding indebtedness was $460.0 million as described under Liquidity and Capital Resources. Our 2018 credit facility allows us to draw on a $500.0 million revolving line of credit. This indebtedness could have important consequences to us, including:</w:t>
      </w:r>
    </w:p>
    <w:p>
      <w:pPr>
        <w:spacing w:after="0" w:line="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increasing our vulnerability to general economic and industry conditions</w:t>
      </w:r>
    </w:p>
    <w:p>
      <w:pPr>
        <w:spacing w:after="0" w:line="80" w:lineRule="exact"/>
        <w:rPr>
          <w:rFonts w:ascii="Arial" w:cs="Arial" w:eastAsia="Arial" w:hAnsi="Arial"/>
          <w:sz w:val="22"/>
          <w:szCs w:val="22"/>
          <w:color w:val="auto"/>
        </w:rPr>
      </w:pPr>
    </w:p>
    <w:p>
      <w:pPr>
        <w:ind w:left="660" w:right="20" w:hanging="328"/>
        <w:spacing w:after="0" w:line="251"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7"/>
          <w:szCs w:val="17"/>
          <w:color w:val="auto"/>
        </w:rPr>
        <w:t>requiring a substantial portion of our cash flow used in operations to be dedicated to the payment of principal and interest, therefore reducing our liquidity and our ability to use our cash flow to fund our operations, capital expenditures, and future business opportunities</w:t>
      </w:r>
    </w:p>
    <w:p>
      <w:pPr>
        <w:spacing w:after="0" w:line="69" w:lineRule="exact"/>
        <w:rPr>
          <w:rFonts w:ascii="Arial" w:cs="Arial" w:eastAsia="Arial" w:hAnsi="Arial"/>
          <w:sz w:val="21"/>
          <w:szCs w:val="21"/>
          <w:color w:val="auto"/>
        </w:rPr>
      </w:pPr>
    </w:p>
    <w:p>
      <w:pPr>
        <w:jc w:val="both"/>
        <w:ind w:left="660" w:hanging="328"/>
        <w:spacing w:after="0" w:line="244"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requiring us to meet specified financial ratios, a failure of which may result in restrictions on us and our subsidiaries to take certain actions or result in the declaration of an event of default, which, if not cured or waived, could require acceleration of required payments against such indebtedness and result in cross defaults under our other indebtedness</w:t>
      </w:r>
    </w:p>
    <w:p>
      <w:pPr>
        <w:spacing w:after="0" w:line="7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exposing us to the risk of increased market interest rates, and corresponding increased interest expense, as unhedged borrowings under the 2018 credit facility as amended (2018 credit facility) would be at variable rates of interest</w:t>
      </w:r>
    </w:p>
    <w:p>
      <w:pPr>
        <w:spacing w:after="0" w:line="8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w:t>
      </w:r>
    </w:p>
    <w:p>
      <w:pPr>
        <w:spacing w:after="0" w:line="2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Our 2018 credit facility places restrictions on our ability, and the ability of many of our subsidiaries, dependent on meeting specified financial ratios, to, among other things:</w:t>
      </w: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 incur more debt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make certain investments</w:t>
      </w:r>
    </w:p>
    <w:p>
      <w:pPr>
        <w:ind w:left="20"/>
        <w:spacing w:after="0"/>
        <w:rPr>
          <w:sz w:val="20"/>
          <w:szCs w:val="20"/>
          <w:color w:val="auto"/>
        </w:rPr>
      </w:pPr>
      <w:r>
        <w:rPr>
          <w:rFonts w:ascii="Arial" w:cs="Arial" w:eastAsia="Arial" w:hAnsi="Arial"/>
          <w:sz w:val="16"/>
          <w:szCs w:val="16"/>
          <w:color w:val="auto"/>
        </w:rPr>
        <w:t>• execute transactions with affiliates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merge or consolidate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pay dividends, make distributions, and repurchase capital stock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create liens</w:t>
      </w:r>
    </w:p>
    <w:p>
      <w:pPr>
        <w:spacing w:after="0" w:line="234" w:lineRule="auto"/>
        <w:rPr>
          <w:sz w:val="20"/>
          <w:szCs w:val="20"/>
          <w:color w:val="auto"/>
        </w:rPr>
      </w:pPr>
      <w:r>
        <w:rPr>
          <w:rFonts w:ascii="Arial" w:cs="Arial" w:eastAsia="Arial" w:hAnsi="Arial"/>
          <w:sz w:val="18"/>
          <w:szCs w:val="18"/>
          <w:color w:val="auto"/>
        </w:rPr>
        <w:t>• execute sale lease-back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transfer or sell assets</w:t>
      </w:r>
    </w:p>
    <w:p>
      <w:pPr>
        <w:spacing w:after="0" w:line="200" w:lineRule="exact"/>
        <w:rPr>
          <w:sz w:val="20"/>
          <w:szCs w:val="20"/>
          <w:color w:val="auto"/>
        </w:rPr>
      </w:pPr>
    </w:p>
    <w:p>
      <w:pPr>
        <w:sectPr>
          <w:pgSz w:w="11900" w:h="16838" w:orient="portrait"/>
          <w:cols w:equalWidth="0" w:num="2">
            <w:col w:w="3860" w:space="720"/>
            <w:col w:w="6660"/>
          </w:cols>
          <w:pgMar w:left="320" w:top="125" w:right="339" w:bottom="1440" w:gutter="0" w:footer="0" w:header="0"/>
          <w:type w:val="continuous"/>
        </w:sectPr>
      </w:pP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scheduled payments on and/or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system and capital markets. We cannot assure you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were unable to meet our debt service obligations or to fund our other liquidity needs, we would need to restructure or refinance all or a portion of our debt, which could cause us to default on our debt obligations and impair our liquidity. Our ability to restructure or refinance our debt will depend on the condition of the capital markets and our financial condition at such time. Even if refinancing indebtedness were available, any refinancing of our indebtedness could be at higher interest rates and may require us to comply with more onerous covenants that could further restrict our business operations.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2018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2018 credit facility, we would be in default thereunder. Such lenders could exercise their rights, as described above, and we could be forced into bankruptcy or liquidation.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our debt instruments contain certain restrictions, these restrictions are subject to a number of qualifications and exceptions, including that certain trade payables do not constitute indebtedness. Additional indebtedness incurred in compliance with these restrictions could be substantial. To the extent we incur additional indebtedness or other obligations, the risks described above and others described herein may increase.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convertible note hedge and warrant transactions may affect the value our common stock.</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Convertible Notes, we entered into convertible note hedge transactions with certain financial institutions, which we refer to as "hedge counterparties". We also entered into warrant transactions with the hedge counterparties pursuant to which we sold warrants for the purchase of our common stock. The convertible note hedge transactions are generally to reduce the potential dilution upon any conversion of Convertible Notes and/or offset any cash payments we are required to make in excess of the principal amount of converted notes, as the case may be. The warrant transactions would separately have a dilutive effect to the extent that the market price per share of our common stock exceeds the strike price of any warrants unless, subject to the terms of the warrant transactions, we elect to cash settle the warrants.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hedge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Convertible Notes (and are likely to do so during any observation period related to a conversion of Convertible Notes or following any repurchase of Convertible Notes by us in connection with any fundamental change repurchase date or otherwise). This activity could also cause or avoid an increase or a decrease in the market price of our common stock.</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potential effect, if any, of these transactions and activities on the market price of our common stock or the Convertible Notes will depend in part on market conditions and cannot be ascertained at this time. Any of these activities could adversely affect the value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Future sales of our stock in the public market, or the issuance of stock upon conversion of the Convertible Notes, could cause our stock price to decline.</w:t>
      </w:r>
    </w:p>
    <w:p>
      <w:pPr>
        <w:spacing w:after="0" w:line="2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cannot predict the effect, if any, that market sales of shares of our common stock or the availability of shares for sale will have on the prevailing trading price of our common stock from time to time. Sales of a substantial number of shares of our common stock could cause the price of our common stock to decline. In addition, a substantial number of shares of our common stock will be reserved for issuance upon conversion of the Convertible Notes. We may in the future also issue shares of common stock for financings, acquisitions, or equity incentives. If we issue additional shares of common stock in the future, such issuances would have a dilutive effect on the economic interest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strategy includes acquisitions, divestitures, and investments, which we may not be able to execute or integrate successfully.</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pursuing our business strategy, we may conduct discussions, evaluate companies, and enter into agreements regarding possible acquisitions, divestitures, or equity investments. We have completed acquisitions and may make investments in the future, both within and outside of the United States. We may also, if appropriate opportunities present themselves, make divestitures. Acquisitions, investments, and divestitures involve numerous risks such as the diversion of senior management's attention; unsuccessful integration of the acquired or disintegration of the divested entity's personnel, operations, technologies, and products; unidentified or identified but non-indemnified pre-closing liabilities that we may be responsible for; incurrence of significant expenses to meet an acquiree's customer contractual commitments; lack of market acceptance of new services and technologies; difficulties in operating businesses in international legal jurisdictions; or transaction-related or other litigation, and other liabilities. Failure to adequately address these issues could result in the diversion of resources and adversely impact our ability to manage our business. In addition, acquisitions and investments in third parties may involve the assumption of obligations, significant write-offs, or other charges associated with the acquisition or investment. Impairment of an investment, goodwill, or an intangible asset may result if these risks were to materialize. For investments in entities that are not wholly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owned by Itron, such as joint ventures, a loss of control as defined by GAAP could result in a significant change in accounting treatment and a change in the carrying value of the entity. There can be no assurance that an acquired business will perform as expected, accomplish our strategic objectives, or generate significant revenues, profits, or cash flows. Any divestiture could result in disruption to other parts of our business, potential loss of employees or customers, exposure to unanticipated liabilities, or result in ongoing obligations and liabilities following any such divestiture. For example, in connection with a divestiture, we may enter into transition services agreements or other strategic relationships, including long-term commercial arrangements, sales arrangements, or agree to provide certain indemnities to the purchaser in any such transaction, which may result in additional expense and may adversely affect our financial condition and results of operations.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or availability of our products and services. Some of these contracts contain long-term commitments to a set schedule of delivery or performance and require us to deliver standby letters of credit or bonds as a guarantee to the customer for our future performance. If we fail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Additionally, if we were to determine that products and/or services to be delivered under a specific component of a customer contract would result in a loss due to expected revenues estimated to be less than expected costs, we could be required to recognize a reduction of revenue in the period we made such determination, and such reduction could be material to our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or adverse tax burdens.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is also subject to foreign currency exchange rates fluctuations, particularly with respect to the euro, Canadian dollar, Indonesian rupiah, and Pound sterling, as well as various other currencies. Change in the value of currencies of the countries in which we do business relative to the value of the U.S. dollar or euro could affect our ability to sell products competitively and control our cost structure, which could have an adverse effect on our business, financial condition,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As the U.S. dollar fluctuates against other currencies in which we transact business, revenue and income can be impacted, include revenue decreases due to unfavorable foreign currency impacts. Strengthening of the U.S. dollar relative to the euro and the currencies of the other countries in which we do business, could materially and adversely affect our ability to compete in international markets and our sales growth in future periods.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risks related to our international operations include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locations, or other restructuring actions. There can be no assurance that these factors will not have a material adverse effect on our future international sales and, consequently, on our business, financial condition, and results of operations.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may not achieve the anticipated savings and benefits from current or any future restructuring projects and such activities could cause us to incur additional charges in our efforts to improve profitability.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implemented multiple restructuring projects to improve our cost structure, and we may engage in similar restructuring activities in the future. These restructuring activities reduce our available employee talent, assets, and other resources, which could slow research and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or matters involving third-party service providers, our failure to retain key employees, changes in governmental policies or regulatory matters, adverse market conditions, or failure to meet targeted improvements could change the timing or reduce the overall savings realized from the restructuring project.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successful implementation and execution of our restructuring projects are critical to achieving our expected cost savings as well as effectively competing in the marketplace and positioning us for future growth. If our restructuring projects were not executed successfully, it could have a material adverse effect on our competitive position, business, financial condition, cash flow, and results of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prevent fraud, or maintain investor confidence.</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won't experience deficiencies in the design, implementation, and maintenance of adequate controls over our financial processes and reporting in the future, especially for acquisition targets that may not have been required to comply with Section 404 of the Sarbanes-Oxley Act prior to the date of acquisition.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an unfavorable effect on the trading price of our stock and our access to capital.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encounter strikes or other labor disruptions that could adversely affect our financial condition and results of operations.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 which could adversely affect our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research and development or experience other operational difficulties.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2018 credit facility include several participating financial institutions. Our revolving line of credit allows us to provide letters of credit in support of our obligations for customer contracts and provides additional liquidity. If our lenders were unable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If we are unable to adequately protect our intellectual property, we may need to expend significant resources to enforce our rights or suffer competitive injury.</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our patents and other intellectual property have significant value, it is uncertain that this intellectual property or any intellectual property acquired or developed by us in the future will provide meaningful competitive advantages. There can be no assurance our patents or pending applications will not be challenged, invalidated, or circumvented by competitors or that rights granted thereunder will provide meaningful proprietary protection. Moreover, competitors may infringe on our patents or successfully avoid them through design innovation. To combat infringement or unauthorized use of our intellectual property, we may initiate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third-party intellectual property.</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are unable to protect our information technology infrastructure and network against data corruption, cyber-based attacks or network security incidents caused by unauthorized access, we could be exposed to an increased risk of customer liability and reputational damage.</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rely on various information technology systems to capture, process, store, and report data and interact with customers, vendors, and employees. Despite taking steps to secure all information and transactions, our information technology systems, and those of our third-party providers, may be subject to corruption from cyber-attacks, or other network security incidents. Any unauthorized access to data could result in misappropriation of the data or disruption of operations. In addition, hardware, operating system software, software libraries, and applications that we procure from third parties may contain defects in design or manufacturing that could interfere with the operation of the systems. Misuse of internal applications; theft of intellectual property, trade secrets, or other corporate assets; and inappropriate disclosure of confidential or personal information could stem from such incidents.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an increasing number of our products and services connect to and are part of the IIoT, the Internet, telecommunications networks, and public cloud services. As such, the products and services we offer may involve the transmission of large amounts of sensitive and proprietary information over public and private communications networks, as well as the processing and storage of confidential and personal customer data. While we attempt to provide adequate security measures to safeguard our products and services, techniques used to gain unauthorized access to or to sabotage systems are constantly evolving and therefore may not be recognized before they take effect. Unauthorized access, remnant data exposure, computer viruses, denial of service attacks, accidents, employee error or malfeasance, intentional misconduct by computer "hackers", and other disruptions can occur. This can lead to gaps in infrastructure, hardware and software vulnerabilities, and security controls. The exposed or unprotected data can (i) interfere with the delivery of services to our customers, (ii) impede our customers' ability to do business, or (iii) compromise the security of systems and data, which exposes information to unauthorized third parties. Like many companies, we are the target of cyber-attacks of varying degrees of severity. Although such cyber-attacks have not had a material adverse effect on our operating results, there can be no assurance of a similar result in future security incidents.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Security incidents that occur could expose us to an increased risk of lawsuits, loss of existing or potential customers, harm to our reputation, and increases in our security costs. Depending on the jurisdiction, security incidents could trigger notice requirements to impacted individuals and regulatory investigations leading to penalties and increased reputational harm.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operational disruption and/or misappropriation of information could result in lost sales, unfavorable publicity, product recalls, or business delays and could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 that may fail to operate effectively, require upgrades and replacements, or experience breaches.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primary enterprise resource planning (ERP) system that maintains sales and transactional information to facilitate processes. This system may require updates and upgrades periodically that could be expensive and time consuming undertakings. Successful upgrades and updates provide many benefits, while unsuccessful upgrades and updates may cost us significant time and resources.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and management information on a timely and accurate basis. In addition, due to the systemic internal control features within ERP systems, we may experience difficulties that could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Market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variable rate indebtedness could subject us to interest rate risk, which could cause our debt service obligations to increase significantly.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The 2018 credit facility bears, and other indebtedness we may incur in the future may bear, interest at a variable rate. As a result, at any given time interest rates on the 2018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relative to the value of related debt and have previously entered into derivative instruments to manage such risk, these instruments could be ineffective at mitigating all or a part of our risk, including changes to the applicable margin under our 2018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alteration or discontinuation of LIBOR may adversely affect our borrowing costs.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of our interest rate derivatives and a portion of our indebtedness bear interest at variable interest rates, primarily based on LIBOR, which is subject to regulatory guidance and/or reform that could cause interest rates under our current or future debt agreements to perform differently than in the past or cause other unanticipated consequences. In July 2017, the Chief Executive of the U.K. Financial Conduct Authority (FCA), which regulates LIBOR, announced that the FCA will no longer persuade or compel banks to submit rates for the calculation of LIBOR after 2021. However, on November 30, 2020, the ICE Benchmark Administration Limited announced its plan to extend the date that most U.S. LIBOR values would cease being computed from December 31, 2021 to June 30, 2023. Such announcement indicates that the continuation of LIBOR on the current basis cannot and will not be guaranteed, and the timing of such discontinuation, modifications or other reforms to LIBOR is uncertain. However, the discontinuation of LIBOR as a reference rate will require any debt referencing LIBOR to be amended or modified to utilize an alternative reference rate, require an adjustment to the applicable margin and/or require adjustments to other terms or covenants, any of which may unfavorably impact borrowing costs. The 2018 credit facility was amended in the fourth quarter of 2022 to replace LIBOR with Term Secured Overnight Financing Rate (SOFR) plus a credit spread of 10 basis points.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unfavorable implications of such events for the global economy, may unfavorably impact our business, liquidity, operating results, and financial condition.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an unfavorable impact on the global economy and our business, liquidity, operating results, and financial condition.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Indonesia, India, and Italy. Our general funding policy for these qualified pension plans is to contribute amounts sufficient to satisfy regulatory funding standards of the respective countries for each plan.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tax laws, valuation allowances, and unanticipated tax liabilities could adversely affect our effective income tax rate and profitability.</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these matters to determine the adequacy of our tax provision, which is subject to significant judgment.</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year-end no such deferral has been passed. The income tax provision has been prepared according to currently enacted tax legislation.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so is not currently applicable.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Organization for Economic Cooperation and Development (OECD) guidance under the Base Erosion and Profit Shifting (BEPS) initiative aims to minimize perceived tax abuses and modernize global tax policy. The Anti-Tax Avoidance Directives (ATAD), issued by the Council of the European Union (EU), provide further recommendations for legislative changes under these tax policies. These BEPS recommendations and ATAD measures are being implemented through legislative changes in countries throughout the world. The OECD has also proceeded with the advancement under Action 1 ("Addressing the Tax Challenges of the Digital Economy") of the 'BEPS 2.0 initiative', which proposes further fundamental changes to the international tax system. This project includes a framework for providing taxing rights to jurisdictions based on the location of the consumer regardless of current physical presence of a company. A second component would implement a global minimum tax of 15%. On October 8, 2021, the G20/OECD Inclusive Framework on BEPS published a statement on the components of global tax reform agreed to by most member countries. The key components would allocate a portion of profits of the largest businesses amongst their markets, curtail new digital services taxes, and introduce a new global minimum tax of 15%. On December 20, 2021, the OECD released model rules to guide countries on implementing and calculating the 15% global minimum tax, and on December 12, 2022, the EU member states agreed to implement the OECD Pillar 2 global minimum tax rate of 15% on companies with revenues of at least 750</w:t>
      </w:r>
    </w:p>
    <w:p>
      <w:pPr>
        <w:spacing w:after="0" w:line="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euro, which would go into effect in 2024. Certain countries including the United Kingdom, Switzerland, Canada, Australia, and South Korea are actively considering changes to their tax laws to adopt certain parts of the OECD's proposals. These components do not result in any financial impact until enacted. The Company is monitoring developments and additional details as they are released to determine the impacts these new components will have on our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number of our products are affected by the availability and regulation of radio spectrum and could be affected by interference with the radio spectrum that we use.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U.S. Federal Communications Commission (FCC).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may not cause harmful interference to licensed users and must be designed to accept interference from licensed radio devices. In the United States, our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smart metering solutions are typically Part 15 devices that transmit information to (and receive information from, if applicable) handheld, mobile, or fixed network systems pursuant to these rules.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to meet frequency requirements and other regulatory specifications. In some countries, limitations on frequency availability or the cost of making necessary modifications may preclude us from selling our products in those jurisdictions. In addition, new consumer products may create interference with the performance of our products, which could lead to claims against us.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would not arise with respect to these activities or that the cost of complying with governmental regulations in the future, either for an individual claim or in aggregate of multiple claims, would not have a material adverse effect on us.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U.S. Foreign Corrupt Practices Act requires U.S. companies to comply with an extensive legal framework to prevent bribery of foreign officials. The laws are complex and require that we closely monitor local practices of our overseas offices. The U.S. Department of Justice continues to heighten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the United Kingdom. The costs for complying with these and similar laws may be significant and could require significant management time and focus.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violation of these or similar laws, intentional or unintentional, could result in fines and/or criminal penalties and have a material adverse effect on our business, financial condition, or results of operations. Further, we operate in some parts of the world that have experienced governmental corruption, and, in certain circumstances, local customs and practice might not be consistent with the requirements of anti-corruption laws. We remain subject to the risk that our employees, third party partners, or agents will engage in business practices that are prohibited by our policies and violate such laws and regulations.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Regulations related to "conflict minerals" may force us to incur additional expenses, may result in damage to our business reputation, and may adversely impact our ability to conduct our business.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SEC has adopted rules regarding disclosure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such metals originated from the Democratic Republic of Congo or adjoining countries and required due diligence efforts. We may not be able to sufficiently verify the origins for all minerals used in our products, and our reputation may suffer if we determine that our products contain conflict minerals that are not determined to be conflict free or if we are unable to sufficiently verify the origins for all conflict minerals used in our products. At times, our customers also request or require that we confirm whether our products contain conflict-free minerals, and this may result in challenges in timely satisfying such customers' requests, if at all. There are costs associated with complying with these disclosure requirements, including for diligence to determine the sources of conflict minerals used in our products and related components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own our headquarters facility, which is located in Liberty Lake, Washington.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major manufacturing facilities by region and location as of December 31, 2022:</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8"/>
                <w:szCs w:val="18"/>
                <w:b w:val="1"/>
                <w:bCs w:val="1"/>
                <w:color w:val="auto"/>
              </w:rPr>
              <w:t>Region</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3100" w:type="dxa"/>
            <w:vAlign w:val="bottom"/>
            <w:tcBorders>
              <w:top w:val="single" w:sz="8" w:color="auto"/>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Square Footage</w:t>
            </w:r>
          </w:p>
        </w:tc>
        <w:tc>
          <w:tcPr>
            <w:tcW w:w="0" w:type="dxa"/>
            <w:vAlign w:val="bottom"/>
          </w:tcPr>
          <w:p>
            <w:pPr>
              <w:spacing w:after="0"/>
              <w:rPr>
                <w:sz w:val="1"/>
                <w:szCs w:val="1"/>
                <w:color w:val="auto"/>
              </w:rPr>
            </w:pPr>
          </w:p>
        </w:tc>
      </w:tr>
      <w:tr>
        <w:trPr>
          <w:trHeight w:val="169"/>
        </w:trPr>
        <w:tc>
          <w:tcPr>
            <w:tcW w:w="3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North America</w:t>
            </w:r>
          </w:p>
        </w:tc>
        <w:tc>
          <w:tcPr>
            <w:tcW w:w="46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Oconee, SC (O)</w:t>
            </w:r>
          </w:p>
        </w:tc>
        <w:tc>
          <w:tcPr>
            <w:tcW w:w="3100" w:type="dxa"/>
            <w:vAlign w:val="bottom"/>
            <w:tcBorders>
              <w:right w:val="single" w:sz="8" w:color="auto"/>
            </w:tcBorders>
          </w:tcPr>
          <w:p>
            <w:pPr>
              <w:jc w:val="right"/>
              <w:ind w:right="1170"/>
              <w:spacing w:after="0" w:line="169" w:lineRule="exact"/>
              <w:rPr>
                <w:sz w:val="20"/>
                <w:szCs w:val="20"/>
                <w:color w:val="auto"/>
              </w:rPr>
            </w:pPr>
            <w:r>
              <w:rPr>
                <w:rFonts w:ascii="Arial" w:cs="Arial" w:eastAsia="Arial" w:hAnsi="Arial"/>
                <w:sz w:val="18"/>
                <w:szCs w:val="18"/>
                <w:color w:val="auto"/>
              </w:rPr>
              <w:t>325,840</w:t>
            </w:r>
          </w:p>
        </w:tc>
        <w:tc>
          <w:tcPr>
            <w:tcW w:w="0" w:type="dxa"/>
            <w:vAlign w:val="bottom"/>
          </w:tcPr>
          <w:p>
            <w:pPr>
              <w:spacing w:after="0"/>
              <w:rPr>
                <w:sz w:val="1"/>
                <w:szCs w:val="1"/>
                <w:color w:val="auto"/>
              </w:rPr>
            </w:pPr>
          </w:p>
        </w:tc>
      </w:tr>
      <w:tr>
        <w:trPr>
          <w:trHeight w:val="148"/>
        </w:trPr>
        <w:tc>
          <w:tcPr>
            <w:tcW w:w="3520" w:type="dxa"/>
            <w:vAlign w:val="bottom"/>
            <w:tcBorders>
              <w:left w:val="single" w:sz="8" w:color="auto"/>
              <w:right w:val="single" w:sz="8" w:color="auto"/>
            </w:tcBorders>
            <w:vMerge w:val="continue"/>
          </w:tcPr>
          <w:p>
            <w:pPr>
              <w:spacing w:after="0"/>
              <w:rPr>
                <w:sz w:val="12"/>
                <w:szCs w:val="12"/>
                <w:color w:val="auto"/>
              </w:rPr>
            </w:pPr>
          </w:p>
        </w:tc>
        <w:tc>
          <w:tcPr>
            <w:tcW w:w="4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Waseca, MN (L)</w:t>
            </w:r>
          </w:p>
        </w:tc>
        <w:tc>
          <w:tcPr>
            <w:tcW w:w="3100" w:type="dxa"/>
            <w:vAlign w:val="bottom"/>
            <w:tcBorders>
              <w:right w:val="single" w:sz="8" w:color="auto"/>
            </w:tcBorders>
            <w:vMerge w:val="restart"/>
          </w:tcPr>
          <w:p>
            <w:pPr>
              <w:jc w:val="right"/>
              <w:ind w:right="117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88"/>
        </w:trPr>
        <w:tc>
          <w:tcPr>
            <w:tcW w:w="3520" w:type="dxa"/>
            <w:vAlign w:val="bottom"/>
            <w:tcBorders>
              <w:left w:val="single" w:sz="8" w:color="auto"/>
              <w:bottom w:val="single" w:sz="8" w:color="auto"/>
              <w:right w:val="single" w:sz="8" w:color="auto"/>
            </w:tcBorders>
          </w:tcPr>
          <w:p>
            <w:pPr>
              <w:spacing w:after="0"/>
              <w:rPr>
                <w:sz w:val="7"/>
                <w:szCs w:val="7"/>
                <w:color w:val="auto"/>
              </w:rPr>
            </w:pPr>
          </w:p>
        </w:tc>
        <w:tc>
          <w:tcPr>
            <w:tcW w:w="4640" w:type="dxa"/>
            <w:vAlign w:val="bottom"/>
            <w:tcBorders>
              <w:bottom w:val="single" w:sz="8" w:color="auto"/>
              <w:right w:val="single" w:sz="8" w:color="auto"/>
            </w:tcBorders>
            <w:vMerge w:val="continue"/>
          </w:tcPr>
          <w:p>
            <w:pPr>
              <w:spacing w:after="0"/>
              <w:rPr>
                <w:sz w:val="7"/>
                <w:szCs w:val="7"/>
                <w:color w:val="auto"/>
              </w:rPr>
            </w:pPr>
          </w:p>
        </w:tc>
        <w:tc>
          <w:tcPr>
            <w:tcW w:w="31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520" w:type="dxa"/>
            <w:vAlign w:val="bottom"/>
            <w:tcBorders>
              <w:left w:val="single" w:sz="8" w:color="auto"/>
              <w:right w:val="single" w:sz="8" w:color="auto"/>
            </w:tcBorders>
          </w:tcPr>
          <w:p>
            <w:pPr>
              <w:spacing w:after="0"/>
              <w:rPr>
                <w:sz w:val="15"/>
                <w:szCs w:val="15"/>
                <w:color w:val="auto"/>
              </w:rPr>
            </w:pPr>
          </w:p>
        </w:tc>
        <w:tc>
          <w:tcPr>
            <w:tcW w:w="4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Chasseneuil, France (O)</w:t>
            </w:r>
          </w:p>
        </w:tc>
        <w:tc>
          <w:tcPr>
            <w:tcW w:w="3100" w:type="dxa"/>
            <w:vAlign w:val="bottom"/>
            <w:tcBorders>
              <w:right w:val="single" w:sz="8" w:color="auto"/>
            </w:tcBorders>
          </w:tcPr>
          <w:p>
            <w:pPr>
              <w:jc w:val="right"/>
              <w:ind w:right="1170"/>
              <w:spacing w:after="0" w:line="176" w:lineRule="exact"/>
              <w:rPr>
                <w:sz w:val="20"/>
                <w:szCs w:val="20"/>
                <w:color w:val="auto"/>
              </w:rPr>
            </w:pPr>
            <w:r>
              <w:rPr>
                <w:rFonts w:ascii="Arial" w:cs="Arial" w:eastAsia="Arial" w:hAnsi="Arial"/>
                <w:sz w:val="18"/>
                <w:szCs w:val="18"/>
                <w:color w:val="auto"/>
              </w:rPr>
              <w:t>160,027</w:t>
            </w:r>
          </w:p>
        </w:tc>
        <w:tc>
          <w:tcPr>
            <w:tcW w:w="0" w:type="dxa"/>
            <w:vAlign w:val="bottom"/>
          </w:tcPr>
          <w:p>
            <w:pPr>
              <w:spacing w:after="0"/>
              <w:rPr>
                <w:sz w:val="1"/>
                <w:szCs w:val="1"/>
                <w:color w:val="auto"/>
              </w:rPr>
            </w:pPr>
          </w:p>
        </w:tc>
      </w:tr>
      <w:tr>
        <w:trPr>
          <w:trHeight w:val="188"/>
        </w:trPr>
        <w:tc>
          <w:tcPr>
            <w:tcW w:w="3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Europe, Middle East, and Africa</w:t>
            </w:r>
          </w:p>
        </w:tc>
        <w:tc>
          <w:tcPr>
            <w:tcW w:w="46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Macon, France (O)</w:t>
            </w:r>
          </w:p>
        </w:tc>
        <w:tc>
          <w:tcPr>
            <w:tcW w:w="3100" w:type="dxa"/>
            <w:vAlign w:val="bottom"/>
            <w:tcBorders>
              <w:right w:val="single" w:sz="8" w:color="auto"/>
            </w:tcBorders>
          </w:tcPr>
          <w:p>
            <w:pPr>
              <w:jc w:val="right"/>
              <w:ind w:right="1170"/>
              <w:spacing w:after="0" w:line="189" w:lineRule="exact"/>
              <w:rPr>
                <w:sz w:val="20"/>
                <w:szCs w:val="20"/>
                <w:color w:val="auto"/>
              </w:rPr>
            </w:pPr>
            <w:r>
              <w:rPr>
                <w:rFonts w:ascii="Arial" w:cs="Arial" w:eastAsia="Arial" w:hAnsi="Arial"/>
                <w:sz w:val="18"/>
                <w:szCs w:val="18"/>
                <w:color w:val="auto"/>
              </w:rPr>
              <w:t>203,513</w:t>
            </w: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right w:val="single" w:sz="8" w:color="auto"/>
            </w:tcBorders>
            <w:vMerge w:val="continue"/>
          </w:tcPr>
          <w:p>
            <w:pPr>
              <w:spacing w:after="0"/>
              <w:rPr>
                <w:sz w:val="15"/>
                <w:szCs w:val="15"/>
                <w:color w:val="auto"/>
              </w:rPr>
            </w:pPr>
          </w:p>
        </w:tc>
        <w:tc>
          <w:tcPr>
            <w:tcW w:w="4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Massy, France (L)</w:t>
            </w:r>
          </w:p>
        </w:tc>
        <w:tc>
          <w:tcPr>
            <w:tcW w:w="3100" w:type="dxa"/>
            <w:vAlign w:val="bottom"/>
            <w:tcBorders>
              <w:right w:val="single" w:sz="8" w:color="auto"/>
            </w:tcBorders>
          </w:tcPr>
          <w:p>
            <w:pPr>
              <w:jc w:val="right"/>
              <w:ind w:right="1170"/>
              <w:spacing w:after="0" w:line="176" w:lineRule="exact"/>
              <w:rPr>
                <w:sz w:val="20"/>
                <w:szCs w:val="20"/>
                <w:color w:val="auto"/>
              </w:rPr>
            </w:pPr>
            <w:r>
              <w:rPr>
                <w:rFonts w:ascii="Arial" w:cs="Arial" w:eastAsia="Arial" w:hAnsi="Arial"/>
                <w:sz w:val="18"/>
                <w:szCs w:val="18"/>
                <w:color w:val="auto"/>
              </w:rPr>
              <w:t>64,357</w:t>
            </w: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4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Oldenburg, Germany (L)</w:t>
            </w:r>
          </w:p>
        </w:tc>
        <w:tc>
          <w:tcPr>
            <w:tcW w:w="3100" w:type="dxa"/>
            <w:vAlign w:val="bottom"/>
            <w:tcBorders>
              <w:right w:val="single" w:sz="8" w:color="auto"/>
            </w:tcBorders>
          </w:tcPr>
          <w:p>
            <w:pPr>
              <w:jc w:val="right"/>
              <w:ind w:right="1170"/>
              <w:spacing w:after="0" w:line="176" w:lineRule="exact"/>
              <w:rPr>
                <w:sz w:val="20"/>
                <w:szCs w:val="20"/>
                <w:color w:val="auto"/>
              </w:rPr>
            </w:pPr>
            <w:r>
              <w:rPr>
                <w:rFonts w:ascii="Arial" w:cs="Arial" w:eastAsia="Arial" w:hAnsi="Arial"/>
                <w:sz w:val="18"/>
                <w:szCs w:val="18"/>
                <w:color w:val="auto"/>
              </w:rPr>
              <w:t>90,212</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Asti, Italy (O)</w:t>
            </w:r>
          </w:p>
        </w:tc>
        <w:tc>
          <w:tcPr>
            <w:tcW w:w="3100" w:type="dxa"/>
            <w:vAlign w:val="bottom"/>
            <w:tcBorders>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55,834</w:t>
            </w:r>
          </w:p>
        </w:tc>
        <w:tc>
          <w:tcPr>
            <w:tcW w:w="0" w:type="dxa"/>
            <w:vAlign w:val="bottom"/>
          </w:tcPr>
          <w:p>
            <w:pPr>
              <w:spacing w:after="0"/>
              <w:rPr>
                <w:sz w:val="1"/>
                <w:szCs w:val="1"/>
                <w:color w:val="auto"/>
              </w:rPr>
            </w:pPr>
          </w:p>
        </w:tc>
      </w:tr>
      <w:tr>
        <w:trPr>
          <w:trHeight w:val="229"/>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Asia/Pacific</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Bekasi, Indonesia (O)</w:t>
            </w:r>
          </w:p>
        </w:tc>
        <w:tc>
          <w:tcPr>
            <w:tcW w:w="3100" w:type="dxa"/>
            <w:vAlign w:val="bottom"/>
            <w:tcBorders>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113,222</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Manufacturing facility is owned</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Manufacturing facility is leased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properties are in good condition, and we believe our current facilities are sufficient to support our operations.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manufacturing facilities, we have numerous sales offices, research and development facilities, and distribution centers, which are located throughout the world.</w:t>
      </w:r>
    </w:p>
    <w:p>
      <w:pPr>
        <w:spacing w:after="0" w:line="1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Itron uses a threshold of $1 million or more for purposes of determining whether disclosure of any such environmental proceedings is required.</w:t>
      </w:r>
    </w:p>
    <w:p>
      <w:pPr>
        <w:spacing w:after="0" w:line="179"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In conjunction with the Actaris S.p.A. (Actaris) acquisition in April 2007, Itron assumed Actaris’s environmental cleanup liability and the related legal recourse for the Frosinone site in Italy. This site was originally owned and operated by Schlumberger before Schlumberger contributed it to Actaris in the course of the spin off of Actaris from Schlumberger Industries S.p.A on August 1, 2001. Since 2001, Schlumberger has fully reimbursed Actaris, and Itron as successor to Actaris’s interests, for the Frosinone site remediation costs pursuant to an indemnification agreement. In December 2022, Itron was presented with a remediation plan, which addressed the water contamination issues, with an estimated cost of $1.9 million. Schlumberger will fully reimburse Itron. The proposal will be submitted to the Italian Authorities in the first quarter of 2023.</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In 2007-2008, Itron acquired an industrial site located at 1310 Emerald Road, Greenwood, South Carolina. Previous site owners used various chlorinated solvents and potential contaminants at the site. In 2013, Itron entered into a voluntary cleanup contract with the South Carolina Department of Health and Environmental Control (DHEC). Itron completed that process in 2019. In October 2021, DHEC sent Itron and three other potentially responsible parties (PRPs) a proposed site remediation plan with an estimated cost of $3.7 million. Itron objected to the proposed plan at a public hearing on November 4, 2021, and again in a letter to DHEC dated January 13, 2022. Given that the contamination arose from activities prior to Itron's ownership of the property and past remediation efforts, Itron has disputed its responsibility for any alleged contamination and suggested alternative proposals. Itron will continue to seek a reasonable resolution with DHEC and the other PRPs.</w:t>
      </w:r>
    </w:p>
    <w:p>
      <w:pPr>
        <w:spacing w:after="0" w:line="2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ITRI.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2022, peer group of companies used for the year ended December 31, 2021,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91440</wp:posOffset>
            </wp:positionV>
            <wp:extent cx="6000750" cy="42862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80" w:right="3420"/>
        <w:spacing w:after="0" w:line="277" w:lineRule="auto"/>
        <w:tabs>
          <w:tab w:leader="none" w:pos="1115"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invested on December 31, 2017, in stock or index, including reinvestment of dividends. Fiscal years ending December 31.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2017 in the common stock of Itron, Inc., the peer groups, and the NASDAQ Composite Index, with all dividends reinvested. With respect to companies in the peer groups, the returns of each such corporation have been weighted to reflect relative stock market capitalization at the beginning of each annual period plotted. The historical stock prices shown above for our common stock are not necessarily indicative of future price performance.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2022 peer group includes the following publicly traded companies: LM Ericsson Telephone Company, Landis+Gyr, Mueller Water Products, and Xylem, Inc. (formerly Sensus). Our 2021 peer group includes the following publicly trade companies: Badger Meter, Inc., Landis+Gyr, Mueller Water Products, and Xylem, Inc. (formerly Sensus).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Maximum Dollar</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restart"/>
          </w:tcPr>
          <w:p>
            <w:pPr>
              <w:jc w:val="center"/>
              <w:ind w:left="159"/>
              <w:spacing w:after="0"/>
              <w:rPr>
                <w:sz w:val="20"/>
                <w:szCs w:val="20"/>
                <w:color w:val="auto"/>
              </w:rPr>
            </w:pPr>
            <w:r>
              <w:rPr>
                <w:rFonts w:ascii="Arial" w:cs="Arial" w:eastAsia="Arial" w:hAnsi="Arial"/>
                <w:sz w:val="16"/>
                <w:szCs w:val="16"/>
                <w:b w:val="1"/>
                <w:bCs w:val="1"/>
                <w:color w:val="auto"/>
                <w:w w:val="94"/>
              </w:rPr>
              <w:t>Total 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Average Price Paid per</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4"/>
                <w:szCs w:val="14"/>
                <w:color w:val="auto"/>
              </w:rPr>
            </w:pPr>
          </w:p>
        </w:tc>
        <w:tc>
          <w:tcPr>
            <w:tcW w:w="16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May Yet Be Purchased</w:t>
            </w:r>
          </w:p>
        </w:tc>
        <w:tc>
          <w:tcPr>
            <w:tcW w:w="0" w:type="dxa"/>
            <w:vAlign w:val="bottom"/>
          </w:tcPr>
          <w:p>
            <w:pPr>
              <w:spacing w:after="0"/>
              <w:rPr>
                <w:sz w:val="1"/>
                <w:szCs w:val="1"/>
                <w:color w:val="auto"/>
              </w:rPr>
            </w:pPr>
          </w:p>
        </w:tc>
      </w:tr>
      <w:tr>
        <w:trPr>
          <w:trHeight w:val="162"/>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1640" w:type="dxa"/>
            <w:vAlign w:val="bottom"/>
          </w:tcPr>
          <w:p>
            <w:pPr>
              <w:jc w:val="center"/>
              <w:ind w:left="159"/>
              <w:spacing w:after="0" w:line="216" w:lineRule="exact"/>
              <w:rPr>
                <w:sz w:val="20"/>
                <w:szCs w:val="20"/>
                <w:color w:val="auto"/>
              </w:rPr>
            </w:pPr>
            <w:r>
              <w:rPr>
                <w:rFonts w:ascii="Arial" w:cs="Arial" w:eastAsia="Arial" w:hAnsi="Arial"/>
                <w:sz w:val="16"/>
                <w:szCs w:val="16"/>
                <w:b w:val="1"/>
                <w:bCs w:val="1"/>
                <w:color w:val="auto"/>
                <w:w w:val="86"/>
              </w:rPr>
              <w:t xml:space="preserve">Shares Purchased </w:t>
            </w:r>
            <w:r>
              <w:rPr>
                <w:rFonts w:ascii="Arial" w:cs="Arial" w:eastAsia="Arial" w:hAnsi="Arial"/>
                <w:sz w:val="21"/>
                <w:szCs w:val="21"/>
                <w:b w:val="1"/>
                <w:bCs w:val="1"/>
                <w:color w:val="auto"/>
                <w:w w:val="86"/>
                <w:vertAlign w:val="superscript"/>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b w:val="1"/>
                <w:bCs w:val="1"/>
                <w:color w:val="auto"/>
                <w:vertAlign w:val="superscript"/>
              </w:rPr>
              <w:t>(2)</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06"/>
        </w:trPr>
        <w:tc>
          <w:tcPr>
            <w:tcW w:w="3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i w:val="1"/>
                <w:iCs w:val="1"/>
                <w:color w:val="auto"/>
                <w:w w:val="89"/>
              </w:rPr>
              <w:t>In thousands</w:t>
            </w: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2022 through October 31, 2022</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November 1, 2022 through November 30, 2022</w:t>
            </w:r>
          </w:p>
        </w:tc>
        <w:tc>
          <w:tcPr>
            <w:tcW w:w="16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620" w:type="dxa"/>
            <w:vAlign w:val="bottom"/>
          </w:tcPr>
          <w:p>
            <w:pPr>
              <w:ind w:left="1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2022 through December 31, 2022</w:t>
            </w:r>
          </w:p>
        </w:tc>
        <w:tc>
          <w:tcPr>
            <w:tcW w:w="16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3"/>
        </w:trPr>
        <w:tc>
          <w:tcPr>
            <w:tcW w:w="40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hanging="332"/>
        <w:spacing w:after="0" w:line="221"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Effective November 1, 2021, Itron's Board of Directors authorized a new share repurchase program of up to $100 million of Itron's common stock over an 18-month period. Repurchases are made in the open market or in privately negotiated transactions and in accordance with applicable securities laws.</w:t>
      </w:r>
    </w:p>
    <w:p>
      <w:pPr>
        <w:ind w:left="240" w:hanging="232"/>
        <w:spacing w:after="0" w:line="191" w:lineRule="auto"/>
        <w:tabs>
          <w:tab w:leader="none" w:pos="2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Excludes commissions.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February 22, 2023, there were 152 holders of record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compares the change in the consolidated financial statements for fiscal years 2022 and 2021 and should be read in conjunction with Item 8: Financial Statements and Supplementary Data. For comparisons of fiscal years 2021 and 2020, see our Management's Discussion and Analysis of Financial Condition and Results of Operations in Part II, Item 7 of our 2021 Annual Report on Form 10-K, filed with the Securities and Exchange Commission (SEC) on February 28, 2022, and incorporated herein by reference.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 </w:t>
      </w:r>
      <w:r>
        <w:rPr>
          <w:rFonts w:ascii="Arial" w:cs="Arial" w:eastAsia="Arial" w:hAnsi="Arial"/>
          <w:sz w:val="18"/>
          <w:szCs w:val="18"/>
          <w:color w:val="auto"/>
        </w:rPr>
        <w:t>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Networked Solutions – </w:t>
      </w:r>
      <w:r>
        <w:rPr>
          <w:rFonts w:ascii="Arial" w:cs="Arial" w:eastAsia="Arial" w:hAnsi="Arial"/>
          <w:sz w:val="17"/>
          <w:szCs w:val="17"/>
          <w:color w:val="auto"/>
        </w:rPr>
        <w:t>This segment primarily includes a combination of communicating devices (e.g., smart meters, modules, endpoints, and sensors),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Outcomes – </w:t>
      </w:r>
      <w:r>
        <w:rPr>
          <w:rFonts w:ascii="Arial" w:cs="Arial" w:eastAsia="Arial" w:hAnsi="Arial"/>
          <w:sz w:val="16"/>
          <w:szCs w:val="16"/>
          <w:color w:val="auto"/>
        </w:rPr>
        <w:t>This segment primarily includes our value-added, enhanced software and services in which we manage, organize, analyze, and interpret raw,</w:t>
      </w:r>
      <w:r>
        <w:rPr>
          <w:rFonts w:ascii="Arial" w:cs="Arial" w:eastAsia="Arial" w:hAnsi="Arial"/>
          <w:sz w:val="16"/>
          <w:szCs w:val="16"/>
          <w:i w:val="1"/>
          <w:iCs w:val="1"/>
          <w:color w:val="auto"/>
        </w:rPr>
        <w:t xml:space="preserve"> </w:t>
      </w:r>
      <w:r>
        <w:rPr>
          <w:rFonts w:ascii="Arial" w:cs="Arial" w:eastAsia="Arial" w:hAnsi="Arial"/>
          <w:sz w:val="16"/>
          <w:szCs w:val="16"/>
          <w:color w:val="auto"/>
        </w:rPr>
        <w:t>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"constant currency",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43-46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Highlights and significant developments for the year ended December 31, 2022 compared with the year ended December 31, 2021</w:t>
      </w:r>
    </w:p>
    <w:p>
      <w:pPr>
        <w:spacing w:after="0" w:line="252" w:lineRule="exact"/>
        <w:rPr>
          <w:sz w:val="20"/>
          <w:szCs w:val="20"/>
          <w:color w:val="auto"/>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 xml:space="preserve">Revenues were $1.8 billion compared with $2.0 billion last year, a decrease of </w:t>
      </w:r>
      <w:r>
        <w:rPr>
          <w:rFonts w:ascii="Arial" w:cs="Arial" w:eastAsia="Arial" w:hAnsi="Arial"/>
          <w:sz w:val="18"/>
          <w:szCs w:val="18"/>
          <w:color w:val="000000"/>
        </w:rPr>
        <w:t>$186.0 million</w:t>
      </w:r>
      <w:r>
        <w:rPr>
          <w:rFonts w:ascii="Arial" w:cs="Arial" w:eastAsia="Arial" w:hAnsi="Arial"/>
          <w:sz w:val="18"/>
          <w:szCs w:val="18"/>
          <w:color w:val="222222"/>
        </w:rPr>
        <w:t>, or 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Gross margin was 29.1% compared with 28.9% last year</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222222"/>
        </w:rPr>
        <w:t>Operating expenses decreased $122.8 million, or 19%, compared with 2021</w:t>
      </w:r>
    </w:p>
    <w:p>
      <w:pPr>
        <w:spacing w:after="0" w:line="63" w:lineRule="exact"/>
        <w:rPr>
          <w:rFonts w:ascii="Arial" w:cs="Arial" w:eastAsia="Arial" w:hAnsi="Arial"/>
          <w:sz w:val="18"/>
          <w:szCs w:val="18"/>
          <w:color w:val="auto"/>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auto"/>
        </w:rPr>
        <w:t>Net loss attributable to Itron, Inc. was $9.7 million compared with $81.3 million in 2021</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auto"/>
        </w:rPr>
        <w:t>GAAP loss per share was $0.22 compared with loss per share of $1.83 in 2021</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 xml:space="preserve">Non-GAAP net income attributable to Itron, Inc. was $51.0 million compared with $78.1 million in </w:t>
      </w:r>
      <w:r>
        <w:rPr>
          <w:rFonts w:ascii="Arial" w:cs="Arial" w:eastAsia="Arial" w:hAnsi="Arial"/>
          <w:sz w:val="18"/>
          <w:szCs w:val="18"/>
          <w:color w:val="000000"/>
        </w:rPr>
        <w:t>2021</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diluted EPS was $1.13 compared with $1.75 in 2021</w:t>
      </w:r>
    </w:p>
    <w:p>
      <w:pPr>
        <w:spacing w:after="0" w:line="63" w:lineRule="exact"/>
        <w:rPr>
          <w:rFonts w:ascii="Arial" w:cs="Arial" w:eastAsia="Arial" w:hAnsi="Arial"/>
          <w:sz w:val="18"/>
          <w:szCs w:val="18"/>
          <w:color w:val="auto"/>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auto"/>
        </w:rPr>
        <w:t>Adjusted EBITDA decreased $20.1 million, or 17%, to $95.1 million compared with adjusted EBITDA of $115.2 million in 2021</w:t>
      </w:r>
    </w:p>
    <w:p>
      <w:pPr>
        <w:spacing w:after="0" w:line="63" w:lineRule="exact"/>
        <w:rPr>
          <w:rFonts w:ascii="Arial" w:cs="Arial" w:eastAsia="Arial" w:hAnsi="Arial"/>
          <w:sz w:val="18"/>
          <w:szCs w:val="18"/>
          <w:color w:val="222222"/>
        </w:rPr>
      </w:pPr>
    </w:p>
    <w:p>
      <w:pPr>
        <w:ind w:left="260" w:right="20" w:hanging="171"/>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backlog was $4.6 billion, and 12-month backlog was $2.1 billion at December 31, 2022, compared with $4.0 billion and $1.5 billion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Goodwill Impairment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result of increases in raw material, component, labor and other costs, coupled with a decrease in forecasted revenue within the Device Solutions operating segment and reporting unit, which we determined during the second quarter of 2022, we performed an interim goodwill impairment test. At the conclusion of the test, a goodwill impairment of $38.5 million was recognized in our Corporate unallocated segment as of June 30, 2022. No interim impairment test was determined to be necessary for the Networked Solutions or Outcomes reporting units. Refer to Item 8: Financial Statements and Supplementary Data, Note 1: Summary of Significant Accounting Policies for a description of our reporting units and our method used to determine the fair values of our reporting units and to determine the amount of any goodwill impairment.</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Program</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November 1, 2021, Itron's Board of Directors authorized a share repurchase program of up to $100 million of our common stock over an 18-month period (the 2021 Stock Repurchase Program). Repurchases are made in the open market or in privately negotiated transactions, and in accordance with applicable securities laws. During the first quarter of 2022, we repurchased 279,968 shares of our common stock under the 2021 Stock Repurchase Program. The average price paid per share was $60.60 (excluding commissions) for a total of $17.0 million. No shares were repurchased for the remainder of 2022. Following the announcement of the program and through 2022, we repurchased 405,282 shares at an average price paid per share of $61.67 (excluding commissions) for total of $25.0 million. As of December 31, 2022, we are authorized to repurchase up to an additional $75 million before May 1, 2023.</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 of Business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 2021, Itron entered into a definitive securities and asset purchase agreement to sell certain Gas product lines from our Device Solutions manufacturing and business operations in Europe and North America to Dresser Utility Solutions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base sale price of this divestiture was $75.0 million, with adjustments for (1) pension liabilities assumed by Dresser for related active employees and (2) the final working capital balance. Cash proceeds from the sale were $55.9 million.</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transaction closed on February 28, 2022. The final sales price and loss on sale were determined after the finalization of the working capital adjustment, recognized in the fourth quarter of 2022. As of December 31, 2021, we recognized a pre-tax impairment loss of $34.4 million as well as $3.1 million for professional services in conjunction with the planned sale to Dresser (classified within loss on sale of businesses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accumulated other comprehensive income (AOCI). Upon closing of the sale transaction in the first quarter of 2022, the then outstanding amounts in AOCI were reclassified to net income through loss on sale of businesses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2022, we recognized additional loss of $2.2 million related to changes in the working capital balances and additional professional services. In the second quarter of 2022, the loss increased by $0.2 million for professional services related to the divestiture. In the third quarter of 2022, we recognized additional loss of $0.8 million related primarily to a true-up in the working capital balances. In the fourth quarter of 2022, we recognized additional loss of $0.3 million related to changes in the working capital balance and other charges related to the finalization of the transaction. We recognized a total loss of $3.5 million in 2022.</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Facility Amendment</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February 21, 2023, we entered into a sixth amendment to our credit facility that was initially entered on January 5, 2018 (the 2018 credit facility). This amendment modifies provisions to allow for the addback for debt covenant calculations of non-recurring cash expenses related to restructuring charges to be incurred during the quarter ended March 31, 2023. Refer to Item 8: Financial Statements and Supplementary Data, Note 6: Debt for further details.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Restructuring Projects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23, 2023, the Board of Directors of Itron approved a restructuring plan (the 2023 Projects). The 2023 Projects include activities that continue the Company's efforts to optimize its global supply chain and manufacturing operations, sales and marketing organizations, and other overhead. These projects are to be substantially complete by early 2025. Itron estimates pre-tax restructuring charges of $40-45 million. Of the total estimated charge, approximately 95% will result in cash expenditures, and the remainder to non-cash impairment charges. The majority of the expense will be recognized during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first quarter of 2023. Once the 2023 Projects are substantially completed, Itron estimates $14-17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COVID-19, Supply Chain Challenges, and the Conflict in Ukraine</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New variants of the virus may cause previously lifted restrictions to be reinstated, which could result in more disruptions.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 originally forecasted in prior periods shifting to future periods. For more information on risks associated with the COVID-19 pandemic, please see our risk in Part I, Item 1A: Risk Factors.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During the third quarter of 2022, we substantially liquidated our legal entity in Russia, recognizing a loss of $1.9 million for the reclassification of the currency translation adjustment from accumulated other comprehensive income. The loss was classified within sales, general and administrative expense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Change</w:t>
            </w:r>
          </w:p>
        </w:tc>
        <w:tc>
          <w:tcPr>
            <w:tcW w:w="42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172"/>
        </w:trPr>
        <w:tc>
          <w:tcPr>
            <w:tcW w:w="20" w:type="dxa"/>
            <w:vAlign w:val="bottom"/>
            <w:tcBorders>
              <w:top w:val="single" w:sz="8" w:color="auto"/>
            </w:tcBorders>
          </w:tcPr>
          <w:p>
            <w:pPr>
              <w:spacing w:after="0"/>
              <w:rPr>
                <w:sz w:val="14"/>
                <w:szCs w:val="14"/>
                <w:color w:val="auto"/>
              </w:rPr>
            </w:pPr>
          </w:p>
        </w:tc>
        <w:tc>
          <w:tcPr>
            <w:tcW w:w="5880" w:type="dxa"/>
            <w:vAlign w:val="bottom"/>
            <w:tcBorders>
              <w:top w:val="single" w:sz="8" w:color="auto"/>
            </w:tcBorders>
            <w:gridSpan w:val="5"/>
          </w:tcPr>
          <w:p>
            <w:pPr>
              <w:spacing w:after="0" w:line="172" w:lineRule="exact"/>
              <w:rPr>
                <w:sz w:val="20"/>
                <w:szCs w:val="20"/>
                <w:color w:val="auto"/>
              </w:rPr>
            </w:pPr>
            <w:r>
              <w:rPr>
                <w:rFonts w:ascii="Arial" w:cs="Arial" w:eastAsia="Arial" w:hAnsi="Arial"/>
                <w:sz w:val="16"/>
                <w:szCs w:val="16"/>
                <w:b w:val="1"/>
                <w:bCs w:val="1"/>
                <w:color w:val="auto"/>
              </w:rPr>
              <w:t>GAAP</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1,500,243</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1,678,195</w:t>
            </w: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295,321</w:t>
            </w:r>
          </w:p>
        </w:tc>
        <w:tc>
          <w:tcPr>
            <w:tcW w:w="17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303,377</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1,795,564</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1,981,572</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522,189</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573,169</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529,628</w:t>
            </w:r>
          </w:p>
        </w:tc>
        <w:tc>
          <w:tcPr>
            <w:tcW w:w="17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652,468</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(7,439)</w:t>
            </w:r>
          </w:p>
        </w:tc>
        <w:tc>
          <w:tcPr>
            <w:tcW w:w="17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(79,299)</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(8,304)</w:t>
            </w:r>
          </w:p>
        </w:tc>
        <w:tc>
          <w:tcPr>
            <w:tcW w:w="174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(44,511)</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6,196</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45,512</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Net loss attributable to Itron, Inc.</w:t>
            </w:r>
          </w:p>
        </w:tc>
        <w:tc>
          <w:tcPr>
            <w:tcW w:w="4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(9,732)</w:t>
            </w:r>
          </w:p>
        </w:tc>
        <w:tc>
          <w:tcPr>
            <w:tcW w:w="174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(81,255)</w:t>
            </w: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463,766</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497,604</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58,423</w:t>
            </w:r>
          </w:p>
        </w:tc>
        <w:tc>
          <w:tcPr>
            <w:tcW w:w="17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75,565</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50,987</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78,103</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95,071</w:t>
            </w:r>
          </w:p>
        </w:tc>
        <w:tc>
          <w:tcPr>
            <w:tcW w:w="17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115,211</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GAAP Margins and EPS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26.6 %</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41.6 %</w:t>
            </w:r>
          </w:p>
        </w:tc>
      </w:tr>
      <w:tr>
        <w:trPr>
          <w:trHeight w:val="206"/>
        </w:trPr>
        <w:tc>
          <w:tcPr>
            <w:tcW w:w="20" w:type="dxa"/>
            <w:vAlign w:val="bottom"/>
          </w:tcPr>
          <w:p>
            <w:pPr>
              <w:spacing w:after="0"/>
              <w:rPr>
                <w:sz w:val="17"/>
                <w:szCs w:val="17"/>
                <w:color w:val="auto"/>
              </w:rPr>
            </w:pPr>
          </w:p>
        </w:tc>
        <w:tc>
          <w:tcPr>
            <w:tcW w:w="5880" w:type="dxa"/>
            <w:vAlign w:val="bottom"/>
            <w:gridSpan w:val="5"/>
          </w:tcPr>
          <w:p>
            <w:pPr>
              <w:ind w:left="340"/>
              <w:spacing w:after="0"/>
              <w:rPr>
                <w:sz w:val="20"/>
                <w:szCs w:val="20"/>
                <w:color w:val="auto"/>
              </w:rPr>
            </w:pPr>
            <w:r>
              <w:rPr>
                <w:rFonts w:ascii="Arial" w:cs="Arial" w:eastAsia="Arial" w:hAnsi="Arial"/>
                <w:sz w:val="16"/>
                <w:szCs w:val="16"/>
                <w:color w:val="auto"/>
              </w:rPr>
              <w:t>Total gross margin</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29.1 %</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28.9 %</w:t>
            </w: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loss per common share - 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(1.83)</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Net loss per common share - 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(1.83)</w:t>
            </w: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588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 xml:space="preserve">Non-GAAP EPS </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1.75</w:t>
            </w:r>
          </w:p>
        </w:tc>
      </w:tr>
    </w:tbl>
    <w:p>
      <w:pPr>
        <w:spacing w:after="0" w:line="328" w:lineRule="exact"/>
        <w:rPr>
          <w:sz w:val="20"/>
          <w:szCs w:val="20"/>
          <w:color w:val="auto"/>
        </w:rPr>
      </w:pPr>
    </w:p>
    <w:p>
      <w:pPr>
        <w:ind w:left="340" w:right="20" w:hanging="332"/>
        <w:spacing w:after="0" w:line="223"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43-46 for information about these non-GAAP measures and reconciliations to the most comparable GAAP measures.</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an Endpoint Under Management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their behalf.</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under management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640" w:type="dxa"/>
            <w:vAlign w:val="bottom"/>
            <w:tcBorders>
              <w:bottom w:val="single" w:sz="8" w:color="auto"/>
            </w:tcBorders>
          </w:tcPr>
          <w:p>
            <w:pPr>
              <w:spacing w:after="0"/>
              <w:rPr>
                <w:sz w:val="18"/>
                <w:szCs w:val="18"/>
                <w:color w:val="auto"/>
              </w:rPr>
            </w:pPr>
          </w:p>
        </w:tc>
      </w:t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Units in thousands</w:t>
            </w: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Endpoints under management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93,941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82,354</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74,184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1,795,564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1,981,572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(186,008)</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522,189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573,169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(15,348)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(35,632)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(50,980)</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decreased $186.0 million in 2022 compared with 2021. We have been unfavorably impacted by global component constraints, which limited our ability to fulfill customer demand, as well as the sale of certain Gas product lines from our Device Solutions manufacturing and business operations in Europe and North America to Dresser during the first quarter of 2022. Product revenues decreased $178.0 million in 2022 and service revenues decreased $8.1 million in 2022 as compared with 2021. Device Solutions decreased by $206.4 million; Networked Solutions increased by $26.6 million; and Outcomes decreased by $6.3 million when compared with the same period last year. Changes in currency exchange rates unfavorably impacted revenues by $70.8 million in 2022, primarily in Device Solutions.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2022 and 2021. Our 10 largest customers accounted for 32% of total revenues in 2022 and 25% of total revenues in 2021.</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29.1% for 2022, compared with 28.9% in 2021. We were favorably impacted by product and solution mix partially offset by higher component costs and manufacturing inefficiencies in 2022 compared with 2021. Product sales gross margin decreased to 26.5% in 2022 from 26.6% in 2021. Gross margin on service revenues increased to 42.1% from 41.6% in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76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290,453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300,520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(10,067)</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185,098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197,235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(12,137)</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(10,084)</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(13,625)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54,623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(68,248)</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businesses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(60,784)</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38,480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31"/>
        </w:trPr>
        <w:tc>
          <w:tcPr>
            <w:tcW w:w="3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529,628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652,468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(122,840)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expenses decreased $122.8 million for the year ended December 31, 2022 as compared with the same period in 2021. This was due to a decrease of $68.2 million in restructuring related primarily to the 2021 Projects. The loss on sale of businesses of $64.3 million in 2021 includes the impairment resulting from the sale of certain Gas product lines from our Device Solutions manufacturing and business operations in Europe and North America to Dresser and an increase to the loss related to the 2020 Latin America divestiture. There was also a decrease of $12.1 million in research and development, $10.1 million in sales, general and administrative, and $10.1 million in amortization of intangible assets. The reduction in sales, general and administrative and research and development expenses were primarily driven by management's cost saving actions, as well as reductions in labor costs and variable compensation. The decreases were partially offset by $38.5 million in goodwill impairment, recognized in 2022. Refer to Item 8: Financial Statements and Supplementary Data, Note 5: Goodwill</w:t>
      </w:r>
      <w:r>
        <w:rPr>
          <w:rFonts w:ascii="Arial" w:cs="Arial" w:eastAsia="Arial" w:hAnsi="Arial"/>
          <w:sz w:val="16"/>
          <w:szCs w:val="16"/>
          <w:b w:val="1"/>
          <w:bCs w:val="1"/>
          <w:color w:val="auto"/>
        </w:rPr>
        <w:t>,</w:t>
      </w:r>
      <w:r>
        <w:rPr>
          <w:rFonts w:ascii="Arial" w:cs="Arial" w:eastAsia="Arial" w:hAnsi="Arial"/>
          <w:sz w:val="16"/>
          <w:szCs w:val="16"/>
          <w:color w:val="auto"/>
        </w:rPr>
        <w:t xml:space="preserve"> Note 13: Restructuring, and Note 18: Sale of Businesses for more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1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2"/>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w w:val="89"/>
              </w:rPr>
              <w:t>2,633</w:t>
            </w:r>
          </w:p>
        </w:tc>
        <w:tc>
          <w:tcPr>
            <w:tcW w:w="12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r>
      <w:tr>
        <w:trPr>
          <w:trHeight w:val="206"/>
        </w:trPr>
        <w:tc>
          <w:tcPr>
            <w:tcW w:w="6620" w:type="dxa"/>
            <w:vAlign w:val="bottom"/>
          </w:tcPr>
          <w:p>
            <w:pPr>
              <w:ind w:left="180"/>
              <w:spacing w:after="0"/>
              <w:rPr>
                <w:sz w:val="20"/>
                <w:szCs w:val="20"/>
                <w:color w:val="auto"/>
              </w:rPr>
            </w:pPr>
            <w:r>
              <w:rPr>
                <w:rFonts w:ascii="Arial" w:cs="Arial" w:eastAsia="Arial" w:hAnsi="Arial"/>
                <w:sz w:val="16"/>
                <w:szCs w:val="16"/>
                <w:color w:val="auto"/>
              </w:rPr>
              <w:t>Amortization of prepaid debt fees</w:t>
            </w:r>
          </w:p>
        </w:tc>
        <w:tc>
          <w:tcPr>
            <w:tcW w:w="380" w:type="dxa"/>
            <w:vAlign w:val="bottom"/>
          </w:tcPr>
          <w:p>
            <w:pPr>
              <w:spacing w:after="0"/>
              <w:rPr>
                <w:sz w:val="17"/>
                <w:szCs w:val="17"/>
                <w:color w:val="auto"/>
              </w:rPr>
            </w:pPr>
          </w:p>
        </w:tc>
        <w:tc>
          <w:tcPr>
            <w:tcW w:w="1260" w:type="dxa"/>
            <w:vAlign w:val="bottom"/>
          </w:tcPr>
          <w:p>
            <w:pPr>
              <w:jc w:val="center"/>
              <w:ind w:left="679"/>
              <w:spacing w:after="0"/>
              <w:rPr>
                <w:sz w:val="20"/>
                <w:szCs w:val="20"/>
                <w:color w:val="auto"/>
              </w:rPr>
            </w:pPr>
            <w:r>
              <w:rPr>
                <w:rFonts w:ascii="Arial" w:cs="Arial" w:eastAsia="Arial" w:hAnsi="Arial"/>
                <w:sz w:val="16"/>
                <w:szCs w:val="16"/>
                <w:color w:val="auto"/>
                <w:w w:val="90"/>
              </w:rPr>
              <w:t>(3,499)</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(18,253)</w:t>
            </w:r>
          </w:p>
        </w:tc>
      </w:tr>
      <w:tr>
        <w:trPr>
          <w:trHeight w:val="219"/>
        </w:trPr>
        <w:tc>
          <w:tcPr>
            <w:tcW w:w="6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w w:val="90"/>
              </w:rPr>
              <w:t>(3,225)</w:t>
            </w:r>
          </w:p>
        </w:tc>
        <w:tc>
          <w:tcPr>
            <w:tcW w:w="122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w:t>
            </w:r>
          </w:p>
        </w:tc>
      </w:tr>
      <w:tr>
        <w:trPr>
          <w:trHeight w:val="206"/>
        </w:trPr>
        <w:tc>
          <w:tcPr>
            <w:tcW w:w="66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7"/>
                <w:szCs w:val="17"/>
                <w:color w:val="auto"/>
              </w:rPr>
            </w:pPr>
          </w:p>
        </w:tc>
        <w:tc>
          <w:tcPr>
            <w:tcW w:w="1260" w:type="dxa"/>
            <w:vAlign w:val="bottom"/>
          </w:tcPr>
          <w:p>
            <w:pPr>
              <w:jc w:val="center"/>
              <w:ind w:left="679"/>
              <w:spacing w:after="0"/>
              <w:rPr>
                <w:sz w:val="20"/>
                <w:szCs w:val="20"/>
                <w:color w:val="auto"/>
              </w:rPr>
            </w:pPr>
            <w:r>
              <w:rPr>
                <w:rFonts w:ascii="Arial" w:cs="Arial" w:eastAsia="Arial" w:hAnsi="Arial"/>
                <w:sz w:val="16"/>
                <w:szCs w:val="16"/>
                <w:color w:val="auto"/>
                <w:w w:val="90"/>
              </w:rPr>
              <w:t>(6,724)</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(28,638)</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w w:val="90"/>
              </w:rPr>
              <w:t>(4,213)</w:t>
            </w:r>
          </w:p>
        </w:tc>
        <w:tc>
          <w:tcPr>
            <w:tcW w:w="122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(17,430)</w:t>
            </w:r>
          </w:p>
        </w:tc>
      </w:tr>
      <w:tr>
        <w:trPr>
          <w:trHeight w:val="207"/>
        </w:trPr>
        <w:tc>
          <w:tcPr>
            <w:tcW w:w="6620" w:type="dxa"/>
            <w:vAlign w:val="bottom"/>
          </w:tcPr>
          <w:p>
            <w:pPr>
              <w:ind w:left="36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0"/>
              </w:rPr>
              <w:t>(8,304)</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(44,511)</w:t>
            </w:r>
          </w:p>
        </w:tc>
      </w:tr>
      <w:tr>
        <w:trPr>
          <w:trHeight w:val="23"/>
        </w:trPr>
        <w:tc>
          <w:tcPr>
            <w:tcW w:w="6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 for the year ended December 31, 2022 was a net expense of $8.3 million compared with $44.5 million in 2021.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other income (expense), net, for the year ended December 31, 2022 as compared with the same period in 2021 was primarily driven by 2021 activity: $12.2 million write-off of prepaid debt fees associated with the repayment of senior subordinated notes, $2.6 million in lower debt fee amortization, $11.7 million related to the extinguishment of debt in other income (expense), net, as well as lower interest costs of $5.4 million for bonds and $2.2 million for the term loan, with such borrowings fully repaid in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tax benefit was $6.2 million and $45.5 million for the years ended December 31, 2022 and 2021. Our tax rate for the year ended December 31, 2022 differed from the U.S. federal statutory tax rate of 21% due to losses in jurisdictions for which no benefit is recognized because of valuation allowances on deferred tax assets, the level of profit or losses in domestic and international jurisdictions, stock-based compensation, and uncertain tax positions. The 2021 tax benefit related largely to the release of a valuation allowance on U.S. foreign tax credit deferred tax assets that were utilized in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related to income taxes, refer to Item 8: Financial Statements and Supplementary Data, Note 11: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For a description of our operating segments, refer to Part I, Item 1: Business, Our Operating Segments included in this Annual Report on Form 10-K and the above Overview section. The following tables and discussion highlight significant changes in trends or components of each operating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75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 Change</w:t>
            </w:r>
          </w:p>
        </w:tc>
        <w:tc>
          <w:tcPr>
            <w:tcW w:w="2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1,119,268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1,092,631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1,795,564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1,981,572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3"/>
          </w:tcPr>
          <w:p>
            <w:pPr>
              <w:jc w:val="center"/>
              <w:ind w:right="480"/>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1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220" w:type="dxa"/>
            <w:vAlign w:val="bottom"/>
          </w:tcPr>
          <w:p>
            <w:pPr>
              <w:spacing w:after="0"/>
              <w:rPr>
                <w:sz w:val="14"/>
                <w:szCs w:val="14"/>
                <w:color w:val="auto"/>
              </w:rPr>
            </w:pPr>
          </w:p>
        </w:tc>
        <w:tc>
          <w:tcPr>
            <w:tcW w:w="1340" w:type="dxa"/>
            <w:vAlign w:val="bottom"/>
            <w:gridSpan w:val="3"/>
          </w:tcPr>
          <w:p>
            <w:pPr>
              <w:jc w:val="center"/>
              <w:ind w:right="5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0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5"/>
              </w:rPr>
              <w:t>Profit</w:t>
            </w: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8"/>
                <w:szCs w:val="18"/>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90"/>
              </w:rPr>
              <w:t>Profit</w:t>
            </w:r>
          </w:p>
        </w:tc>
        <w:tc>
          <w:tcPr>
            <w:tcW w:w="106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15.4%</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361,975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2"/>
              </w:rPr>
              <w:t>32.3%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color w:val="auto"/>
                <w:w w:val="92"/>
              </w:rPr>
              <w:t>34.7%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41.4%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39.0%</w:t>
            </w:r>
          </w:p>
        </w:tc>
        <w:tc>
          <w:tcPr>
            <w:tcW w:w="0" w:type="dxa"/>
            <w:vAlign w:val="bottom"/>
          </w:tcPr>
          <w:p>
            <w:pPr>
              <w:spacing w:after="0"/>
              <w:rPr>
                <w:sz w:val="1"/>
                <w:szCs w:val="1"/>
                <w:color w:val="auto"/>
              </w:rPr>
            </w:pPr>
          </w:p>
        </w:tc>
      </w:tr>
      <w:tr>
        <w:trPr>
          <w:trHeight w:val="212"/>
        </w:trPr>
        <w:tc>
          <w:tcPr>
            <w:tcW w:w="5900" w:type="dxa"/>
            <w:vAlign w:val="bottom"/>
          </w:tcPr>
          <w:p>
            <w:pPr>
              <w:ind w:left="360"/>
              <w:spacing w:after="0"/>
              <w:rPr>
                <w:sz w:val="20"/>
                <w:szCs w:val="20"/>
                <w:color w:val="auto"/>
              </w:rPr>
            </w:pPr>
            <w:r>
              <w:rPr>
                <w:rFonts w:ascii="Arial" w:cs="Arial" w:eastAsia="Arial" w:hAnsi="Arial"/>
                <w:sz w:val="16"/>
                <w:szCs w:val="16"/>
                <w:color w:val="auto"/>
              </w:rPr>
              <w:t>Total gross profit and margin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2"/>
              </w:rPr>
              <w:t>29.1%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color w:val="auto"/>
                <w:w w:val="92"/>
              </w:rPr>
              <w:t>28.9%</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75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 Change</w:t>
            </w:r>
          </w:p>
        </w:tc>
        <w:tc>
          <w:tcPr>
            <w:tcW w:w="2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113,707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124,199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3"/>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328,657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center"/>
              <w:ind w:right="119"/>
              <w:spacing w:after="0"/>
              <w:rPr>
                <w:sz w:val="20"/>
                <w:szCs w:val="20"/>
                <w:color w:val="auto"/>
              </w:rPr>
            </w:pPr>
            <w:r>
              <w:rPr>
                <w:rFonts w:ascii="Arial" w:cs="Arial" w:eastAsia="Arial" w:hAnsi="Arial"/>
                <w:sz w:val="16"/>
                <w:szCs w:val="16"/>
                <w:color w:val="auto"/>
                <w:w w:val="93"/>
              </w:rPr>
              <w:t>(26)%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652,468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480"/>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i w:val="1"/>
                <w:iCs w:val="1"/>
                <w:color w:val="auto"/>
                <w:w w:val="89"/>
              </w:rPr>
              <w:t>Operating</w:t>
            </w:r>
          </w:p>
        </w:tc>
        <w:tc>
          <w:tcPr>
            <w:tcW w:w="220" w:type="dxa"/>
            <w:vAlign w:val="bottom"/>
          </w:tcPr>
          <w:p>
            <w:pPr>
              <w:spacing w:after="0"/>
              <w:rPr>
                <w:sz w:val="14"/>
                <w:szCs w:val="14"/>
                <w:color w:val="auto"/>
              </w:rPr>
            </w:pPr>
          </w:p>
        </w:tc>
        <w:tc>
          <w:tcPr>
            <w:tcW w:w="1340" w:type="dxa"/>
            <w:vAlign w:val="bottom"/>
            <w:gridSpan w:val="3"/>
          </w:tcPr>
          <w:p>
            <w:pPr>
              <w:jc w:val="center"/>
              <w:ind w:right="520"/>
              <w:spacing w:after="0" w:line="162" w:lineRule="exact"/>
              <w:rPr>
                <w:sz w:val="20"/>
                <w:szCs w:val="20"/>
                <w:color w:val="auto"/>
              </w:rPr>
            </w:pPr>
            <w:r>
              <w:rPr>
                <w:rFonts w:ascii="Arial" w:cs="Arial" w:eastAsia="Arial" w:hAnsi="Arial"/>
                <w:sz w:val="16"/>
                <w:szCs w:val="16"/>
                <w:b w:val="1"/>
                <w:bCs w:val="1"/>
                <w:i w:val="1"/>
                <w:iCs w:val="1"/>
                <w:color w:val="auto"/>
                <w:w w:val="87"/>
              </w:rPr>
              <w:t>Operating</w:t>
            </w:r>
          </w:p>
        </w:tc>
        <w:tc>
          <w:tcPr>
            <w:tcW w:w="1060" w:type="dxa"/>
            <w:vAlign w:val="bottom"/>
            <w:vMerge w:val="restart"/>
          </w:tcPr>
          <w:p>
            <w:pPr>
              <w:jc w:val="center"/>
              <w:ind w:right="119"/>
              <w:spacing w:after="0"/>
              <w:rPr>
                <w:sz w:val="20"/>
                <w:szCs w:val="20"/>
                <w:color w:val="auto"/>
              </w:rPr>
            </w:pPr>
            <w:r>
              <w:rPr>
                <w:rFonts w:ascii="Arial" w:cs="Arial" w:eastAsia="Arial" w:hAnsi="Arial"/>
                <w:sz w:val="16"/>
                <w:szCs w:val="16"/>
                <w:b w:val="1"/>
                <w:bCs w:val="1"/>
                <w:i w:val="1"/>
                <w:iCs w:val="1"/>
                <w:color w:val="auto"/>
                <w:w w:val="87"/>
              </w:rPr>
              <w:t>Operating</w:t>
            </w:r>
          </w:p>
        </w:tc>
        <w:tc>
          <w:tcPr>
            <w:tcW w:w="0" w:type="dxa"/>
            <w:vAlign w:val="bottom"/>
          </w:tcPr>
          <w:p>
            <w:pPr>
              <w:spacing w:after="0"/>
              <w:rPr>
                <w:sz w:val="1"/>
                <w:szCs w:val="1"/>
                <w:color w:val="auto"/>
              </w:rPr>
            </w:pPr>
          </w:p>
        </w:tc>
      </w:tr>
      <w:tr>
        <w:trPr>
          <w:trHeight w:val="162"/>
        </w:trPr>
        <w:tc>
          <w:tcPr>
            <w:tcW w:w="5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3"/>
          </w:tcPr>
          <w:p>
            <w:pPr>
              <w:jc w:val="center"/>
              <w:ind w:right="480"/>
              <w:spacing w:after="0" w:line="162" w:lineRule="exact"/>
              <w:rPr>
                <w:sz w:val="20"/>
                <w:szCs w:val="20"/>
                <w:color w:val="auto"/>
              </w:rPr>
            </w:pPr>
            <w:r>
              <w:rPr>
                <w:rFonts w:ascii="Arial" w:cs="Arial" w:eastAsia="Arial" w:hAnsi="Arial"/>
                <w:sz w:val="16"/>
                <w:szCs w:val="16"/>
                <w:b w:val="1"/>
                <w:bCs w:val="1"/>
                <w:i w:val="1"/>
                <w:iCs w:val="1"/>
                <w:color w:val="auto"/>
                <w:w w:val="92"/>
              </w:rPr>
              <w:t>Income</w:t>
            </w: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520"/>
              <w:spacing w:after="0" w:line="162" w:lineRule="exact"/>
              <w:rPr>
                <w:sz w:val="20"/>
                <w:szCs w:val="20"/>
                <w:color w:val="auto"/>
              </w:rPr>
            </w:pPr>
            <w:r>
              <w:rPr>
                <w:rFonts w:ascii="Arial" w:cs="Arial" w:eastAsia="Arial" w:hAnsi="Arial"/>
                <w:sz w:val="16"/>
                <w:szCs w:val="16"/>
                <w:b w:val="1"/>
                <w:bCs w:val="1"/>
                <w:i w:val="1"/>
                <w:iCs w:val="1"/>
                <w:color w:val="auto"/>
                <w:w w:val="89"/>
              </w:rPr>
              <w:t>Income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3"/>
              </w:rPr>
              <w:t>(Loss)</w:t>
            </w: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8"/>
                <w:szCs w:val="18"/>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87"/>
              </w:rPr>
              <w:t>(Loss)</w:t>
            </w:r>
          </w:p>
        </w:tc>
        <w:tc>
          <w:tcPr>
            <w:tcW w:w="106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income (loss) and operating margin</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3"/>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8.9%</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248,268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2"/>
              </w:rPr>
              <w:t>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254,434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color w:val="auto"/>
                <w:w w:val="92"/>
              </w:rPr>
              <w:t>23.3%</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20.8%</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(328,657)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(441,581)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operating loss and operating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7"/>
              </w:rPr>
              <w:t>(4.0)%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645,104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(206,394)</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61,778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99,355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(29,501)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(37,577)</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decreased by $206.4 million in 2022, or 32%, compared with 2021. The decrease was mainly due to the sale of certain Gas product lines from our manufacturing and business operations in Europe and North America to Dresser during the first quarter of 2022, accounting for $82.0 million of the decline. The decrease was also due to the discontinuation of some legacy products and component shortages resulting in unfulfilled customer demand. Changes in foreign currency exchange rates unfavorably impacted revenues by $55.4 million.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was 14.1% in 2022 compared with 15.4% in 2021. The 130 basis point decrease was primarily due to higher input costs and manufacturing inefficiencies related to component shortages, partially offset by favorable mix.</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$7.1 million, or 17%, in 2022 compared with 2021. The decrease was primarily due to management's cost savings actions resulting in a $4.0 million decrease in marketing costs and a $3.1 million decrease in research and development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1,119,268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1,092,631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w w:val="93"/>
              </w:rPr>
              <w:t>35,033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93"/>
              </w:rPr>
              <w:t>26,637</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361,975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378,633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left="839"/>
              <w:spacing w:after="0"/>
              <w:rPr>
                <w:sz w:val="20"/>
                <w:szCs w:val="20"/>
                <w:color w:val="auto"/>
              </w:rPr>
            </w:pPr>
            <w:r>
              <w:rPr>
                <w:rFonts w:ascii="Arial" w:cs="Arial" w:eastAsia="Arial" w:hAnsi="Arial"/>
                <w:sz w:val="16"/>
                <w:szCs w:val="16"/>
                <w:color w:val="auto"/>
                <w:w w:val="93"/>
              </w:rPr>
              <w:t>(12,711)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left="719"/>
              <w:spacing w:after="0"/>
              <w:rPr>
                <w:sz w:val="20"/>
                <w:szCs w:val="20"/>
                <w:color w:val="auto"/>
              </w:rPr>
            </w:pPr>
            <w:r>
              <w:rPr>
                <w:rFonts w:ascii="Arial" w:cs="Arial" w:eastAsia="Arial" w:hAnsi="Arial"/>
                <w:sz w:val="16"/>
                <w:szCs w:val="16"/>
                <w:color w:val="auto"/>
                <w:w w:val="93"/>
              </w:rPr>
              <w:t>(16,658)</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w w:val="93"/>
              </w:rPr>
              <w:t>(10,115)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3"/>
              </w:rPr>
              <w:t>(10,492)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by $26.6 million, or 2%, in 2022 compared with 2021. The increase was primarily due to the ramp of new and existing customer deployments, partially offset by global component shortages that limited our ability to fulfill our customer demand. Higher product revenue of $27.6 million was partially offset by lower maintenance service revenue of $1.0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was 32.3% in 2022 compared with 34.7% in 2021. The decrease of 240 basis points was primarily due to inflationary pressures driving higher input costs, less favorable product mix, and manufacturing inefficiencies related to component shortages.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by $10.5 million, or 8%, in 2022 compared with 2021. The decrease was primarily driven by reduced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4"/>
              </w:rPr>
              <w:t>(6,251)</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98,436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left="819"/>
              <w:spacing w:after="0"/>
              <w:rPr>
                <w:sz w:val="20"/>
                <w:szCs w:val="20"/>
                <w:color w:val="auto"/>
              </w:rPr>
            </w:pPr>
            <w:r>
              <w:rPr>
                <w:rFonts w:ascii="Arial" w:cs="Arial" w:eastAsia="Arial" w:hAnsi="Arial"/>
                <w:sz w:val="16"/>
                <w:szCs w:val="16"/>
                <w:color w:val="auto"/>
                <w:w w:val="94"/>
              </w:rPr>
              <w:t>3,255</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4"/>
              </w:rPr>
              <w:t>7,639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Revenues decreased $6.3 million, or 3%, in 2022 compared with 2021. Decreases in prepay business and consulting were offset by increases in managed services and grid operations. Changes in foreign currency exchange rates unfavorably impacted revenues by $7.0 million.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41.4% in 2022 compared with 39.0% for last year. The 240 basis point increase was driven by favorable managed services mix and other cost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$7.6 million, or 17%, in 2022 compared with 2021. This increase was primarily related to increased research and development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$112.9 million in 2022 as compared with 2021. This was due to a decrease of $68.2 million in restructuring related primarily to the 2021 Projects. The loss on sale of businesses of $64.3 million in 2021 includes the impairment resulting from the sale of certain Gas product lines from our Device Solutions manufacturing and business operations in Europe and North America to Dresser and an increase to the loss related to the 2020 Latin America divestiture. Amortization of intangible assets decreased $10.1 million as compared with 2021. The decreases were partially offset by $38.5 million in goodwill impairment within our Device Solutions reporting unit, recognized in 2022. Refer to Item 8: Financial Statements and Supplementary Data, Note 13: Restructuring and Note 18: Sale of Businesses for more details.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109,514</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Cash provided by (used in) investing activities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40,516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(34,884)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(41,036)</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(11,576)</w:t>
            </w:r>
          </w:p>
        </w:tc>
      </w:tr>
      <w:tr>
        <w:trPr>
          <w:trHeight w:val="213"/>
        </w:trPr>
        <w:tc>
          <w:tcPr>
            <w:tcW w:w="6060" w:type="dxa"/>
            <w:vAlign w:val="bottom"/>
          </w:tcPr>
          <w:p>
            <w:pPr>
              <w:ind w:left="360"/>
              <w:spacing w:after="0"/>
              <w:rPr>
                <w:sz w:val="20"/>
                <w:szCs w:val="20"/>
                <w:color w:val="auto"/>
              </w:rPr>
            </w:pPr>
            <w:r>
              <w:rPr>
                <w:rFonts w:ascii="Arial" w:cs="Arial" w:eastAsia="Arial" w:hAnsi="Arial"/>
                <w:sz w:val="16"/>
                <w:szCs w:val="16"/>
                <w:color w:val="auto"/>
              </w:rPr>
              <w:t>Less: Cash classified within assets held for sale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6"/>
        </w:trPr>
        <w:tc>
          <w:tcPr>
            <w:tcW w:w="6060" w:type="dxa"/>
            <w:vAlign w:val="bottom"/>
          </w:tcPr>
          <w:p>
            <w:pPr>
              <w:ind w:left="360"/>
              <w:spacing w:after="0"/>
              <w:rPr>
                <w:sz w:val="20"/>
                <w:szCs w:val="20"/>
                <w:color w:val="auto"/>
              </w:rPr>
            </w:pPr>
            <w:r>
              <w:rPr>
                <w:rFonts w:ascii="Arial" w:cs="Arial" w:eastAsia="Arial" w:hAnsi="Arial"/>
                <w:sz w:val="16"/>
                <w:szCs w:val="16"/>
                <w:color w:val="auto"/>
              </w:rPr>
              <w:t>Increase (decrease) in 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39,428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(44,354)</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57,029</w:t>
            </w:r>
          </w:p>
        </w:tc>
      </w:tr>
      <w:tr>
        <w:trPr>
          <w:trHeight w:val="24"/>
        </w:trPr>
        <w:tc>
          <w:tcPr>
            <w:tcW w:w="60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Cash, cash equivalents, and restricted cash at December 31, 2022 was $202.0 million compared with $162.6 million at December 31, 2021. The $39.4 million increase in cash and cash equivalents in the 2022 period was primarily the result of proceeds from the sale of certain Gas product lines from our Device Solutions manufacturing and business operations in Europe and North America to Dresser and cash flows from operating activities, offset by cash paid for shares repurchased and acquisition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Cash provided by operating activities in 2022 was $130.3 million lower than in 2021. This decrease was primarily due to an increase in working capital (current assets less current liabilities) compared to 2021 and higher variable compensation payouts, partially offset by increased earnings in 2022.</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investing activities during 2022 was $75.4 million higher than in 2021. This increase was primarily related to net cash proceeds received from the sale of certain Gas product lines from our Device Solutions manufacturing and business operations in Europe and North America to Dresser for $55.9 million, along with $14.9 million less purchases of property, plant, and equipment in 2022.</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financing activities during 2022 was $18.7 million, compared with net cash used in 2021 of $152.9 million. In March 2021, we received $389.4 million from issuance of common stock related to the equity offering, after deducting underwriters' discounts of the offering, purchased $84.1 million of the convertible note hedge contracts, and proceeds of $45.3 million from the sale of warrants. Also in March 2021, we closed the sale of the Convertible Notes with gross proceeds of $460 million, which was used to pay off the outstanding term loan balance of $536.1 million. In April 2021, we repaid the senior notes totaling $410 million (including $10 million early repayment premium) with proceeds from the equity offering and cash on hand. In 2022, we repurchased $17.0 million of our stock, compared with $8.0 million in 2021.</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classified within assets held for sale</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Cash classified within assets held for sale was $9.8 million as of December 31, 2021, which was related to the sale of certain Gas product lines from our Device Solutions manufacturing and business operations in Europe and North America to Dresser, which closed on February 28, 2022.</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effect of exchange rates on the cash balances of currencies held in foreign denominations resulted in a decrease of $6.9 million in 2022 and a decrease of $1.6 million in 2021. Our foreign currency exposure relates to non-U.S. dollar denominated balances in our international subsidiary operations.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154,794</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3"/>
              </w:rPr>
              <w:t>(34,682)</w:t>
            </w:r>
          </w:p>
        </w:tc>
      </w:tr>
      <w:tr>
        <w:trPr>
          <w:trHeight w:val="238"/>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96"/>
              </w:rPr>
              <w:t>120,112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 cash flow decreased due to lower operating cash flow, partially offset by lower spending for property, plant, and equipment. See the cash flow discussion of operating and investing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Offering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March 12, 2021, we closed the sale of 4,472,222 shares of our common stock in a public offering, resulting in net proceeds to us of $389.4 million, after deducting underwriters' discounts of the offering, and we closed the sale of the Convertible Notes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private placement to qualified institutional buyers, resulting in net proceeds to us of $448.5 million after deducting initial purchasers' discounts of the offering. Concurrently with the issuance of the Convertible Notes, we entered into the Convertible Note Hedge Transactions and Warrant Transactions. For further description of these transactions, refer to Item 8: Financial Statements and Supplementary Data, Note 6: Debt and Note 7: Derivative Financial Instruments.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2018 credit facility, as amended, provides a multicurrency revolving line of credit (the revolver) with a principal amount of up to $500 million. The revolver also contains a $300 million standby letter of credit sub-facility and a $50 million swingline sub-facility. At December 31, 2022, no amount was outstanding under the 2018 credit facility, and $56.0 million was utilized by outstanding standby letters of credit, resulting in $444.0 million available for borrowing or standby letters of credit under the revolver. At December 31, 2022, $244.0 million was available for additional standby letters of credit under the letter of credit sub-facility, and no amounts were outstanding under the swingline sub-facility. Amounts borrowed under the revolver may be repaid and reborrowed until the revolver's maturity on October 18, 2024, at which time all outstanding loans together with all accrued and unpaid interest must be repaid.</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description of our borrowings, refer to Item 8: Financial Statements and Supplementary Data, Note 6: Debt. Refer to Item 8: Financial Statements and Supplementary Data, Note 7: Derivative Financial Instruments for further details of the Convertible Note Hedge Transactions and Warrant Transactions.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2020, our Board of Directors approved a restructuring plan (the 2020 Projects). The 2020 Projects include activities that continue our efforts to optimize global supply chain and manufacturing operations, sales and marketing organizations, and other overhead. These projects are scheduled to be substantially complete by the end of 2023, with an estimated $8 million in cash payments remaining as of December 31, 2022 with cash outflows expected through 2024.</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(refer to Item 8: Financial Statements and Supplementary Data, Note 18: Sale of Businesses), includes activities to drive reductions in certain locations and functional support areas. These projects are expected to be substantially complete by the end of 2024, with an estimated $34 million in cash payments remaining as of December 31, 2022 with cash outflows expected through 2025.</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2022, we paid out a net $25.8 million related to all our restructuring projects. As of December 31, 2022, $42.4 million was accrued for these restructuring projects, of which $14.5 million is expected to be paid within the next 12 months.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23, 2023, the Board of Directors of Itron approved a restructuring plan (the 2023 Projects). The 2023 Projects include activities that continue the Company's efforts to optimize its global supply chain and manufacturing operations, sales and marketing organizations, and other overhead. These projects are to be substantially complete by early 2025. Itron estimates pre-tax restructuring charges of $40-45 million. Of the total estimated charge, approximately 95% will result in cash expenditures, and the remainder to non-cash impairment charges. The majority of the expense will be recognized during the first quarter of 2023. Once the 2023 Projects are substantially completed, Itron estimates $14-17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details regarding our restructuring activities, refer to Item 8: Financial Statements and Supplementary Data, Note 13: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November 1, 2021, Itron's Board of Directors authorized a share repurchase program of up to $100 million of our common stock over an 18-month period (the 2021 Stock Repurchase Program). Repurchases are made in the open market or in privately negotiated transactions, and in accordance with applicable securities laws. Following the announcement of the program and through December 31, 2022, we have repurchased 405,282 shares at an average share price of $61.67 (excluding commissions) for a total of $25 million. As of December 31, 2022, we are authorized to repurchase up to an additional $75 million before May 1, 2023.</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contractual obligations and commitments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obligations are disclosed in Item 8: Financial Statements and Supplementary Data, Note 19: Leases and do not include common area maintenance charges, real estate taxes, and insurance charges for which we are obligated. Amounts due under operating lease liabilities for the next 12 months are $18.2 million and beyond the next 12 months are $47.4 million.</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regularly enter into standard purchase orders in the ordinary course of business that may obligate us to purchase materials and other items but may not yet qualify for recognition in our Consolidated Balance Sheets. Purchase orders and other purchase obligations can include open-ended agreements that provide for estimated quantities over an extended delivery period. At December 31, 2022, purchase orders and other purchase obligations were $728.2 million, which includes capital expenditures of $10.1 million. The purchase orders may include durations longer than one year, but these long-term agreements generally contain termination clauses that could require payment if the commitments were canceled, and as such the total above is considered short-term as of December 31, 2022.</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long-term liabilities consist of warranty obligations, estimated pension benefit payments, and other obligations. Estimated pension benefit payments include amounts to be paid from our assets for unfunded plans and reflect expected future service. The following table summarizes our known obligations to make future payments pursuant to certain contracts as of December 31, 2022.</w:t>
      </w:r>
    </w:p>
    <w:tbl>
      <w:tblPr>
        <w:tblLayout w:type="fixed"/>
        <w:tblInd w:w="0" w:type="dxa"/>
        <w:tblCellMar>
          <w:top w:w="0" w:type="dxa"/>
          <w:left w:w="0" w:type="dxa"/>
          <w:bottom w:w="0" w:type="dxa"/>
          <w:right w:w="0" w:type="dxa"/>
        </w:tblCellMar>
      </w:tblPr>
      <w:tr>
        <w:trPr>
          <w:trHeight w:val="171"/>
        </w:trPr>
        <w:tc>
          <w:tcPr>
            <w:tcW w:w="51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900" w:type="dxa"/>
            <w:vAlign w:val="bottom"/>
          </w:tcPr>
          <w:p>
            <w:pPr>
              <w:spacing w:after="0"/>
              <w:rPr>
                <w:sz w:val="14"/>
                <w:szCs w:val="14"/>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Next 12 months</w:t>
            </w:r>
          </w:p>
        </w:tc>
        <w:tc>
          <w:tcPr>
            <w:tcW w:w="180" w:type="dxa"/>
            <w:vAlign w:val="bottom"/>
          </w:tcPr>
          <w:p>
            <w:pPr>
              <w:spacing w:after="0"/>
              <w:rPr>
                <w:sz w:val="14"/>
                <w:szCs w:val="14"/>
                <w:color w:val="auto"/>
              </w:rPr>
            </w:pPr>
          </w:p>
        </w:tc>
        <w:tc>
          <w:tcPr>
            <w:tcW w:w="1460" w:type="dxa"/>
            <w:vAlign w:val="bottom"/>
          </w:tcPr>
          <w:p>
            <w:pPr>
              <w:jc w:val="right"/>
              <w:ind w:right="179"/>
              <w:spacing w:after="0" w:line="171" w:lineRule="exact"/>
              <w:rPr>
                <w:sz w:val="20"/>
                <w:szCs w:val="20"/>
                <w:color w:val="auto"/>
              </w:rPr>
            </w:pPr>
            <w:r>
              <w:rPr>
                <w:rFonts w:ascii="Arial" w:cs="Arial" w:eastAsia="Arial" w:hAnsi="Arial"/>
                <w:sz w:val="16"/>
                <w:szCs w:val="16"/>
                <w:b w:val="1"/>
                <w:bCs w:val="1"/>
                <w:color w:val="auto"/>
                <w:w w:val="94"/>
              </w:rPr>
              <w:t>Beyond the next</w:t>
            </w:r>
          </w:p>
        </w:tc>
        <w:tc>
          <w:tcPr>
            <w:tcW w:w="0" w:type="dxa"/>
            <w:vAlign w:val="bottom"/>
          </w:tcPr>
          <w:p>
            <w:pPr>
              <w:spacing w:after="0"/>
              <w:rPr>
                <w:sz w:val="1"/>
                <w:szCs w:val="1"/>
                <w:color w:val="auto"/>
              </w:rPr>
            </w:pPr>
          </w:p>
        </w:tc>
      </w:tr>
      <w:tr>
        <w:trPr>
          <w:trHeight w:val="213"/>
        </w:trPr>
        <w:tc>
          <w:tcPr>
            <w:tcW w:w="5120" w:type="dxa"/>
            <w:vAlign w:val="bottom"/>
            <w:vMerge w:val="continue"/>
          </w:tcPr>
          <w:p>
            <w:pPr>
              <w:spacing w:after="0"/>
              <w:rPr>
                <w:sz w:val="18"/>
                <w:szCs w:val="18"/>
                <w:color w:val="auto"/>
              </w:rPr>
            </w:pPr>
          </w:p>
        </w:tc>
        <w:tc>
          <w:tcPr>
            <w:tcW w:w="29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12 months</w:t>
            </w:r>
          </w:p>
        </w:tc>
        <w:tc>
          <w:tcPr>
            <w:tcW w:w="0" w:type="dxa"/>
            <w:vAlign w:val="bottom"/>
          </w:tcPr>
          <w:p>
            <w:pPr>
              <w:spacing w:after="0"/>
              <w:rPr>
                <w:sz w:val="1"/>
                <w:szCs w:val="1"/>
                <w:color w:val="auto"/>
              </w:rPr>
            </w:pPr>
          </w:p>
        </w:tc>
      </w:tr>
      <w:tr>
        <w:trPr>
          <w:trHeight w:val="212"/>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Warranty obligations</w:t>
            </w:r>
          </w:p>
        </w:tc>
        <w:tc>
          <w:tcPr>
            <w:tcW w:w="2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7,495</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color w:val="auto"/>
              </w:rPr>
              <w:t>Estimated pension benefit payments</w:t>
            </w:r>
          </w:p>
        </w:tc>
        <w:tc>
          <w:tcPr>
            <w:tcW w:w="2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57,839</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period of cash settlement for long-term unrecognized tax benefits, which include accrued interest and penalties, cannot be reasonably estimated with the respective taxing authorities. For further information on defined benefit pension plans, income taxes, warranty obligations, and unearned revenue for extended warranties, refer to Item 8: Financial Statements and Supplementary Data, Note 8: Defined Benefit Pension Plans, Note 11: Income Taxes, Note 12: Commitments and Contingencies, and Note 17: Revenues.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provision as a percentage of income before tax typically differs from the U.S. federal statutory rate of 21%.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cash income tax payments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taxes paid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State income taxes 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and local income taxes paid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6,256</w:t>
            </w:r>
          </w:p>
        </w:tc>
      </w:tr>
      <w:tr>
        <w:trPr>
          <w:trHeight w:val="207"/>
        </w:trPr>
        <w:tc>
          <w:tcPr>
            <w:tcW w:w="7840" w:type="dxa"/>
            <w:vAlign w:val="bottom"/>
          </w:tcPr>
          <w:p>
            <w:pPr>
              <w:ind w:left="360"/>
              <w:spacing w:after="0"/>
              <w:rPr>
                <w:sz w:val="20"/>
                <w:szCs w:val="20"/>
                <w:color w:val="auto"/>
              </w:rPr>
            </w:pPr>
            <w:r>
              <w:rPr>
                <w:rFonts w:ascii="Arial" w:cs="Arial" w:eastAsia="Arial" w:hAnsi="Arial"/>
                <w:sz w:val="16"/>
                <w:szCs w:val="16"/>
                <w:color w:val="auto"/>
              </w:rPr>
              <w:t>Total income taxes paid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$27 million in U.S. federal and state taxes and $11 million in foreign and local income taxes in 2023.</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there was $41.8 million of cash and short-term investments held by certain foreign subsidiaries in which we are permanently reinvested for tax purposes. As a result of recent changes in U.S. tax legislation, any repatriation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future would not result in U.S. federal income tax. Accordingly, there is no provision for U.S. deferred taxes on this cash. If this cash were repatriated to fund U.S. operations, additional withholding tax costs may be incurred. Tax is only one of many factors that we consider in the management of global cash. Accordingly, the amount of taxes that we would need to accrue and pay to repatriate foreign cash could vary significantly.</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2022, $9.1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expect to pay approximately $20 million for variable compensation in cash during the first quarter of 2023.</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Notwithstanding the expected short to mid-term impacts of the COVID-19 related component shortages,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our dependence on certain key vendors and components, changes in estimated liabilities for product warranties and/or litigation, duration of the COVID-19 pandemic and resulting supply constraints, future business combinations, capital market fluctuations, international risks, and other factors described under Part I, Item 1A: Risk Factors, as well as Item 7A: Quantitative and Qualitative Disclosures About Market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8: Financial Statements and Supplementary Data, Note 12: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include revenue recognition, warranty, restructuring, income taxes, goodwill and intangible assets, defined benefit pension plans, contingencies, and stock-based compensation. Refer to Item 8: Financial Statements and Supplementary Data, Note 1: Summary of Significant Accounting Policies for further disclosures regarding accounting policies and new accounting pronouncements.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of our revenue arrangements involve multiple performance obligations, consisting of hardware, software, and professional services such as implementation, project management, installation, and consulting services. These arrangements require us to determine the standalone selling price of the promised goods or services underlying each performance obligation and then allocate the total arrangement consideration among the separate performance obligations based on their relative standalone selling price. Revenues for each performance obligation are then recognized upon transfer of control to the customer at a point in time as products are shipped or received by a customer, or over time as services are delivered. The majority of our revenue is recognized at a point in time when products are shipped to or received by a customer. Certain contracts that contain multiple performance obligations may contain customer-specific terms and conditions that govern service level commitments, transfer of control, and variable consideration that may involve complex accounting considerations.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services revenues are recognized over time. We measure progress towards satisfying these performance obligations using input methods, most commonly based on the costs incurred in relation to the total expected costs to provide the service. The estimate of expected costs to provide services requires judgment. Cost estimates take into consideration past history and the specific scope requested by the customer and are updated quarterly. Other variables impacting our estimate of costs to complete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 length of time to complete, changes in wages, subcontractor performance, supplier information, and business volume assumptions. Changes in underlying assumptions and estimates may adversely or favorably affect financial performance.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estimate that the completion of a performance obligation will result in a loss, then the loss is recognized in the period in which the loss becomes evident. We reevaluate the estimated loss through the completion of the performance obligation and adjust the estimated loss for changes in facts and circumstances.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contracts with customers include variable consideration, which can include liquidated damage provisions, rebates and volume and early payment discounts, or software licenses sold where the amount of consideration is dependent on the number of endpoints deployed. We estimate variable consideration using the expected value method, taking into consideration contract terms, historical customer behavior, and historical sales.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of having to pay liquidated damages and the magnitude of such damages.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customer-specific warranties do not represent a significant portion of our revenue.</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allocate consideration to each performance obligation in an arrangement based on its relative standalone selling price.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maximize the use of observable inputs and consider several factors, including our pricing practices, costs to provide a good or service, the type of good or service, and availability of other transactional data, among others.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contracts may be modified to add, remove, or change existing performance obligations or change contract price. The accounting for modifications to our contracts involves assessing whether the products or services added to an existing contract are distinct and whether the pricing is at the standalone selling price. Products or services added that are not distinct are accounted for as if it were part of the existing contract. The effect of the modification on the transaction price and on the measure of progress is recognized as an adjustment to revenue as of the date of the modification (i.e., on a cumulative catch-up basis). Those products or services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our products, we may experience an increase in warranty claims. We track warranty claims to identify potential warranty trends. If an unusual trend is identified,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If the employee must provide future service greater than 60 days, such benefits are recognized ratably over the future service period. For contract termination costs, we recognize a liability upon the later of when we terminate a contract in accordance with the contract terms or when we cease using the rights conveyed by the contract.</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changes in circumstances indicate the asset may be impaired, or when their useful lives are determined to be no longer indefinite.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As the result of increases in raw material, component, labor and other costs, coupled with a decrease in forecasted revenue within the Device Solutions operating segment and reporting unit, which we determined during the second quarter of 2022, we performed an interim goodwill impairment test. At the conclusion of the test, a goodwill impairment of $38.5 million was recognized in our Corporate unallocated segment as of June 30, 2022. No interim impairment test was determined to be necessary for the Networked Solutions or Outcomes reporting units. Refer to Item 8: Financial Statements and Supplementary Data, Note 5: Goodwill for further details.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Indonesia, India, and Italy.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which arise during the period but are not recognized as components of net periodic benefit cost.</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increases. The discount rate is a significant assumption used to value our pension benefit obligation. We determine a discount rate for our plans based on the estimated duration of each plan's liabilities. For euro denominated defined benefit pension plans, which represent 85%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 used was 3.75%. The weighted average discount rate used to measure the projected benefit obligation for all of the plans at December 31, 2022 was 4.14%. A change of 100 basis points in the discount rate would change our projected benefit obligation by approximately $9.0 million. The financial and actuarial assumptions used at December 31, 2022 may differ materially from actual results due to changing market and economic conditions and other factors. These differences could result in a significant change in the amount of pension expense recognized in future periods.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unrestricted stock awards with no market conditions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 For stock options, the fair value was estimated at the date of grant using the Black-Scholes option-pricing model, which included assumptions for the expected volatility, risk-free interest rate, expected term and dividend yield.</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valuing our restricted stock units with a market condition and stock options, significant judgment is required in determining the expected volatility of our common stock and the expected life that individuals will hold their stock options prior to exercising. The volatility for our restricted stock units with a market condition is based on the historical volatility of our own stock and the stock for companies comprising the market index within the market condition. The expected volatility for stock options was based on the historical and implied volatility of our own common stock. The expected life of stock option grants was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businesses, strategic initiative expenses, software project impairment, Russian currency translation write-off, goodwill impairment,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Non-GAAP operating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operating income </w:t>
      </w:r>
      <w:r>
        <w:rPr>
          <w:rFonts w:ascii="Arial" w:cs="Arial" w:eastAsia="Arial" w:hAnsi="Arial"/>
          <w:sz w:val="16"/>
          <w:szCs w:val="16"/>
          <w:color w:val="auto"/>
        </w:rPr>
        <w:t>– We define non-GAAP operating expenses as operating expenses excluding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related to the amortization of intangible assets, restructuring, loss on sale of businesses, strategic initiative expenses, software project impairment, Russian currency translation write-off, goodwill impairment, and acquisition and integration. We define non-GAAP operating income as operating income (loss) excluding the expenses related to the amortization of intangible assets, restructuring, loss on sale of businesses, strategic initiative expenses, software project impairment, Russian currency translation write-off, goodwill impairment,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Non-GAAP net income </w:t>
      </w:r>
      <w:r>
        <w:rPr>
          <w:rFonts w:ascii="Arial" w:cs="Arial" w:eastAsia="Arial" w:hAnsi="Arial"/>
          <w:sz w:val="17"/>
          <w:szCs w:val="17"/>
          <w:color w:val="auto"/>
        </w:rPr>
        <w:t>and</w:t>
      </w:r>
      <w:r>
        <w:rPr>
          <w:rFonts w:ascii="Arial" w:cs="Arial" w:eastAsia="Arial" w:hAnsi="Arial"/>
          <w:sz w:val="17"/>
          <w:szCs w:val="17"/>
          <w:i w:val="1"/>
          <w:iCs w:val="1"/>
          <w:color w:val="auto"/>
        </w:rPr>
        <w:t xml:space="preserve"> non-GAAP diluted EPS </w:t>
      </w:r>
      <w:r>
        <w:rPr>
          <w:rFonts w:ascii="Arial" w:cs="Arial" w:eastAsia="Arial" w:hAnsi="Arial"/>
          <w:sz w:val="17"/>
          <w:szCs w:val="17"/>
          <w:color w:val="auto"/>
        </w:rPr>
        <w:t>– We define non-GAAP net income as net income (loss) attributable to Itron, Inc. excluding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associated with amortization of intangible assets, amortization of debt placement fees, debt extinguishment, restructuring, loss on sale of businesses, strategic initiative expenses, software project impairment, Russian currency translation write-off, goodwill impairment,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 We define adjusted EBITDA as net income (loss) (a) minus interest income, (b) plus interest expense, debt extinguishment,</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restructuring, loss on sale of businesses, strategic initiative expenses, software project impairment, Russian currency translation write-off, goodwill impairment, acquisition and integration, and (c) excluding income tax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net cash provided by operating activities less cash used for acquisitions of property, plant and equipment.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TOTAL COMPANY RECONCILIATIONS</w:t>
            </w:r>
          </w:p>
        </w:tc>
        <w:tc>
          <w:tcPr>
            <w:tcW w:w="3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07"/>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operating expenses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652,468</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(35,801)</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(54,623)</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Loss on sale of businesses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(64,289)</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Strategic initiative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Software project impairment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Russian currency translation write-off</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7840" w:type="dxa"/>
            <w:vAlign w:val="bottom"/>
          </w:tcPr>
          <w:p>
            <w:pPr>
              <w:ind w:left="180"/>
              <w:spacing w:after="0"/>
              <w:rPr>
                <w:sz w:val="20"/>
                <w:szCs w:val="20"/>
                <w:color w:val="auto"/>
              </w:rPr>
            </w:pPr>
            <w:r>
              <w:rPr>
                <w:rFonts w:ascii="Arial" w:cs="Arial" w:eastAsia="Arial" w:hAnsi="Arial"/>
                <w:sz w:val="16"/>
                <w:szCs w:val="16"/>
                <w:color w:val="auto"/>
              </w:rPr>
              <w:t>Non-GAAP operating expenses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463,766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497,604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operating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(79,299)</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35,801</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54,623</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Loss on sale of businesses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64,289</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Strategic initiative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Software project impairment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Russian currency translation write-off</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7840" w:type="dxa"/>
            <w:vAlign w:val="bottom"/>
          </w:tcPr>
          <w:p>
            <w:pPr>
              <w:ind w:left="180"/>
              <w:spacing w:after="0"/>
              <w:rPr>
                <w:sz w:val="20"/>
                <w:szCs w:val="20"/>
                <w:color w:val="auto"/>
              </w:rPr>
            </w:pPr>
            <w:r>
              <w:rPr>
                <w:rFonts w:ascii="Arial" w:cs="Arial" w:eastAsia="Arial" w:hAnsi="Arial"/>
                <w:sz w:val="16"/>
                <w:szCs w:val="16"/>
                <w:color w:val="auto"/>
              </w:rPr>
              <w:t>Non-GAAP operating income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58,423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75,565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net loss attributable to Itron, Inc.</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(81,255)</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35,801</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18,078</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Debt extinguishment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11,681</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54,623</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Loss on sale of businesses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64,289</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Strategic initiative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Software project impairment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Russian currency translation write-off</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784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Income tax effect of non-GAAP adjustments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(25,265)</w:t>
            </w:r>
          </w:p>
        </w:tc>
      </w:tr>
      <w:tr>
        <w:trPr>
          <w:trHeight w:val="234"/>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net income attributable to Itron, Inc.</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50,987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78,103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1"/>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diluted EPS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1"/>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weighted average common shares outstanding - Diluted</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44,617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COMPANY RECONCILIATIONS</w:t>
            </w: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07"/>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net loss attributable to Itron, Inc.</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(81,255)</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(1,557)</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28,638</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Income tax benefit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(45,512)</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extinguishment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66,763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84,153</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54,623</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Loss on sale of businesses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64,289</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Strategic initiative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Software project impairment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Russian currency translation write-off</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7860" w:type="dxa"/>
            <w:vAlign w:val="bottom"/>
          </w:tcPr>
          <w:p>
            <w:pPr>
              <w:ind w:left="18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95,071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115,211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154,794</w:t>
            </w:r>
          </w:p>
        </w:tc>
      </w:tr>
      <w:tr>
        <w:trPr>
          <w:trHeight w:val="213"/>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(34,682)</w:t>
            </w:r>
          </w:p>
        </w:tc>
      </w:tr>
      <w:tr>
        <w:trPr>
          <w:trHeight w:val="23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Free Cash Flow</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120,112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hanging="332"/>
        <w:spacing w:after="0" w:line="223" w:lineRule="auto"/>
        <w:tabs>
          <w:tab w:leader="none" w:pos="32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may be exposed to interest rate risk through our variable rate debt instruments. On August 12, 2021, the U.S. dollar term loan under the credit facility was fully paid. At December 31, 2022, we had no outstanding variable rate debt.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Revenues denominated in functional currencies other than the U.S. dollar were 30% of total revenues for the year ended December 31, 2022, compared with 38% for the year ended December 31, 2021 and 37% for the year ended December 31, 2020.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2022, a total of 36 contracts were offsetting our exposures from the euro, pound sterling,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Indonesian rupiah, Canadian dollar, Australian dollar, and various other currencies, with notional amounts ranging from $117,000 to $57.9 million. Based on a sensitivity analysis as of December 31, 2022, we estimate that, if foreign currency exchange rates average 10 percentage points higher in 2023 for these financial instruments, our financial results in 2023 would not be materially impacted.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2" w:lineRule="exact"/>
        <w:rPr>
          <w:sz w:val="20"/>
          <w:szCs w:val="20"/>
          <w:color w:val="auto"/>
        </w:rPr>
      </w:pPr>
    </w:p>
    <w:p>
      <w:pPr>
        <w:ind w:right="506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Itron,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Itron, Inc. and subsidiaries (the "Company") as of December 31, 2022 and 2021, the related consolidated statements of operations, comprehensive income (loss),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2023,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Revenue Recognition ASC 606 — Revenue arrangements involving multiple performance obligations consisting of hardware, software, and professional services such as implementation, project management, installation, and consulting services — Refer to Notes 1 and 17 to the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the Company's revenue arrangements involve multiple performance obligations consisting of hardware, software, and professional services such as implementation, project management, installation, and consulting services. These contracts may contain customer-specific business terms and conditions, including service level commitments, variable consideration, and terms that govern when the customer has taken control. Additionally, these contracts may be modified from time to time as the Company delivers under the contract. These customer-specific business terms and conditions and modifications may involve complex accounting considerations, including determining whether the Company has enforceable rights and obligations, whether contract modifications represent new contracts or modification of existing contracts, whether certain performance obligations are distinct, and other considerations that may impact the timing of revenue recognition.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evaluation of these factors is executed in accordance with the ASC 606 revenue recognition framework and requires significant management judgment that could affect the amount and timing of revenue recognition over the contractual period. The computations to recognize revenue under the ASC 606 revenue recognition framework can be complex and require a significant volume of data input. Additionally, there can be complexity in the computations and entries made to record the related contract assets and liabilities at the balance sheet date. Given the challenge in auditing the judgments and computations made in determining revenue recognition for these multiple performance obligation arrangements with customer-specific business terms and conditions and modifications, we identified revenue recognition as a critical audit matter.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procedures related to (1) determining whether the Company has enforceable rights and obligations, whether contract modifications represent new contracts or modifications, whether certain performance obligations are distinct and other considerations that may impact the timing of revenue recognition and (2) the completeness and accuracy of the revenue recognition computations and entries used to recognize revenue included the following, among others:</w:t>
      </w:r>
    </w:p>
    <w:p>
      <w:pPr>
        <w:spacing w:after="0" w:line="214" w:lineRule="exact"/>
        <w:rPr>
          <w:sz w:val="20"/>
          <w:szCs w:val="20"/>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tested the effectiveness of controls over contract reviews, including management's use of checklists and other review procedures to determine whether customer-specific business terms are evident in the contract and whether accounting conclusions regarding enforceable rights and obligations, contract modifications, distinct products and services, and other considerations that may impact the timing of revenue recognition are appropriately applied.</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tested the effectiveness of controls over revenue recognition computations and entries to determine whether the computations and entries appropriately reflect the accounting conclusions for these contracts. Such controls included (1) the review of the completeness and accuracy of data input into the computations and entries and (2) the review of the mathematical accuracy of the computations and entries.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 sample of contracts with customers that included existing contracts, new contracts and contract modifications, we:</w:t>
      </w:r>
    </w:p>
    <w:p>
      <w:pPr>
        <w:spacing w:after="0" w:line="117" w:lineRule="exact"/>
        <w:rPr>
          <w:rFonts w:ascii="Arial" w:cs="Arial" w:eastAsia="Arial" w:hAnsi="Arial"/>
          <w:sz w:val="18"/>
          <w:szCs w:val="18"/>
          <w:color w:val="auto"/>
        </w:rPr>
      </w:pPr>
    </w:p>
    <w:p>
      <w:pPr>
        <w:jc w:val="both"/>
        <w:ind w:left="1300" w:hanging="320"/>
        <w:spacing w:after="0" w:line="255" w:lineRule="auto"/>
        <w:tabs>
          <w:tab w:leader="none" w:pos="13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Tested management's identification of customer-specific terms, whether the Company had enforceable rights and obligations, whether contract modifications represented new contracts or modifications to existing contracts, whether customer-specific terms introduced new or implied performance obligations, or other factors influencing the timing, nature and amount of revenue recognized, and assessed management's conclusions regarding accounting treatment. Our procedures included reading the selected contracts and inquiring of the Company's operational personnel to understand the nature of the contract and its business purpose, as well as evaluating management's conclusions.</w:t>
      </w:r>
    </w:p>
    <w:p>
      <w:pPr>
        <w:spacing w:after="0" w:line="84" w:lineRule="exact"/>
        <w:rPr>
          <w:rFonts w:ascii="Arial" w:cs="Arial" w:eastAsia="Arial" w:hAnsi="Arial"/>
          <w:sz w:val="18"/>
          <w:szCs w:val="18"/>
          <w:color w:val="auto"/>
        </w:rPr>
      </w:pPr>
    </w:p>
    <w:p>
      <w:pPr>
        <w:ind w:left="1300" w:hanging="320"/>
        <w:spacing w:after="0" w:line="277" w:lineRule="auto"/>
        <w:tabs>
          <w:tab w:leader="none" w:pos="13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whether the identified accounting conclusions were appropriately reflected in the revenue recognition computations and entries.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Tested the accuracy and completeness of the data used in the computations and entries to record revenue.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Tested mathematical accuracy of revenue recognition computations and entries.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 Valuation Allowance — Refer to Note 11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11 to the consolidated financial statements, the Company has recorded deferred tax assets totaling $686.4 million, and deferred tax liabilities totaling $47.8 million, at December 31, 2022. The Company has recorded a valuation allowance of $427.4 million at December 31, 2022 against its deferred tax assets, primarily associated with foreign loss carryforwards. The net deferred tax asset is $211.2 million. Deferred tax assets are reduced by a tax valuation allowance when, management believes, it is more likely than not that some portion of the deferred tax assets will not be realized. In evaluating the Company's ability to realize its deferred tax assets, management considers all available favorable and unfavorable evidence, including scheduled reversals of deferred tax liabilities, projected future taxable income, tax planning strategies, and the ability to carry losses to prior years. The most sensitive and critical factors are the projection, source, and character of future taxable income.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the Company's determination of the realizability of U.S. deferred tax assets as a critical audit matter because there is significant judgment required by management, specifically considering the realization of losses before income taxes in recent years, to conclude that it is more likely than not that these deferred tax assets will be realized in future periods. In addition, the auditing of these elements involved complex and subjective auditor judgment, including the need to involve personnel with specialized skill and knowledge.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audit procedures to evaluate management's determination that sufficient taxable income will be generated to realize deferred tax assets included the following, among others</w:t>
      </w:r>
      <w:r>
        <w:rPr>
          <w:rFonts w:ascii="Arial" w:cs="Arial" w:eastAsia="Arial" w:hAnsi="Arial"/>
          <w:sz w:val="18"/>
          <w:szCs w:val="18"/>
          <w:i w:val="1"/>
          <w:iCs w:val="1"/>
          <w:color w:val="auto"/>
        </w:rPr>
        <w:t>:</w:t>
      </w:r>
    </w:p>
    <w:p>
      <w:pPr>
        <w:spacing w:after="0" w:line="1" w:lineRule="exact"/>
        <w:rPr>
          <w:sz w:val="20"/>
          <w:szCs w:val="20"/>
          <w:color w:val="auto"/>
        </w:rPr>
      </w:pPr>
    </w:p>
    <w:p>
      <w:pPr>
        <w:ind w:left="6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the design and operating effectiveness of internal controls over income taxes, specifically those controls over the evaluation of the realizability of deferred tax assets.</w:t>
      </w:r>
    </w:p>
    <w:p>
      <w:pPr>
        <w:spacing w:after="0" w:line="7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estimates in regard to the ability to generate future taxable income and utilize the deferred tax assets by evaluating the forecast of future taxable income, including testing of management's forecasts against the Company's historical performance as adjusted for nonrecurring items, and evaluating total backlog supporting future revenues.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whether the estimates of future taxable income were consistent with evidence obtained in other areas of the audit.</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utilized personnel with specialized knowledge and skill in income taxes and accounting for income taxes under ASC 740 to assist in the evaluation of management's assessment of positive and negative evidence and their conclusion that it is more likely than not that the Company will realize the benefit of its deferred tax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300" w:type="dxa"/>
            <w:vAlign w:val="bottom"/>
          </w:tcPr>
          <w:p>
            <w:pPr>
              <w:spacing w:after="0"/>
              <w:rPr>
                <w:sz w:val="24"/>
                <w:szCs w:val="24"/>
                <w:color w:val="auto"/>
              </w:rPr>
            </w:pPr>
          </w:p>
        </w:tc>
        <w:tc>
          <w:tcPr>
            <w:tcW w:w="1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ITRON,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40" w:type="dxa"/>
            <w:vAlign w:val="bottom"/>
            <w:gridSpan w:val="5"/>
          </w:tcPr>
          <w:p>
            <w:pPr>
              <w:ind w:left="2240"/>
              <w:spacing w:after="0"/>
              <w:rPr>
                <w:sz w:val="20"/>
                <w:szCs w:val="20"/>
                <w:color w:val="auto"/>
              </w:rPr>
            </w:pPr>
            <w:r>
              <w:rPr>
                <w:rFonts w:ascii="Arial" w:cs="Arial" w:eastAsia="Arial" w:hAnsi="Arial"/>
                <w:sz w:val="18"/>
                <w:szCs w:val="18"/>
                <w:b w:val="1"/>
                <w:bCs w:val="1"/>
                <w:color w:val="auto"/>
              </w:rPr>
              <w:t>CONSOLIDATED STATEMENTS OF OPERATIONS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 revenues</w:t>
            </w:r>
          </w:p>
        </w:tc>
        <w:tc>
          <w:tcPr>
            <w:tcW w:w="1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1,889,173</w:t>
            </w:r>
          </w:p>
        </w:tc>
      </w:tr>
      <w:tr>
        <w:trPr>
          <w:trHeight w:val="229"/>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Service revenues</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284,177</w:t>
            </w:r>
          </w:p>
        </w:tc>
      </w:tr>
      <w:tr>
        <w:trPr>
          <w:trHeight w:val="223"/>
        </w:trPr>
        <w:tc>
          <w:tcPr>
            <w:tcW w:w="40" w:type="dxa"/>
            <w:vAlign w:val="bottom"/>
          </w:tcPr>
          <w:p>
            <w:pPr>
              <w:spacing w:after="0"/>
              <w:rPr>
                <w:sz w:val="19"/>
                <w:szCs w:val="19"/>
                <w:color w:val="auto"/>
              </w:rPr>
            </w:pPr>
          </w:p>
        </w:tc>
        <w:tc>
          <w:tcPr>
            <w:tcW w:w="4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1,795,564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1,981,572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2,173,350</w:t>
            </w:r>
          </w:p>
        </w:tc>
      </w:tr>
      <w:tr>
        <w:trPr>
          <w:trHeight w:val="209"/>
        </w:trPr>
        <w:tc>
          <w:tcPr>
            <w:tcW w:w="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 cost of revenues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1,408,615</w:t>
            </w:r>
          </w:p>
        </w:tc>
      </w:tr>
      <w:tr>
        <w:trPr>
          <w:trHeight w:val="230"/>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Service cost of revenues</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162,568</w:t>
            </w:r>
          </w:p>
        </w:tc>
      </w:tr>
      <w:tr>
        <w:trPr>
          <w:trHeight w:val="223"/>
        </w:trPr>
        <w:tc>
          <w:tcPr>
            <w:tcW w:w="40" w:type="dxa"/>
            <w:vAlign w:val="bottom"/>
          </w:tcPr>
          <w:p>
            <w:pPr>
              <w:spacing w:after="0"/>
              <w:rPr>
                <w:sz w:val="19"/>
                <w:szCs w:val="19"/>
                <w:color w:val="auto"/>
              </w:rPr>
            </w:pPr>
          </w:p>
        </w:tc>
        <w:tc>
          <w:tcPr>
            <w:tcW w:w="4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cost of revenues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1,273,375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1,408,403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1,571,183</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573,169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602,167</w:t>
            </w:r>
          </w:p>
        </w:tc>
      </w:tr>
      <w:tr>
        <w:trPr>
          <w:trHeight w:val="257"/>
        </w:trPr>
        <w:tc>
          <w:tcPr>
            <w:tcW w:w="40" w:type="dxa"/>
            <w:vAlign w:val="bottom"/>
          </w:tcPr>
          <w:p>
            <w:pPr>
              <w:spacing w:after="0"/>
              <w:rPr>
                <w:sz w:val="22"/>
                <w:szCs w:val="22"/>
                <w:color w:val="auto"/>
              </w:rPr>
            </w:pPr>
          </w:p>
        </w:tc>
        <w:tc>
          <w:tcPr>
            <w:tcW w:w="4540" w:type="dxa"/>
            <w:vAlign w:val="bottom"/>
            <w:gridSpan w:val="2"/>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general and administrative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276,920</w:t>
            </w:r>
          </w:p>
        </w:tc>
      </w:tr>
      <w:tr>
        <w:trPr>
          <w:trHeight w:val="230"/>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185,098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194,101</w:t>
            </w: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44,711</w:t>
            </w:r>
          </w:p>
        </w:tc>
      </w:tr>
      <w:tr>
        <w:trPr>
          <w:trHeight w:val="229"/>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Restructuring</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54,623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37,013</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sale of businesses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59,817</w:t>
            </w:r>
          </w:p>
        </w:tc>
      </w:tr>
      <w:tr>
        <w:trPr>
          <w:trHeight w:val="229"/>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Goodwill impairment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454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529,628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652,468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612,562</w:t>
            </w: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r>
      <w:tr>
        <w:trPr>
          <w:trHeight w:val="230"/>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r>
      <w:tr>
        <w:trPr>
          <w:trHeight w:val="230"/>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(44,001)</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r>
      <w:tr>
        <w:trPr>
          <w:trHeight w:val="223"/>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other income (expense)</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(46,244)</w:t>
            </w:r>
          </w:p>
        </w:tc>
      </w:tr>
      <w:tr>
        <w:trPr>
          <w:trHeight w:val="237"/>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(123,810)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(56,639)</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(56,877)</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loss attributable to Itron, Inc.</w:t>
            </w:r>
          </w:p>
        </w:tc>
        <w:tc>
          <w:tcPr>
            <w:tcW w:w="14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(57,955)</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loss per common share - Basic</w:t>
            </w:r>
          </w:p>
        </w:tc>
        <w:tc>
          <w:tcPr>
            <w:tcW w:w="1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per common share - Diluted</w:t>
            </w: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40" w:type="dxa"/>
            <w:vAlign w:val="bottom"/>
          </w:tcPr>
          <w:p>
            <w:pPr>
              <w:spacing w:after="0" w:line="20" w:lineRule="exact"/>
              <w:rPr>
                <w:sz w:val="1"/>
                <w:szCs w:val="1"/>
                <w:color w:val="auto"/>
              </w:rPr>
            </w:pPr>
          </w:p>
        </w:tc>
        <w:tc>
          <w:tcPr>
            <w:tcW w:w="454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40,253</w:t>
            </w:r>
          </w:p>
        </w:tc>
      </w:tr>
      <w:tr>
        <w:trPr>
          <w:trHeight w:val="230"/>
        </w:trPr>
        <w:tc>
          <w:tcPr>
            <w:tcW w:w="4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40,253</w:t>
            </w:r>
          </w:p>
        </w:tc>
      </w:tr>
    </w:tbl>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160" w:type="dxa"/>
            <w:vAlign w:val="bottom"/>
            <w:gridSpan w:val="2"/>
          </w:tcPr>
          <w:p>
            <w:pPr>
              <w:jc w:val="center"/>
              <w:ind w:left="3450"/>
              <w:spacing w:after="0"/>
              <w:rPr>
                <w:sz w:val="20"/>
                <w:szCs w:val="20"/>
                <w:color w:val="auto"/>
              </w:rPr>
            </w:pPr>
            <w:r>
              <w:rPr>
                <w:rFonts w:ascii="Arial" w:cs="Arial" w:eastAsia="Arial" w:hAnsi="Arial"/>
                <w:sz w:val="18"/>
                <w:szCs w:val="18"/>
                <w:b w:val="1"/>
                <w:bCs w:val="1"/>
                <w:color w:val="auto"/>
              </w:rPr>
              <w:t>ITRON,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00" w:type="dxa"/>
            <w:vAlign w:val="bottom"/>
            <w:gridSpan w:val="7"/>
          </w:tcPr>
          <w:p>
            <w:pPr>
              <w:jc w:val="center"/>
              <w:ind w:left="29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4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(56,877)</w:t>
            </w:r>
          </w:p>
        </w:tc>
      </w:tr>
      <w:tr>
        <w:trPr>
          <w:trHeight w:val="257"/>
        </w:trPr>
        <w:tc>
          <w:tcPr>
            <w:tcW w:w="40" w:type="dxa"/>
            <w:vAlign w:val="bottom"/>
          </w:tcPr>
          <w:p>
            <w:pPr>
              <w:spacing w:after="0"/>
              <w:rPr>
                <w:sz w:val="22"/>
                <w:szCs w:val="22"/>
                <w:color w:val="auto"/>
              </w:rPr>
            </w:pPr>
          </w:p>
        </w:tc>
        <w:tc>
          <w:tcPr>
            <w:tcW w:w="604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21,082</w:t>
            </w:r>
          </w:p>
        </w:tc>
      </w:tr>
      <w:tr>
        <w:trPr>
          <w:trHeight w:val="175"/>
        </w:trPr>
        <w:tc>
          <w:tcPr>
            <w:tcW w:w="40" w:type="dxa"/>
            <w:vAlign w:val="bottom"/>
          </w:tcPr>
          <w:p>
            <w:pPr>
              <w:spacing w:after="0"/>
              <w:rPr>
                <w:sz w:val="15"/>
                <w:szCs w:val="15"/>
                <w:color w:val="auto"/>
              </w:rPr>
            </w:pPr>
          </w:p>
        </w:tc>
        <w:tc>
          <w:tcPr>
            <w:tcW w:w="60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Foreign currency translation adjustment reclassified to net loss on sale or</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disposal of businesses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52,074</w:t>
            </w:r>
          </w:p>
        </w:tc>
      </w:tr>
      <w:tr>
        <w:trPr>
          <w:trHeight w:val="176"/>
        </w:trPr>
        <w:tc>
          <w:tcPr>
            <w:tcW w:w="40" w:type="dxa"/>
            <w:vAlign w:val="bottom"/>
          </w:tcPr>
          <w:p>
            <w:pPr>
              <w:spacing w:after="0"/>
              <w:rPr>
                <w:sz w:val="15"/>
                <w:szCs w:val="15"/>
                <w:color w:val="auto"/>
              </w:rPr>
            </w:pPr>
          </w:p>
        </w:tc>
        <w:tc>
          <w:tcPr>
            <w:tcW w:w="604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5"/>
              </w:rPr>
              <w:t>Net unrealized gain (loss) on derivative instruments, designated as cash flow</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hedges</w:t>
            </w:r>
          </w:p>
        </w:tc>
        <w:tc>
          <w:tcPr>
            <w:tcW w:w="3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40" w:type="dxa"/>
            <w:vAlign w:val="bottom"/>
          </w:tcPr>
          <w:p>
            <w:pPr>
              <w:spacing w:after="0"/>
              <w:rPr>
                <w:sz w:val="19"/>
                <w:szCs w:val="19"/>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Pension benefit obligation adjustment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r>
      <w:tr>
        <w:trPr>
          <w:trHeight w:val="223"/>
        </w:trPr>
        <w:tc>
          <w:tcPr>
            <w:tcW w:w="40" w:type="dxa"/>
            <w:vAlign w:val="bottom"/>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other comprehensive income (loss), net of tax</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66,146</w:t>
            </w:r>
          </w:p>
        </w:tc>
      </w:tr>
      <w:tr>
        <w:trPr>
          <w:trHeight w:val="237"/>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Total comprehensive income (loss), net of tax</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43,877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9,269</w:t>
            </w:r>
          </w:p>
        </w:tc>
      </w:tr>
      <w:tr>
        <w:trPr>
          <w:trHeight w:val="257"/>
        </w:trPr>
        <w:tc>
          <w:tcPr>
            <w:tcW w:w="40" w:type="dxa"/>
            <w:vAlign w:val="bottom"/>
          </w:tcPr>
          <w:p>
            <w:pPr>
              <w:spacing w:after="0"/>
              <w:rPr>
                <w:sz w:val="22"/>
                <w:szCs w:val="22"/>
                <w:color w:val="auto"/>
              </w:rPr>
            </w:pPr>
          </w:p>
        </w:tc>
        <w:tc>
          <w:tcPr>
            <w:tcW w:w="6040" w:type="dxa"/>
            <w:vAlign w:val="bottom"/>
            <w:gridSpan w:val="2"/>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57"/>
        </w:trPr>
        <w:tc>
          <w:tcPr>
            <w:tcW w:w="40" w:type="dxa"/>
            <w:vAlign w:val="bottom"/>
          </w:tcPr>
          <w:p>
            <w:pPr>
              <w:spacing w:after="0"/>
              <w:rPr>
                <w:sz w:val="22"/>
                <w:szCs w:val="22"/>
                <w:color w:val="auto"/>
              </w:rPr>
            </w:pPr>
          </w:p>
        </w:tc>
        <w:tc>
          <w:tcPr>
            <w:tcW w:w="6040" w:type="dxa"/>
            <w:vAlign w:val="bottom"/>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Itron, Inc.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460" w:type="dxa"/>
            <w:vAlign w:val="bottom"/>
          </w:tcPr>
          <w:p>
            <w:pPr>
              <w:jc w:val="center"/>
              <w:ind w:left="3150"/>
              <w:spacing w:after="0"/>
              <w:rPr>
                <w:sz w:val="20"/>
                <w:szCs w:val="20"/>
                <w:color w:val="auto"/>
              </w:rPr>
            </w:pPr>
            <w:r>
              <w:rPr>
                <w:rFonts w:ascii="Arial" w:cs="Arial" w:eastAsia="Arial" w:hAnsi="Arial"/>
                <w:sz w:val="18"/>
                <w:szCs w:val="18"/>
                <w:b w:val="1"/>
                <w:bCs w:val="1"/>
                <w:color w:val="auto"/>
              </w:rPr>
              <w:t>ITRON, INC.</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2"/>
                <w:szCs w:val="22"/>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2"/>
        </w:trPr>
        <w:tc>
          <w:tcPr>
            <w:tcW w:w="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46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162,579</w:t>
            </w:r>
          </w:p>
        </w:tc>
      </w:tr>
      <w:tr>
        <w:trPr>
          <w:trHeight w:val="230"/>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280,435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298,459</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165,799</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123,092</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749,929</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163,184</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211,982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181,472</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w:t>
            </w:r>
          </w:p>
        </w:tc>
      </w:tr>
      <w:tr>
        <w:trPr>
          <w:trHeight w:val="229"/>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65,523</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92,529</w:t>
            </w:r>
          </w:p>
        </w:tc>
      </w:tr>
      <w:tr>
        <w:trPr>
          <w:trHeight w:val="229"/>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1,098,975</w:t>
            </w:r>
          </w:p>
        </w:tc>
      </w:tr>
      <w:tr>
        <w:trPr>
          <w:trHeight w:val="248"/>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2,393,790</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60" w:type="dxa"/>
            <w:vAlign w:val="bottom"/>
            <w:shd w:val="clear" w:color="auto" w:fill="CCEEFF"/>
          </w:tcPr>
          <w:p>
            <w:pPr>
              <w:jc w:val="center"/>
              <w:ind w:right="115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193,129</w:t>
            </w: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42,869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81,253</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113,532</w:t>
            </w: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Taxes payable</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12,208</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warranty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18,406</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Unearned revenue</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82,816</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501,344</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450,228</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Long-term warranty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13,616</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benefit obligation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87,863</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57,314</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obligations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138,666</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1,251,031</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24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40" w:type="dxa"/>
            <w:vAlign w:val="bottom"/>
          </w:tcPr>
          <w:p>
            <w:pPr>
              <w:spacing w:after="0"/>
              <w:rPr>
                <w:sz w:val="15"/>
                <w:szCs w:val="15"/>
                <w:color w:val="auto"/>
              </w:rPr>
            </w:pPr>
          </w:p>
        </w:tc>
        <w:tc>
          <w:tcPr>
            <w:tcW w:w="67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w w:val="95"/>
              </w:rPr>
              <w:t>Common stock, no par value, 75,000 shares authorized, 45,186 and 45,152 shares</w:t>
            </w: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and outstanding</w:t>
            </w:r>
          </w:p>
        </w:tc>
        <w:tc>
          <w:tcPr>
            <w:tcW w:w="24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1,788,479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1,779,775</w:t>
            </w:r>
          </w:p>
        </w:tc>
      </w:tr>
      <w:tr>
        <w:trPr>
          <w:trHeight w:val="230"/>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(94,674)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(148,098)</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(515,600)</w:t>
            </w:r>
          </w:p>
        </w:tc>
      </w:tr>
      <w:tr>
        <w:trPr>
          <w:trHeight w:val="223"/>
        </w:trPr>
        <w:tc>
          <w:tcPr>
            <w:tcW w:w="4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18"/>
                <w:szCs w:val="18"/>
                <w:color w:val="auto"/>
              </w:rPr>
              <w:t>Total Itron, Inc. shareholders' equity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1,168,473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1,116,077</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26,682</w:t>
            </w:r>
          </w:p>
        </w:tc>
      </w:tr>
      <w:tr>
        <w:trPr>
          <w:trHeight w:val="223"/>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1,191,556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1,142,759</w:t>
            </w:r>
          </w:p>
        </w:tc>
      </w:tr>
      <w:tr>
        <w:trPr>
          <w:trHeight w:val="248"/>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2,393,790</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EQUITY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5"/>
                <w:szCs w:val="5"/>
                <w:color w:val="auto"/>
              </w:rPr>
            </w:pPr>
          </w:p>
        </w:tc>
        <w:tc>
          <w:tcPr>
            <w:tcW w:w="126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tcPr>
          <w:p>
            <w:pPr>
              <w:spacing w:after="0"/>
              <w:rPr>
                <w:sz w:val="2"/>
                <w:szCs w:val="2"/>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line="20" w:lineRule="exact"/>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2020</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1,357,600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(204,672)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(376,390)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776,538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24,277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800,815</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(57,955)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(56,877)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66,146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66,146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66,146</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5,551</w:t>
            </w: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line="143" w:lineRule="exact"/>
              <w:rPr>
                <w:sz w:val="20"/>
                <w:szCs w:val="20"/>
                <w:color w:val="auto"/>
              </w:rPr>
            </w:pPr>
            <w:r>
              <w:rPr>
                <w:rFonts w:ascii="Arial" w:cs="Arial" w:eastAsia="Arial" w:hAnsi="Arial"/>
                <w:sz w:val="14"/>
                <w:szCs w:val="14"/>
                <w:color w:val="auto"/>
              </w:rPr>
              <w:t>Restricted stock awards released net of</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188"/>
        </w:trPr>
        <w:tc>
          <w:tcPr>
            <w:tcW w:w="2820" w:type="dxa"/>
            <w:vAlign w:val="bottom"/>
          </w:tcPr>
          <w:p>
            <w:pPr>
              <w:ind w:left="20"/>
              <w:spacing w:after="0"/>
              <w:rPr>
                <w:sz w:val="20"/>
                <w:szCs w:val="20"/>
                <w:color w:val="auto"/>
              </w:rPr>
            </w:pPr>
            <w:r>
              <w:rPr>
                <w:rFonts w:ascii="Arial" w:cs="Arial" w:eastAsia="Arial" w:hAnsi="Arial"/>
                <w:sz w:val="14"/>
                <w:szCs w:val="14"/>
                <w:color w:val="auto"/>
              </w:rPr>
              <w:t>repurchased shares for taxes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Issuance of stock-based compensation awards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24,229</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4"/>
                <w:szCs w:val="14"/>
                <w:color w:val="auto"/>
              </w:rPr>
              <w:t>Balances at December 31, 2020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40,444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1,389,419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(138,526)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(434,345)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816,548</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23,725</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840,273</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(81,255)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(81,255)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(78,298)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(9,572)</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Restricted stock awards released net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repurchased shares for taxes</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w w:val="95"/>
              </w:rPr>
              <w:t>Issuance of stock-based compensation awards</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22,762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22,762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issued related to equity offering</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389,419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389,419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389,419</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Proceeds from sale of warrants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45,349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45,349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45,349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Purchases of convertible note hedge contracts,</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(63,576)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(63,576)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(63,576)</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tax</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Registration fee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repurchase program</w:t>
            </w: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w w:val="97"/>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(8,028)</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Other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1,779,775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(148,098)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(515,600)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1,116,077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26,682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1,142,759</w:t>
            </w: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(9,547)</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53,424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53,424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53,424</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Restricted stock awards released net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repurchased shares for taxes</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w w:val="95"/>
              </w:rPr>
              <w:t>Issuance of stock-based compensation awards</w:t>
            </w: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20,929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repurchase program</w:t>
            </w: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w w:val="97"/>
              </w:rPr>
              <w:t>(280)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(16,629)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(16,629)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(16,629)</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4"/>
                <w:szCs w:val="14"/>
                <w:color w:val="auto"/>
              </w:rPr>
              <w:t>Balances at December 31, 2022</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45,186</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1,788,479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(94,674)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(525,332)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1,168,473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23,083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1,191,556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ITRON,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6040" w:type="dxa"/>
            <w:vAlign w:val="bottom"/>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(9,547)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(78,298)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(56,877)</w:t>
            </w:r>
          </w:p>
        </w:tc>
        <w:tc>
          <w:tcPr>
            <w:tcW w:w="0" w:type="dxa"/>
            <w:vAlign w:val="bottom"/>
          </w:tcPr>
          <w:p>
            <w:pPr>
              <w:spacing w:after="0"/>
              <w:rPr>
                <w:sz w:val="1"/>
                <w:szCs w:val="1"/>
                <w:color w:val="auto"/>
              </w:rPr>
            </w:pPr>
          </w:p>
        </w:tc>
      </w:tr>
      <w:tr>
        <w:trPr>
          <w:trHeight w:val="182"/>
        </w:trPr>
        <w:tc>
          <w:tcPr>
            <w:tcW w:w="6040" w:type="dxa"/>
            <w:vAlign w:val="bottom"/>
          </w:tcPr>
          <w:p>
            <w:pPr>
              <w:ind w:left="2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Depreciation and amortization of intangible assets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66,763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84,153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97,290</w:t>
            </w:r>
          </w:p>
        </w:tc>
        <w:tc>
          <w:tcPr>
            <w:tcW w:w="0" w:type="dxa"/>
            <w:vAlign w:val="bottom"/>
          </w:tcPr>
          <w:p>
            <w:pPr>
              <w:spacing w:after="0"/>
              <w:rPr>
                <w:sz w:val="1"/>
                <w:szCs w:val="1"/>
                <w:color w:val="auto"/>
              </w:rPr>
            </w:pPr>
          </w:p>
        </w:tc>
      </w:tr>
      <w:tr>
        <w:trPr>
          <w:trHeight w:val="182"/>
        </w:trPr>
        <w:tc>
          <w:tcPr>
            <w:tcW w:w="6040" w:type="dxa"/>
            <w:vAlign w:val="bottom"/>
          </w:tcPr>
          <w:p>
            <w:pPr>
              <w:ind w:left="440"/>
              <w:spacing w:after="0"/>
              <w:rPr>
                <w:sz w:val="20"/>
                <w:szCs w:val="20"/>
                <w:color w:val="auto"/>
              </w:rPr>
            </w:pPr>
            <w:r>
              <w:rPr>
                <w:rFonts w:ascii="Arial" w:cs="Arial" w:eastAsia="Arial" w:hAnsi="Arial"/>
                <w:sz w:val="14"/>
                <w:szCs w:val="14"/>
                <w:color w:val="auto"/>
              </w:rPr>
              <w:t>Non-cash operating lease expense</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16,257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17,107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18,178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Stock-based compensation</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21,881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23,618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25,053</w:t>
            </w:r>
          </w:p>
        </w:tc>
        <w:tc>
          <w:tcPr>
            <w:tcW w:w="0" w:type="dxa"/>
            <w:vAlign w:val="bottom"/>
          </w:tcPr>
          <w:p>
            <w:pPr>
              <w:spacing w:after="0"/>
              <w:rPr>
                <w:sz w:val="1"/>
                <w:szCs w:val="1"/>
                <w:color w:val="auto"/>
              </w:rPr>
            </w:pPr>
          </w:p>
        </w:tc>
      </w:tr>
      <w:tr>
        <w:trPr>
          <w:trHeight w:val="182"/>
        </w:trPr>
        <w:tc>
          <w:tcPr>
            <w:tcW w:w="6040" w:type="dxa"/>
            <w:vAlign w:val="bottom"/>
          </w:tcPr>
          <w:p>
            <w:pPr>
              <w:ind w:left="440"/>
              <w:spacing w:after="0"/>
              <w:rPr>
                <w:sz w:val="20"/>
                <w:szCs w:val="20"/>
                <w:color w:val="auto"/>
              </w:rPr>
            </w:pPr>
            <w:r>
              <w:rPr>
                <w:rFonts w:ascii="Arial" w:cs="Arial" w:eastAsia="Arial" w:hAnsi="Arial"/>
                <w:sz w:val="14"/>
                <w:szCs w:val="14"/>
                <w:color w:val="auto"/>
              </w:rPr>
              <w:t>Amortization of prepaid debt fees</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3,499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18,253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4,130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taxes, net</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(32,635)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(85,574)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(12,939)</w:t>
            </w:r>
          </w:p>
        </w:tc>
        <w:tc>
          <w:tcPr>
            <w:tcW w:w="0" w:type="dxa"/>
            <w:vAlign w:val="bottom"/>
          </w:tcPr>
          <w:p>
            <w:pPr>
              <w:spacing w:after="0"/>
              <w:rPr>
                <w:sz w:val="1"/>
                <w:szCs w:val="1"/>
                <w:color w:val="auto"/>
              </w:rPr>
            </w:pPr>
          </w:p>
        </w:tc>
      </w:tr>
      <w:tr>
        <w:trPr>
          <w:trHeight w:val="182"/>
        </w:trPr>
        <w:tc>
          <w:tcPr>
            <w:tcW w:w="6040" w:type="dxa"/>
            <w:vAlign w:val="bottom"/>
          </w:tcPr>
          <w:p>
            <w:pPr>
              <w:ind w:left="440"/>
              <w:spacing w:after="0"/>
              <w:rPr>
                <w:sz w:val="20"/>
                <w:szCs w:val="20"/>
                <w:color w:val="auto"/>
              </w:rPr>
            </w:pPr>
            <w:r>
              <w:rPr>
                <w:rFonts w:ascii="Arial" w:cs="Arial" w:eastAsia="Arial" w:hAnsi="Arial"/>
                <w:sz w:val="14"/>
                <w:szCs w:val="14"/>
                <w:color w:val="auto"/>
              </w:rPr>
              <w:t>Loss on sale of businesses</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3,505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64,289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59,817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Loss on extinguishment of debt, net</w:t>
            </w:r>
          </w:p>
        </w:tc>
        <w:tc>
          <w:tcPr>
            <w:tcW w:w="3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040" w:type="dxa"/>
            <w:vAlign w:val="bottom"/>
          </w:tcPr>
          <w:p>
            <w:pPr>
              <w:ind w:left="440"/>
              <w:spacing w:after="0"/>
              <w:rPr>
                <w:sz w:val="20"/>
                <w:szCs w:val="20"/>
                <w:color w:val="auto"/>
              </w:rPr>
            </w:pPr>
            <w:r>
              <w:rPr>
                <w:rFonts w:ascii="Arial" w:cs="Arial" w:eastAsia="Arial" w:hAnsi="Arial"/>
                <w:sz w:val="14"/>
                <w:szCs w:val="14"/>
                <w:color w:val="auto"/>
              </w:rPr>
              <w:t>Goodwill impairment</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38,480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Restructuring, non-cash</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8,744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5,888</w:t>
            </w:r>
          </w:p>
        </w:tc>
        <w:tc>
          <w:tcPr>
            <w:tcW w:w="0" w:type="dxa"/>
            <w:vAlign w:val="bottom"/>
          </w:tcPr>
          <w:p>
            <w:pPr>
              <w:spacing w:after="0"/>
              <w:rPr>
                <w:sz w:val="1"/>
                <w:szCs w:val="1"/>
                <w:color w:val="auto"/>
              </w:rPr>
            </w:pPr>
          </w:p>
        </w:tc>
      </w:tr>
      <w:tr>
        <w:trPr>
          <w:trHeight w:val="182"/>
        </w:trPr>
        <w:tc>
          <w:tcPr>
            <w:tcW w:w="6040" w:type="dxa"/>
            <w:vAlign w:val="bottom"/>
          </w:tcPr>
          <w:p>
            <w:pPr>
              <w:ind w:left="440"/>
              <w:spacing w:after="0"/>
              <w:rPr>
                <w:sz w:val="20"/>
                <w:szCs w:val="20"/>
                <w:color w:val="auto"/>
              </w:rPr>
            </w:pPr>
            <w:r>
              <w:rPr>
                <w:rFonts w:ascii="Arial" w:cs="Arial" w:eastAsia="Arial" w:hAnsi="Arial"/>
                <w:sz w:val="14"/>
                <w:szCs w:val="14"/>
                <w:color w:val="auto"/>
              </w:rPr>
              <w:t>Other adjustments, net</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11,678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2,930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10,392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Changes in operating assets and liabilities, net of acquisitions and sale of businesses: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60,242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108,256</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(68,124)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35,403</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Other current assets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41,461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(11,832)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long-term assets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4,515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(11,391)</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Accounts payable, other current liabilities, and taxes payable</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45,085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(23,330)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(122,890)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Wages and benefits payable</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(21,749)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30,915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(34,664)</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Unearned revenue</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18,466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(29,366)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8,212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Warranty</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Restructuring</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(40,981)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15,967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11,767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operating, net</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(10,741)</w:t>
            </w:r>
          </w:p>
        </w:tc>
        <w:tc>
          <w:tcPr>
            <w:tcW w:w="0" w:type="dxa"/>
            <w:vAlign w:val="bottom"/>
          </w:tcPr>
          <w:p>
            <w:pPr>
              <w:spacing w:after="0"/>
              <w:rPr>
                <w:sz w:val="1"/>
                <w:szCs w:val="1"/>
                <w:color w:val="auto"/>
              </w:rPr>
            </w:pPr>
          </w:p>
        </w:tc>
      </w:tr>
      <w:tr>
        <w:trPr>
          <w:trHeight w:val="176"/>
        </w:trPr>
        <w:tc>
          <w:tcPr>
            <w:tcW w:w="6040" w:type="dxa"/>
            <w:vAlign w:val="bottom"/>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24,500</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154,794</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109,514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040" w:type="dxa"/>
            <w:vAlign w:val="bottom"/>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proceeds related to the sale of businesses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55,933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3,142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Acquisitions of property, plant, and equipment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(19,747)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(34,682)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(46,208)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Business acquisitions, net of cash and cash equivalents acquired</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(8,670)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Other investing, net</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4,307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5,326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4,039</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provided by (used in) investing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40,516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(34,884)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(41,036)</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Proceeds from borrowings</w:t>
            </w:r>
          </w:p>
        </w:tc>
        <w:tc>
          <w:tcPr>
            <w:tcW w:w="38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460,000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(946,094)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(414,063)</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Issuance of common stock</w:t>
            </w:r>
          </w:p>
        </w:tc>
        <w:tc>
          <w:tcPr>
            <w:tcW w:w="3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5,080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8,886</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Proceeds from common stock offering</w:t>
            </w:r>
          </w:p>
        </w:tc>
        <w:tc>
          <w:tcPr>
            <w:tcW w:w="3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389,419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Proceeds from sale of warrants</w:t>
            </w:r>
          </w:p>
        </w:tc>
        <w:tc>
          <w:tcPr>
            <w:tcW w:w="38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45,349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Purchases of convertible note hedge contracts</w:t>
            </w:r>
          </w:p>
        </w:tc>
        <w:tc>
          <w:tcPr>
            <w:tcW w:w="3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(84,139)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(16,972)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debt fees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Other financing, net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(4,828)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used in financing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(152,887)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(11,576)</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Less: Cash classified within assets held for sale</w:t>
            </w:r>
          </w:p>
        </w:tc>
        <w:tc>
          <w:tcPr>
            <w:tcW w:w="3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39,428</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(44,354)</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57,029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162,579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206,933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149,904</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202,007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162,579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206,933</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40" w:type="dxa"/>
            <w:vAlign w:val="bottom"/>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paid during the period for:</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40" w:type="dxa"/>
            <w:vAlign w:val="bottom"/>
          </w:tcPr>
          <w:p>
            <w:pPr>
              <w:ind w:left="660"/>
              <w:spacing w:after="0"/>
              <w:rPr>
                <w:sz w:val="20"/>
                <w:szCs w:val="20"/>
                <w:color w:val="auto"/>
              </w:rPr>
            </w:pPr>
            <w:r>
              <w:rPr>
                <w:rFonts w:ascii="Arial" w:cs="Arial" w:eastAsia="Arial" w:hAnsi="Arial"/>
                <w:sz w:val="14"/>
                <w:szCs w:val="14"/>
                <w:color w:val="auto"/>
              </w:rPr>
              <w:t>Income taxes, net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11,915</w:t>
            </w:r>
          </w:p>
        </w:tc>
        <w:tc>
          <w:tcPr>
            <w:tcW w:w="10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7,073</w:t>
            </w:r>
          </w:p>
        </w:tc>
        <w:tc>
          <w:tcPr>
            <w:tcW w:w="10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1,622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8,983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47,241</w:t>
            </w:r>
          </w:p>
        </w:tc>
        <w:tc>
          <w:tcPr>
            <w:tcW w:w="0" w:type="dxa"/>
            <w:vAlign w:val="bottom"/>
          </w:tcPr>
          <w:p>
            <w:pPr>
              <w:spacing w:after="0"/>
              <w:rPr>
                <w:sz w:val="1"/>
                <w:szCs w:val="1"/>
                <w:color w:val="auto"/>
              </w:rPr>
            </w:pPr>
          </w:p>
        </w:tc>
      </w:tr>
      <w:tr>
        <w:trPr>
          <w:trHeight w:val="182"/>
        </w:trPr>
        <w:tc>
          <w:tcPr>
            <w:tcW w:w="6040" w:type="dxa"/>
            <w:vAlign w:val="bottom"/>
          </w:tcPr>
          <w:p>
            <w:pPr>
              <w:ind w:left="340"/>
              <w:spacing w:after="0"/>
              <w:rPr>
                <w:sz w:val="20"/>
                <w:szCs w:val="20"/>
                <w:color w:val="auto"/>
              </w:rPr>
            </w:pPr>
            <w:r>
              <w:rPr>
                <w:rFonts w:ascii="Arial" w:cs="Arial" w:eastAsia="Arial" w:hAnsi="Arial"/>
                <w:sz w:val="14"/>
                <w:szCs w:val="14"/>
                <w:color w:val="auto"/>
              </w:rPr>
              <w:t>Non-cash operating, investing and financing activities: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tax on purchase of convertible note hedge contracts</w:t>
            </w:r>
          </w:p>
        </w:tc>
        <w:tc>
          <w:tcPr>
            <w:tcW w:w="3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were incorporated in the state of Washington in 1977 and are a technology company, offering end-to-end solutions to enhance productivity and efficiency, primarily focused on utilities and municipalities around the globe. We operate under the Itron brand worldwide and manage and report under three operating segments: Device Solutions, Networked Solutions, and Outcomes.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presented in this Annual Report include the Consolidated Statements of Operations, Consolidated Statements of Comprehensive Income (Loss), Consolidated Statements of Equity, and Consolidated Statements of Cash Flows for the years ended December 31, 2022, 2021, and 2020 and the Consolidated Balance Sheets as of December 31, 2022 and 2021 of Itron, Inc. and its subsidiaries, prepared in accordance with U.S. generally accepted accounting principles (GAAP).</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New variants of the virus may cause previously lifted restrictions to be reinstated, which could result in more disruptions.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 originally forecasted in prior periods shifting to future periods.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During the third quarter of 2022, we substantially liquidated our legal entity in Russia, recognizing a loss of $1.9 million for the reclassification of the currency translation adjustment from accumulated other comprehensive income. The loss was classified within sales, general and administrative expense within the Consolidated Statements of Operations.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20% to 50% investment and exercise significant influence. Entities in which we have less than a 20% investment and where we do not exercise significant influence are accounted for under the fair value method. Intercompany transactions and balances are eliminated upon consolidation.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 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and cash equivalents that are contractually restricted from operating use are classified as restricted cash and cash equivalents. We have no restricted cash in all periods presented.</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credit losses representing our estimate of the expected losses in accounts receivable at the date of the balance sheet based on our historical experience of bad debts, our specific review of outstanding receivables, and our review of current and expected economic conditions. Accounts receivable are written-off against the allowance when we believe an account, or a portion thereof, is no longer collectible.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stated at the lower of cost or net realizable value using the first-in, first-out method. Cost includes raw materials and labor, plus applied direct and indirect overhead costs. Net realizable value is the estimated selling price in the normal course of business, minus the cost of completion, disposal and transportation.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recognized on the Consolidated Balance Sheets at fair value as either assets or liabilities. The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any derivative designated as a fair value hedge, the changes in the fair value of the derivative and of the hedged item attributable to the hedged risk are recognized in earnings. For any derivative designated as a cash flow hedge, changes in the fair value of the derivative are recognized as a component of other comprehensive income (loss) (OCI) and are recognized in earnings when the hedged item affects earnings. For a hedge of a net investment,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We classify cash flows from our derivative programs as cash flows from operating activities in the Consolidated Statements of Cash Flows.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credit-worthy multinational commercial banks, with which we have master netting agreements; however, our derivative positions are not recognized on a net basis in the Consolidated Balance Sheets. There are no credit-risk related contingent features within our derivative instruments. Refer to Note 7: Derivative Financial Instruments and Note 14: Shareholders' Equity for further disclosures of our derivative instruments and their impact on OCI.</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years to 10 years for machinery and equipment, computers and software, and furniture. Leasehold improvements are capitalized and depreciated over the term of the applicable lease, including renewable periods if reasonably certain,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 or impairment losses recognized in conjunction with an announced or completed sale of a business, which are classified within loss on sale of businesses.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recognized as a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any contingent maturity or call features, using the effective interest method or the straight-line method when associated with a revolving credit facility. When debt is repaid early, the related portion of unamortized prepaid debt fees is written off and included in interest expense.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are measured and recognized at fair value, and amortized over the estimated useful life.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requires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estimate the preliminary fair value of acquired assets and liabilities as of the date of acquisition based on information available at that time utilizing either a cost or income approach. The determination of the fair value is judgmental in nature and involves the use of significant estimates and assumptions. Contingent consideration is recognized at fair value as of the date of the acquisition with adjustments occurring after the purchase price allocation period, which could be up to one year, recognized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leases are included in operating lease right-of-use (ROU) assets, other current liabilities, and operating lease liabilities on our Consolidated Balance Sheets. Finance leases are included in property, plant, and equipment, other long-term assets, other current liabilities, and other long-term obligations on our Consolidated Balance Sheets.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rate implicit in the lease agreement when readily determinable. As most of our leases do not provide an implicit rate, we use our incremental borrowing rate, which is the estimated rate of interest we expect to pay on a collateralized basis over a similar term, based on the information available at the lease commencement date. The Operating lease ROU asset also includes any lease payments made and is reduced by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lease agreements that include lease and nonlease components. When nonlease components are fixed, we have elected the practical expedient to account for lease and nonlease components as a single lease component, except for leases embedded in service contracts.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leases with a lease term that is greater than one month are subject to recognition and measurement on the balance sheet, except where we have leases in service contracts with contract manufacturers. For leases with contract manufacturers, we have elected to utilize the short-term lease exemption.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10 years for core-developed technology and customer contracts and relationships.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quantitative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goodwill impairment loss in an amount equal to any excess.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our ability to make a reasonable estimate of the amount of the ultimate loss. Loss contingencies that we determine to be reasonably possible, but not probable, are disclosed but not recognized. Legal costs to defend against contingent liabilities are recognized as incurred.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various employee bonus and profit sharing plans, which provide award amounts for the achievement of financial and nonfinancial targets. If management determines it is probable that the discretionary targets will be achieved and the amounts can be reasonably estimated, a compensation accrual is recognized based on the proportional achievement of the financial and nonfinancial targets. In addition, management or the Board of Directors may decide to grant monetary bonus awards, at their discretion, and accrue such awards when it becomes probable they will be paid.</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long-term warranty balance includes estimated warranty claims beyond one year. Warranty expense is classified within cost of revenues.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If the employee must provide future service greater than 60 days,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sponsor both funded and unfunded defined benefit pension plans for certain international employees. We recognize a liability for the projected benefit obligation in excess of plan assets. We recognize an asset when plan assets exceed the projected benefit obligation. We also recognize the funded status of our defined benefit pension plans on our Consolidated Balance Sheets and recognize as a component of OCI, net of tax, the actuarial gains or losses and prior service costs or credits, if any, which arise during the period but that are not recognized as components of net periodic benefit cost. If actuarial gains and losses exceed 10 percent of the greater of plan assets or plan liabilities, we amortize them over the employees' average future service period.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Revenues and Service Revenues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Product revenues include sales from standard and smart meters, systems or software, and any associated implementation and installation revenue. Service revenues include sales from post-sale maintenance support, consulting, outsourcing, and managed services.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majority of our revenues consist primarily of hardware sales, but may also include the license of software, software implementation services, cloud services and Software-as-a-Service (SaaS), project management services, installation services, consulting services, post-sale maintenance support, and extended or customer-specific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consider whether the arrangement creates enforceable rights and obligations, which involves evaluation of contractual terms that would allow for the customer to terminate the agreement. If the customer has the unilateral right to terminate the agreement without providing further consideration to us, the agreement would not be considered to meet the definition of a contract.</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our revenue arrangements involve multiple performance obligations as our hardware and services are often sold together. Separate contracts entered into with the same customer (or related parties of the customer) at or near the same time are accounted for as a single contract when one or more of the following criteria are met:</w:t>
      </w:r>
    </w:p>
    <w:p>
      <w:pPr>
        <w:spacing w:after="0" w:line="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contracts are negotiated as a package with a single commercial objective;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consideration to be paid in one contract depends on the price or performance of the other contract;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goods or services promised in the contracts (or some goods or services promised in each of the contracts) are a single performance obligation.</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Some of our contracts contain a significant service of integrating, customizing or modifying goods or services in the contract, in which case the goods or services would be combined into a single performance obligation. It is common that we may promise to provide multiple distinct goods or services,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normal course of business, we do not accept product returns unless the item is defective as manufactured. We establish provisions for estimated returns and warranties. In addition, we do not typically provide customers with the right to a refund.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Hardware revenue is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Perpetual software licenses are considered to be a right to use intellectual property and are recognized at a point in time. Transfer of control is considered to be at the point at which it is available to the customer to download and use or upon receipt of customer acceptance. In certain contracts, software licenses may be sold with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Hardware and software licenses (when not combined with professional services) are typically billed when shipped and revenue recognized at a point-in-time. As a result, the timing of revenue recognition and invoicing does not have a significant impact on contract assets and liabilities.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our historical experience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including professional services, cloud services, and SaaS arrangements, are commonly billed on a monthly basis in arrears and typically result in an unbilled receivable, which is not considered a contract asset as our right to consideration is unconditional.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such warranties are considered to be a separate good or service, and a portion of the transaction price is allocated to this extended warranty performance obligation. This revenue is recognized ratably over the extended warranty coverage period.</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Hardware and software post-sale maintenance support fees are recognized over time, ratably over the life of the related service contract. Support fees are typically billed on an annual basis, resulting in a contract liability. Shipping and handling costs and incidental expenses billed to customers are recognized as revenue, with the associated cost charged to cost of revenues. We recognize sales, use, and value added taxes billed to our customers on a net basis.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terms with customers can vary by customer; however, amounts billed are typically payable within 30 to 90 days, depending on the destination country. We do not typically offer financing as part of our contracts with customers.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 expense as incurred. Otherwise, such incremental costs are capitalized and amortized over the contract period. Capitalized incremental costs are not material.</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Product and software development costs primarily include employee compensation and third-party contracting fees. We do not capitalize product development costs, and we do not generally capitalize development expenses for computer software to be sold, leased, or otherwise marketed as the costs incurred are immaterial for the relatively short period of time between technological feasibility and the completion of software development.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where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 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grant date on zero-coupon U.S. government issues with a term equal to the expected term of the award. The expected term is the remaining term of an award based on the period of time between the grant date and the date the award is expected to vest.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the fair value of the awards.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unrestricted stock awards is the market close price of our common stock on the date of grant, and the awards are deemed fully vested. We expense stock-based compensation at the date of grant for unrestricted stock awards.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stock options was estimated at the date of grant using the Black-Scholes option-pricing model. Options to purchase our common stock were granted with an exercise price equal to the market close price of the stock on the date the Board of Directors approved the grant. Options generally became exercisable in three equal annual installments beginning one year from the date of grant and expiring 10 years from the date of grant. Expected volatility was based on a combination of the historical volatility of our common stock and the implied volatility of our traded options for the related expected term. We believe this combined approach was reflective of current and historical market conditions and was an appropriate indicator of expected volatility. The risk-free interest rate was the rate available as of the award date on zero-coupon U.S. government issues with a term equal to the expected term of the award. The expected term was the weighted average expected term of an award based on the period of time between the date the award was granted and the estimated date the award will be fully exercised. Factors considered in estimating the expected term included historical experience of similar awards, contractual terms, vesting schedules, and expectations of future employee behavior.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tax benefits and deficiencies resulting from employee share-based payment are recognized as income tax provision or benefit in the Consolidated Statements of Operations, and as an operating activity on the Consolidated Statements of Cash Flows.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maintain an Employee Stock Purchase Plan (ESPP) for our employees. Under the terms of the ESPP, employees can deduct up to 10% of eligible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an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of $2.9 million, $3.2 million, and $2.8 million were included in other expenses, net, for the years ended December 31, 2022, 2021, and 2020.</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Consolidated Statements of Cash Flows, the following reclassifications have been made to prior year amounts to conform to current year presentation of restructuring liabilities.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center"/>
              <w:ind w:left="1119"/>
              <w:spacing w:after="0"/>
              <w:rPr>
                <w:sz w:val="20"/>
                <w:szCs w:val="20"/>
                <w:color w:val="auto"/>
              </w:rPr>
            </w:pPr>
            <w:r>
              <w:rPr>
                <w:rFonts w:ascii="Arial" w:cs="Arial" w:eastAsia="Arial" w:hAnsi="Arial"/>
                <w:sz w:val="16"/>
                <w:szCs w:val="16"/>
                <w:b w:val="1"/>
                <w:bCs w:val="1"/>
                <w:color w:val="auto"/>
                <w:w w:val="91"/>
              </w:rPr>
              <w:t>Year Ended December 31, 2021</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3"/>
                <w:szCs w:val="13"/>
                <w:color w:val="auto"/>
              </w:rPr>
            </w:pPr>
          </w:p>
        </w:tc>
        <w:tc>
          <w:tcPr>
            <w:tcW w:w="154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As Previously</w:t>
            </w:r>
          </w:p>
        </w:tc>
        <w:tc>
          <w:tcPr>
            <w:tcW w:w="240" w:type="dxa"/>
            <w:vAlign w:val="bottom"/>
          </w:tcPr>
          <w:p>
            <w:pPr>
              <w:spacing w:after="0"/>
              <w:rPr>
                <w:sz w:val="13"/>
                <w:szCs w:val="13"/>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3"/>
                <w:szCs w:val="13"/>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2"/>
              </w:rPr>
              <w:t>As Reclassified</w:t>
            </w:r>
          </w:p>
        </w:tc>
        <w:tc>
          <w:tcPr>
            <w:tcW w:w="0" w:type="dxa"/>
            <w:vAlign w:val="bottom"/>
          </w:tcPr>
          <w:p>
            <w:pPr>
              <w:spacing w:after="0"/>
              <w:rPr>
                <w:sz w:val="1"/>
                <w:szCs w:val="1"/>
                <w:color w:val="auto"/>
              </w:rPr>
            </w:pPr>
          </w:p>
        </w:tc>
      </w:tr>
      <w:tr>
        <w:trPr>
          <w:trHeight w:val="213"/>
        </w:trPr>
        <w:tc>
          <w:tcPr>
            <w:tcW w:w="6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Reported</w:t>
            </w:r>
          </w:p>
        </w:tc>
        <w:tc>
          <w:tcPr>
            <w:tcW w:w="2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9"/>
              </w:rPr>
              <w:t>Changes in operating assets and liabilities, net of acquisitions and sale of businesses: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other current liabilities, and taxes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(23,330)</w:t>
            </w:r>
          </w:p>
        </w:tc>
        <w:tc>
          <w:tcPr>
            <w:tcW w:w="0" w:type="dxa"/>
            <w:vAlign w:val="bottom"/>
          </w:tcPr>
          <w:p>
            <w:pPr>
              <w:spacing w:after="0"/>
              <w:rPr>
                <w:sz w:val="1"/>
                <w:szCs w:val="1"/>
                <w:color w:val="auto"/>
              </w:rPr>
            </w:pPr>
          </w:p>
        </w:tc>
      </w:tr>
      <w:tr>
        <w:trPr>
          <w:trHeight w:val="213"/>
        </w:trPr>
        <w:tc>
          <w:tcPr>
            <w:tcW w:w="608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15,967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15,967</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center"/>
              <w:ind w:left="1119"/>
              <w:spacing w:after="0"/>
              <w:rPr>
                <w:sz w:val="20"/>
                <w:szCs w:val="20"/>
                <w:color w:val="auto"/>
              </w:rPr>
            </w:pPr>
            <w:r>
              <w:rPr>
                <w:rFonts w:ascii="Arial" w:cs="Arial" w:eastAsia="Arial" w:hAnsi="Arial"/>
                <w:sz w:val="16"/>
                <w:szCs w:val="16"/>
                <w:b w:val="1"/>
                <w:bCs w:val="1"/>
                <w:color w:val="auto"/>
                <w:w w:val="91"/>
              </w:rPr>
              <w:t>Year Ended December 31, 2020</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3"/>
                <w:szCs w:val="13"/>
                <w:color w:val="auto"/>
              </w:rPr>
            </w:pPr>
          </w:p>
        </w:tc>
        <w:tc>
          <w:tcPr>
            <w:tcW w:w="154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As Previously</w:t>
            </w:r>
          </w:p>
        </w:tc>
        <w:tc>
          <w:tcPr>
            <w:tcW w:w="240" w:type="dxa"/>
            <w:vAlign w:val="bottom"/>
          </w:tcPr>
          <w:p>
            <w:pPr>
              <w:spacing w:after="0"/>
              <w:rPr>
                <w:sz w:val="13"/>
                <w:szCs w:val="13"/>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3"/>
                <w:szCs w:val="13"/>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2"/>
              </w:rPr>
              <w:t>As Reclassified</w:t>
            </w:r>
          </w:p>
        </w:tc>
        <w:tc>
          <w:tcPr>
            <w:tcW w:w="0" w:type="dxa"/>
            <w:vAlign w:val="bottom"/>
          </w:tcPr>
          <w:p>
            <w:pPr>
              <w:spacing w:after="0"/>
              <w:rPr>
                <w:sz w:val="1"/>
                <w:szCs w:val="1"/>
                <w:color w:val="auto"/>
              </w:rPr>
            </w:pPr>
          </w:p>
        </w:tc>
      </w:tr>
      <w:tr>
        <w:trPr>
          <w:trHeight w:val="213"/>
        </w:trPr>
        <w:tc>
          <w:tcPr>
            <w:tcW w:w="6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Reported</w:t>
            </w:r>
          </w:p>
        </w:tc>
        <w:tc>
          <w:tcPr>
            <w:tcW w:w="2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9"/>
              </w:rPr>
              <w:t>Changes in operating assets and liabilities, net of acquisitions and sale of businesses: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other current liabilities, and taxes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(122,890)</w:t>
            </w:r>
          </w:p>
        </w:tc>
        <w:tc>
          <w:tcPr>
            <w:tcW w:w="0" w:type="dxa"/>
            <w:vAlign w:val="bottom"/>
          </w:tcPr>
          <w:p>
            <w:pPr>
              <w:spacing w:after="0"/>
              <w:rPr>
                <w:sz w:val="1"/>
                <w:szCs w:val="1"/>
                <w:color w:val="auto"/>
              </w:rPr>
            </w:pPr>
          </w:p>
        </w:tc>
      </w:tr>
      <w:tr>
        <w:trPr>
          <w:trHeight w:val="213"/>
        </w:trPr>
        <w:tc>
          <w:tcPr>
            <w:tcW w:w="608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11,767</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2021, the Financial Accounting Standards Board (FASB) issued Accounting Standards Update (ASU) 2021-04 amending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260), Debt-Modifications and Extinguishments (Subtopic 470-50), Compensation - Stock Compensation (Topic 718), and Derivatives and Hedging - Contracts in Entity's Own Equity (Subtopic 815-40). </w:t>
      </w:r>
      <w:r>
        <w:rPr>
          <w:rFonts w:ascii="Arial" w:cs="Arial" w:eastAsia="Arial" w:hAnsi="Arial"/>
          <w:sz w:val="17"/>
          <w:szCs w:val="17"/>
          <w:color w:val="auto"/>
        </w:rPr>
        <w:t>The amendment affects entities when a freestanding equity-classified written call option is modified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and remains equity classified after the modification or exchange. We adopted this amendment as of the effective date of January 1, 2022. The adoption of this amendment did not have a material impact on our financial statements.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2021, the FASB issued ASU 2021-05, </w:t>
      </w:r>
      <w:r>
        <w:rPr>
          <w:rFonts w:ascii="Arial" w:cs="Arial" w:eastAsia="Arial" w:hAnsi="Arial"/>
          <w:sz w:val="18"/>
          <w:szCs w:val="18"/>
          <w:i w:val="1"/>
          <w:iCs w:val="1"/>
          <w:color w:val="auto"/>
        </w:rPr>
        <w:t>Leases (Topic 842): Lessors-Certain Leases with Variable Lease Payments</w:t>
      </w:r>
      <w:r>
        <w:rPr>
          <w:rFonts w:ascii="Arial" w:cs="Arial" w:eastAsia="Arial" w:hAnsi="Arial"/>
          <w:sz w:val="18"/>
          <w:szCs w:val="18"/>
          <w:color w:val="auto"/>
        </w:rPr>
        <w:t>. The amendments in this update modify the lease classification requirements for lessors to align them with practice under Topic 840, particularly in the area of day-one loss accounting. Lessors should classify and account for a lease with variable lease payments that do not depend on a reference index or a rate as an operating lease if certain criteria are met. The effective date for this amendment was January 1, 2022. The adoption of this amendment did not have a material impact on our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2021, the FASB issued ASU 2021-10 amending </w:t>
      </w:r>
      <w:r>
        <w:rPr>
          <w:rFonts w:ascii="Arial" w:cs="Arial" w:eastAsia="Arial" w:hAnsi="Arial"/>
          <w:sz w:val="18"/>
          <w:szCs w:val="18"/>
          <w:i w:val="1"/>
          <w:iCs w:val="1"/>
          <w:color w:val="auto"/>
        </w:rPr>
        <w:t>Government Assistance:</w:t>
      </w:r>
      <w:r>
        <w:rPr>
          <w:rFonts w:ascii="Arial" w:cs="Arial" w:eastAsia="Arial" w:hAnsi="Arial"/>
          <w:sz w:val="18"/>
          <w:szCs w:val="18"/>
          <w:color w:val="auto"/>
        </w:rPr>
        <w:t xml:space="preserve"> (</w:t>
      </w:r>
      <w:r>
        <w:rPr>
          <w:rFonts w:ascii="Arial" w:cs="Arial" w:eastAsia="Arial" w:hAnsi="Arial"/>
          <w:sz w:val="18"/>
          <w:szCs w:val="18"/>
          <w:i w:val="1"/>
          <w:iCs w:val="1"/>
          <w:color w:val="auto"/>
        </w:rPr>
        <w:t>Topic 832)</w:t>
      </w:r>
      <w:r>
        <w:rPr>
          <w:rFonts w:ascii="Arial" w:cs="Arial" w:eastAsia="Arial" w:hAnsi="Arial"/>
          <w:sz w:val="18"/>
          <w:szCs w:val="18"/>
          <w:color w:val="auto"/>
        </w:rPr>
        <w:t>. The FASB issued this update to increase the transparency of government assistance including the disclosure of (1) the types of assistance, (2) an entity's accounting for the assistance, and (3) the effect of the assistance on an entity's financial statements. The effective date for this amendment was January 1, 2022. The adoption of this amendment did not have a material impact on our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October 2021, the FASB issued ASU 2021-08 amending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which was necessary due to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The FASB issued this update to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by addressing diversity in practice and inconsistency related to (1) recognition of an acquired contract liability and (2) payment terms and their effect on subsequent revenue recognized by the acquirer. The effective date for this amendment is January 1, 2023 and all interim periods thereafter. These amendments are to be applied prospectively to business combinations occurring on or after the effective date of the amendments. We plan to apply the practical expedients as needed for any future acquisitions. The practical expedients cover contracts that were modified prior to acquisition date as well as determining which date an acquirer would have to determine the standalone selling price of each performance obligation in an acquired contract.</w:t>
      </w:r>
    </w:p>
    <w:p>
      <w:pPr>
        <w:spacing w:after="0" w:line="19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available to common shareholders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(9,732)</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(57,955)</w:t>
            </w:r>
          </w:p>
        </w:tc>
      </w:tr>
      <w:tr>
        <w:trPr>
          <w:trHeight w:val="257"/>
        </w:trPr>
        <w:tc>
          <w:tcPr>
            <w:tcW w:w="6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40,253</w:t>
            </w:r>
          </w:p>
        </w:tc>
      </w:tr>
      <w:tr>
        <w:trPr>
          <w:trHeight w:val="213"/>
        </w:trPr>
        <w:tc>
          <w:tcPr>
            <w:tcW w:w="6060" w:type="dxa"/>
            <w:vAlign w:val="bottom"/>
          </w:tcPr>
          <w:p>
            <w:pPr>
              <w:ind w:left="360"/>
              <w:spacing w:after="0"/>
              <w:rPr>
                <w:sz w:val="20"/>
                <w:szCs w:val="20"/>
                <w:color w:val="auto"/>
              </w:rPr>
            </w:pPr>
            <w:r>
              <w:rPr>
                <w:rFonts w:ascii="Arial" w:cs="Arial" w:eastAsia="Arial" w:hAnsi="Arial"/>
                <w:sz w:val="16"/>
                <w:szCs w:val="16"/>
                <w:color w:val="auto"/>
              </w:rPr>
              <w:t>Dilutive effect of stock-based awards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Dilutive effect of convertible notes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45,101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44,301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40,253</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common share - Basic</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0"/>
        </w:trPr>
        <w:tc>
          <w:tcPr>
            <w:tcW w:w="6060" w:type="dxa"/>
            <w:vAlign w:val="bottom"/>
          </w:tcPr>
          <w:p>
            <w:pPr>
              <w:ind w:left="20"/>
              <w:spacing w:after="0"/>
              <w:rPr>
                <w:sz w:val="20"/>
                <w:szCs w:val="20"/>
                <w:color w:val="auto"/>
              </w:rPr>
            </w:pPr>
            <w:r>
              <w:rPr>
                <w:rFonts w:ascii="Arial" w:cs="Arial" w:eastAsia="Arial" w:hAnsi="Arial"/>
                <w:sz w:val="16"/>
                <w:szCs w:val="16"/>
                <w:color w:val="auto"/>
              </w:rPr>
              <w:t>Net loss per common share - Diluted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(0.22)</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6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0.7 million, 0.5 million, and 0.7 million stock-based awards were excluded from the calculation of diluted EPS for the years ended December 31, 2022, 2021, and 2020, because they were anti-dilutive. These stock-based awards could be dilutive in future periods.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Notes and Warrants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quarterly closing prices of our common stock for the year ended December 31, 2022 were used as the basis for determining the dilutive effect on EPS. The quarterly average closing prices for our common stock did not exceed the conversion price of $126.00, and therefore all associated shares were anti-dilutive.</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year ended December 31, 2022, the quarterly average closing prices of our common stock did not exceed the warrant strike price and therefore 3.7 million shares were considered anti-dilutive.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0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2021</w:t>
            </w:r>
          </w:p>
        </w:tc>
      </w:tr>
      <w:tr>
        <w:trPr>
          <w:trHeight w:val="212"/>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$4,863 and $5,730)</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249,771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261,124</w:t>
            </w:r>
          </w:p>
        </w:tc>
      </w:tr>
      <w:tr>
        <w:trPr>
          <w:trHeight w:val="21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37,335</w:t>
            </w:r>
          </w:p>
        </w:tc>
      </w:tr>
      <w:tr>
        <w:trPr>
          <w:trHeight w:val="238"/>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298,459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Allowance for credit losses account activity</w:t>
            </w:r>
          </w:p>
        </w:tc>
        <w:tc>
          <w:tcPr>
            <w:tcW w:w="1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w w:val="92"/>
              </w:rPr>
              <w:t>Year Ended December 31,</w:t>
            </w:r>
          </w:p>
        </w:tc>
        <w:tc>
          <w:tcPr>
            <w:tcW w:w="12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5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5,730</w:t>
            </w:r>
          </w:p>
        </w:tc>
        <w:tc>
          <w:tcPr>
            <w:tcW w:w="122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9"/>
              </w:rPr>
              <w:t>1,312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360"/>
              <w:spacing w:after="0"/>
              <w:rPr>
                <w:sz w:val="20"/>
                <w:szCs w:val="20"/>
                <w:color w:val="auto"/>
              </w:rPr>
            </w:pPr>
            <w:r>
              <w:rPr>
                <w:rFonts w:ascii="Arial" w:cs="Arial" w:eastAsia="Arial" w:hAnsi="Arial"/>
                <w:sz w:val="16"/>
                <w:szCs w:val="16"/>
                <w:color w:val="auto"/>
              </w:rPr>
              <w:t>Provision for (release of) doubtful accounts, net</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99"/>
              </w:rPr>
              <w:t>4,636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written-off</w:t>
            </w:r>
          </w:p>
        </w:tc>
        <w:tc>
          <w:tcPr>
            <w:tcW w:w="1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15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4,863</w:t>
            </w:r>
          </w:p>
        </w:tc>
        <w:tc>
          <w:tcPr>
            <w:tcW w:w="122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9"/>
              </w:rPr>
              <w:t>5,730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Inventories</w:t>
            </w:r>
          </w:p>
        </w:tc>
        <w:tc>
          <w:tcPr>
            <w:tcW w:w="1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5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w w:val="90"/>
              </w:rPr>
              <w:t>December 31, 2021</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182,118</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8,386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38,197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360"/>
              <w:spacing w:after="0"/>
              <w:rPr>
                <w:sz w:val="20"/>
                <w:szCs w:val="20"/>
                <w:color w:val="auto"/>
              </w:rPr>
            </w:pPr>
            <w:r>
              <w:rPr>
                <w:rFonts w:ascii="Arial" w:cs="Arial" w:eastAsia="Arial" w:hAnsi="Arial"/>
                <w:sz w:val="16"/>
                <w:szCs w:val="16"/>
                <w:color w:val="auto"/>
              </w:rPr>
              <w:t>Total inventories</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228,701</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560" w:type="dxa"/>
            <w:vAlign w:val="bottom"/>
            <w:vMerge w:val="restart"/>
          </w:tcPr>
          <w:p>
            <w:pPr>
              <w:jc w:val="right"/>
              <w:ind w:right="256"/>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5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Property, plant, and equipment,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2021</w:t>
            </w:r>
          </w:p>
        </w:tc>
      </w:tr>
      <w:tr>
        <w:trPr>
          <w:trHeight w:val="212"/>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306,699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314,502</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119,670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111,540</w:t>
            </w: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131,764</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Land</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8,566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8,952</w:t>
            </w: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39,527</w:t>
            </w:r>
          </w:p>
        </w:tc>
      </w:tr>
      <w:tr>
        <w:trPr>
          <w:trHeight w:val="207"/>
        </w:trPr>
        <w:tc>
          <w:tcPr>
            <w:tcW w:w="6720" w:type="dxa"/>
            <w:vAlign w:val="bottom"/>
          </w:tcPr>
          <w:p>
            <w:pPr>
              <w:ind w:left="360"/>
              <w:spacing w:after="0"/>
              <w:rPr>
                <w:sz w:val="20"/>
                <w:szCs w:val="20"/>
                <w:color w:val="auto"/>
              </w:rPr>
            </w:pPr>
            <w:r>
              <w:rPr>
                <w:rFonts w:ascii="Arial" w:cs="Arial" w:eastAsia="Arial" w:hAnsi="Arial"/>
                <w:sz w:val="16"/>
                <w:szCs w:val="16"/>
                <w:color w:val="auto"/>
              </w:rPr>
              <w:t>Total cost</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584,639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606,285</w:t>
            </w: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(444,516)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(443,101)</w:t>
            </w:r>
          </w:p>
        </w:tc>
      </w:tr>
      <w:tr>
        <w:trPr>
          <w:trHeight w:val="213"/>
        </w:trPr>
        <w:tc>
          <w:tcPr>
            <w:tcW w:w="6720" w:type="dxa"/>
            <w:vAlign w:val="bottom"/>
          </w:tcPr>
          <w:p>
            <w:pPr>
              <w:ind w:left="6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140,123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163,184</w:t>
            </w:r>
          </w:p>
        </w:tc>
      </w:tr>
      <w:tr>
        <w:trPr>
          <w:trHeight w:val="21"/>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Depreciation expense</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52,579</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 2021, Itron entered into an agreement to sell certain Gas product lines from our Device Solutions manufacturing and business operations in Europe and North America to Dresser Utility Solutions (Dresser). The asset disposal group, which included $0.8 million of accounts receivable, $15.4 million of inventories, and $12.0 million of property, plant, and equipment, was classified as held for sale during the fourth quarter of 2021. The disposal group was removed from the balance sheet when the transaction closed on February 28, 2022. Refer to Note 18: Sale of Businesses for additional information on the transaction.</w:t>
      </w:r>
    </w:p>
    <w:p>
      <w:pPr>
        <w:spacing w:after="0" w:line="21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2022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2021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(Amortization)</w:t>
            </w:r>
          </w:p>
        </w:tc>
        <w:tc>
          <w:tcPr>
            <w:tcW w:w="280" w:type="dxa"/>
            <w:vAlign w:val="bottom"/>
          </w:tcPr>
          <w:p>
            <w:pPr>
              <w:spacing w:after="0"/>
              <w:rPr>
                <w:sz w:val="14"/>
                <w:szCs w:val="14"/>
                <w:color w:val="auto"/>
              </w:rPr>
            </w:pPr>
          </w:p>
        </w:tc>
        <w:tc>
          <w:tcPr>
            <w:tcW w:w="9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Accretion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14,382</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322,360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(265,503)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336,421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(261,043)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75,378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38"/>
        </w:trPr>
        <w:tc>
          <w:tcPr>
            <w:tcW w:w="3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905,134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(840,193)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928,422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(835,893)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23,441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 beginning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928,422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1,000,037</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Intangible assets acquired</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2,059</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reclassified to held for sale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(39,089)</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(34,585)</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gross ending balance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905,134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928,422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liabilities, gross beginning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liabilities, gross ending balance</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Assumed intangible liabilities reflect the present value of the projected cash outflows for an existing contract where remaining costs are expected to exceed projected revenues.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12, 2021, we completed the acquisition of 100% of the shares of SELC Group Limited (SELC), a private limited company incorporated in Ireland. SELC was previously a technology supplier to Itron. The acquisition provides value to Itron through the leverage of SELC's streetlight controls technology coupled with Itron's Smart Cities network and software platform. The acquisition will increase the pace of Smart City growth and innovation within Itron's Networked Solutions business for the benefit of our customers. The purchase was funded through cash on hand and resulted in the additions of intangible assets of $2.1 million and goodwill. Refer to Note 5: Goodwill for additional information on goodwill.</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conjunction with the business divestiture to Dresser (refer to Note 3: Certain Balance Sheet Components), the asset disposal group, which included $3.4 million of net intangible assets, was classified as held for sale during the fourth quarter of 2021. The disposal group was removed from the balance sheet when the transaction closed on February 28, 2022. Refer to Note 18: Sale of Businesses for additional information on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Estimated Annual</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6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18,960</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15,027</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14,297</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10,300</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38"/>
        </w:trPr>
        <w:tc>
          <w:tcPr>
            <w:tcW w:w="9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64,941</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Amortization Expense</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44,711</w:t>
            </w: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recognized amortization expense within operating expenses in the Consolidated Statements of Operations. These expenses relate to intangible assets acquired and liabilities assumed as part of business combinations.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changes in the carrying amount of goodwill for the years ended December 31, 2022 and 2021:</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Device Solutions</w:t>
            </w: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Networked Solutions</w:t>
            </w: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Outcomes</w:t>
            </w:r>
          </w:p>
        </w:tc>
        <w:tc>
          <w:tcPr>
            <w:tcW w:w="16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Total Company</w:t>
            </w:r>
          </w:p>
        </w:tc>
      </w:tr>
      <w:tr>
        <w:trPr>
          <w:trHeight w:val="239"/>
        </w:trPr>
        <w:tc>
          <w:tcPr>
            <w:tcW w:w="47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933,814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1,131,916</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Goodwill reclassified to held for sale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(12,800)</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acquired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change in exchange rates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(25,581)</w:t>
            </w: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balance at December 31, 2021</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918,005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1,098,975</w:t>
            </w:r>
          </w:p>
        </w:tc>
      </w:tr>
      <w:tr>
        <w:trPr>
          <w:trHeight w:val="239"/>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 to goodwill acquired</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(38,480)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(38,480)</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change in exchange rates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(21,751)</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Goodwill balance at December 31, 2022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899,887</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138,834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1,038,721</w:t>
            </w: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goodwill impairment losses at December 31, 2022 were $714.9 million and at December 31, 2021 were $676.5 million. The goodwill impairment losses were originally recognized in 2011, 2013, and 2022.</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conjunction with the acquisition of SELC (refer to Note 4: Intangible Assets and Liabilities), the purchase resulted in the recognition of $5.4 million in goodwill allocated to our Networked Solutions segment. During the year ended December 31, 2022, an immaterial adjustment was recorded to the goodwill acquired.</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conjunction with the business divestiture to Dresser (refer to Note 3: Certain Balance Sheet Components), the asset disposal group, which included $12.8 million of goodwill, was classified as held for sale during the fourth quarter of 2021. The disposal group was removed from the balance sheet when the transaction closed on February 28, 2022. Refer to Note 18: Sale of Businesses for additional information on the transaction.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result of increases in raw material, component, labor and other costs, coupled with a decrease in forecasted revenue within the Device Solutions operating segment and reporting unit, which we determined during the second quarter of 2022, we performed an interim goodwill impairment test. At the conclusion of the test, a goodwill impairment of $38.5 million was recognized in our Corporate unallocated segment as of June 30, 2022. No interim impairment test was determined to be necessary for the Networked Solutions or Outcomes reporting units. Refer to Note 1: Summary of Significant Accounting Policies for a description of our reporting units and our method used to determine the fair values of our reporting units and to determine the amount of any goodwill impairment.</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test goodwill for impairment each year as of October 1. 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Based on the results of the annual impairment testing for our reporting units performed as of October 1, 2022, no adjustments to the carrying value of goodwill were required. Refer to Note 1: Summary of Significant Accounting Policies for further details regarding the annual goodwill impairment process.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67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r>
      <w:tr>
        <w:trPr>
          <w:trHeight w:val="212"/>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debt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r>
      <w:tr>
        <w:trPr>
          <w:trHeight w:val="213"/>
        </w:trPr>
        <w:tc>
          <w:tcPr>
            <w:tcW w:w="67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Less: unamortized prepaid debt fees - 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9,772</w:t>
            </w:r>
          </w:p>
        </w:tc>
      </w:tr>
      <w:tr>
        <w:trPr>
          <w:trHeight w:val="23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Long-term debt,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452,526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credit facility, initially entered on January 5, 2018 (as amended, the 2018 credit facility), provided for committed credit facilities in the amount of $1.2 billion U.S. dollars. This facility originally consisted of a $650 million U.S. dollar term loan (the term loan) and a multicurrency revolving line of credit (the revolver) with a principal amount of up to $500 million. The revolver also contains a $300 million standby letter of credit sub-facility and a $50 million swingline sub-facility. The term loan was fully repaid in August 2021.</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2018 credit facility was amended on October 18, 2019, and this amendment extended the maturity date to October 18, 2024. The amendment also modified the required interest payments and with covenants based on total net leverage instead of total leverage. On October 19, 2020, we entered into a second amendment to obtain temporary covenant relief while also adding an additional level of pricing was added to the existing pricing grid, which is effective throughout the remaining term of the debt. On March 8, 2021, we entered into a third amendment to the 2018 credit facility, which modified provisions to permit cash settlement upon the conversion of the Convertible Notes, the Convertible Note Hedge Transactions and Warrant Transactions and also to adjust certain settlement provisions for convertible indebtedness. Refer to Note 7: Derivative Financial Instruments for further details of the Convertible Note Hedge Transactions and Warrant Transactions.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25, 2022, we entered into a fourth amendment to the 2018 credit facility, which modifies provisions to allow for the addback of non-cash expenses related to restructuring charges incurred during the quarter ended December 31, 2021 and also adjusted the maximum total net leverage ratio thresholds for the period which began with the first quarter of 2022 through the fourth quarter of 2022 to allow for increased operational flexibility. The maximum leverage ratio was increased to 4.75:1 for the first through third quarters of 2022 and 4.50:1 for the fourth quarter of 2022.</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December 31, 2022.</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right="20" w:firstLine="8"/>
        <w:spacing w:after="0" w:line="274"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will occur in June 2023</w:t>
      </w:r>
      <w:r>
        <w:rPr>
          <w:rFonts w:ascii="Arial" w:cs="Arial" w:eastAsia="Arial" w:hAnsi="Arial"/>
          <w:sz w:val="18"/>
          <w:szCs w:val="18"/>
          <w:color w:val="1F497D"/>
        </w:rPr>
        <w:t>.</w:t>
      </w:r>
      <w:r>
        <w:rPr>
          <w:rFonts w:ascii="Arial" w:cs="Arial" w:eastAsia="Arial" w:hAnsi="Arial"/>
          <w:sz w:val="17"/>
          <w:szCs w:val="17"/>
          <w:color w:val="auto"/>
        </w:rPr>
        <w:t xml:space="preserve"> On November 23, 2022, we entered into a fifth amendment to the 2018 credit facility, which replaces the LIBOR rate with Term Secured Overnight Financing Rate (SOFR) as the base interest rate.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there were no outstanding loan balances under the credit facility, and $56.0 million was utilized by outstanding standby letters of credit, resulting in $444.0 million available for additional borrowings or standby letters of credit within the revolver. At December 31, 2022</w:t>
      </w:r>
      <w:r>
        <w:rPr>
          <w:rFonts w:ascii="Arial" w:cs="Arial" w:eastAsia="Arial" w:hAnsi="Arial"/>
          <w:sz w:val="18"/>
          <w:szCs w:val="18"/>
          <w:color w:val="0000FF"/>
        </w:rPr>
        <w:t>,</w:t>
      </w:r>
      <w:r>
        <w:rPr>
          <w:rFonts w:ascii="Arial" w:cs="Arial" w:eastAsia="Arial" w:hAnsi="Arial"/>
          <w:sz w:val="18"/>
          <w:szCs w:val="18"/>
          <w:color w:val="auto"/>
        </w:rPr>
        <w:t xml:space="preserve"> $244.0 million was available for additional standby letters of credit under the letter of credit sub-facility, and no amounts were outstanding under the swingline sub-facility.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21, 2023, we entered into a sixth amendment to the 2018 credit facility. This amendment modifies provisions to allow for the addback for debt covenant calculations of non-recurring cash expenses related to restructuring charges to be incurred during the quarter ended March 31, 2023.</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Minimum Payments</w:t>
            </w:r>
          </w:p>
        </w:tc>
      </w:tr>
      <w:tr>
        <w:trPr>
          <w:trHeight w:val="209"/>
        </w:trPr>
        <w:tc>
          <w:tcPr>
            <w:tcW w:w="93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460,000</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9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minimum payments on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460,000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Summary of Significant Accounting Policies, Note 14: Shareholders' Equity, and Note 15: Fair Value of Financial Instruments for additional disclosures on our derivative instruments.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919"/>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Assets</w:t>
            </w:r>
          </w:p>
        </w:tc>
        <w:tc>
          <w:tcPr>
            <w:tcW w:w="4360" w:type="dxa"/>
            <w:vAlign w:val="bottom"/>
            <w:gridSpan w:val="2"/>
            <w:vMerge w:val="restart"/>
          </w:tcPr>
          <w:p>
            <w:pPr>
              <w:ind w:left="940"/>
              <w:spacing w:after="0"/>
              <w:rPr>
                <w:sz w:val="20"/>
                <w:szCs w:val="20"/>
                <w:color w:val="auto"/>
              </w:rPr>
            </w:pPr>
            <w:r>
              <w:rPr>
                <w:rFonts w:ascii="Arial" w:cs="Arial" w:eastAsia="Arial" w:hAnsi="Arial"/>
                <w:sz w:val="16"/>
                <w:szCs w:val="16"/>
                <w:b w:val="1"/>
                <w:bCs w:val="1"/>
                <w:color w:val="auto"/>
              </w:rPr>
              <w:t>Balance Sheet Location</w:t>
            </w:r>
          </w:p>
        </w:tc>
        <w:tc>
          <w:tcPr>
            <w:tcW w:w="13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420" w:type="dxa"/>
            <w:vAlign w:val="bottom"/>
            <w:tcBorders>
              <w:bottom w:val="single" w:sz="8" w:color="auto"/>
            </w:tcBorders>
            <w:vMerge w:val="continue"/>
          </w:tcPr>
          <w:p>
            <w:pPr>
              <w:spacing w:after="0"/>
              <w:rPr>
                <w:sz w:val="18"/>
                <w:szCs w:val="18"/>
                <w:color w:val="auto"/>
              </w:rPr>
            </w:pPr>
          </w:p>
        </w:tc>
        <w:tc>
          <w:tcPr>
            <w:tcW w:w="4360" w:type="dxa"/>
            <w:vAlign w:val="bottom"/>
            <w:tcBorders>
              <w:bottom w:val="single" w:sz="8" w:color="auto"/>
            </w:tcBorders>
            <w:gridSpan w:val="2"/>
            <w:vMerge w:val="continue"/>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080" w:type="dxa"/>
            <w:vAlign w:val="bottom"/>
            <w:gridSpan w:val="4"/>
          </w:tcPr>
          <w:p>
            <w:pPr>
              <w:jc w:val="center"/>
              <w:ind w:left="239"/>
              <w:spacing w:after="0"/>
              <w:rPr>
                <w:sz w:val="20"/>
                <w:szCs w:val="20"/>
                <w:color w:val="auto"/>
              </w:rPr>
            </w:pPr>
            <w:r>
              <w:rPr>
                <w:rFonts w:ascii="Arial" w:cs="Arial" w:eastAsia="Arial" w:hAnsi="Arial"/>
                <w:sz w:val="16"/>
                <w:szCs w:val="16"/>
                <w:i w:val="1"/>
                <w:iCs w:val="1"/>
                <w:color w:val="auto"/>
                <w:w w:val="91"/>
              </w:rPr>
              <w:t>In thousands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forward contracts</w:t>
            </w:r>
          </w:p>
        </w:tc>
        <w:tc>
          <w:tcPr>
            <w:tcW w:w="43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Other current assets</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3420" w:type="dxa"/>
            <w:vAlign w:val="bottom"/>
          </w:tcPr>
          <w:p>
            <w:pPr>
              <w:ind w:left="360"/>
              <w:spacing w:after="0"/>
              <w:rPr>
                <w:sz w:val="20"/>
                <w:szCs w:val="20"/>
                <w:color w:val="auto"/>
              </w:rPr>
            </w:pPr>
            <w:r>
              <w:rPr>
                <w:rFonts w:ascii="Arial" w:cs="Arial" w:eastAsia="Arial" w:hAnsi="Arial"/>
                <w:sz w:val="16"/>
                <w:szCs w:val="16"/>
                <w:b w:val="1"/>
                <w:bCs w:val="1"/>
                <w:color w:val="auto"/>
              </w:rPr>
              <w:t>Total asset derivatives</w:t>
            </w:r>
          </w:p>
        </w:tc>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
        </w:trPr>
        <w:tc>
          <w:tcPr>
            <w:tcW w:w="3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Liabilities</w:t>
            </w:r>
          </w:p>
        </w:tc>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3420" w:type="dxa"/>
            <w:vAlign w:val="bottom"/>
            <w:tcBorders>
              <w:bottom w:val="single" w:sz="8" w:color="auto"/>
            </w:tcBorders>
            <w:vMerge w:val="continue"/>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68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00" w:type="dxa"/>
            <w:vAlign w:val="bottom"/>
          </w:tcPr>
          <w:p>
            <w:pPr>
              <w:spacing w:after="0"/>
              <w:rPr>
                <w:sz w:val="18"/>
                <w:szCs w:val="18"/>
                <w:color w:val="auto"/>
              </w:rPr>
            </w:pPr>
          </w:p>
        </w:tc>
        <w:tc>
          <w:tcPr>
            <w:tcW w:w="3080" w:type="dxa"/>
            <w:vAlign w:val="bottom"/>
            <w:gridSpan w:val="4"/>
          </w:tcPr>
          <w:p>
            <w:pPr>
              <w:jc w:val="center"/>
              <w:ind w:left="239"/>
              <w:spacing w:after="0"/>
              <w:rPr>
                <w:sz w:val="20"/>
                <w:szCs w:val="20"/>
                <w:color w:val="auto"/>
              </w:rPr>
            </w:pPr>
            <w:r>
              <w:rPr>
                <w:rFonts w:ascii="Arial" w:cs="Arial" w:eastAsia="Arial" w:hAnsi="Arial"/>
                <w:sz w:val="16"/>
                <w:szCs w:val="16"/>
                <w:i w:val="1"/>
                <w:iCs w:val="1"/>
                <w:color w:val="auto"/>
                <w:w w:val="91"/>
              </w:rPr>
              <w:t>In thousands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forward contracts</w:t>
            </w:r>
          </w:p>
        </w:tc>
        <w:tc>
          <w:tcPr>
            <w:tcW w:w="43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Other current liabilities</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135</w:t>
            </w:r>
          </w:p>
        </w:tc>
        <w:tc>
          <w:tcPr>
            <w:tcW w:w="0" w:type="dxa"/>
            <w:vAlign w:val="bottom"/>
          </w:tcPr>
          <w:p>
            <w:pPr>
              <w:spacing w:after="0"/>
              <w:rPr>
                <w:sz w:val="1"/>
                <w:szCs w:val="1"/>
                <w:color w:val="auto"/>
              </w:rPr>
            </w:pPr>
          </w:p>
        </w:tc>
      </w:tr>
      <w:tr>
        <w:trPr>
          <w:trHeight w:val="206"/>
        </w:trPr>
        <w:tc>
          <w:tcPr>
            <w:tcW w:w="3420" w:type="dxa"/>
            <w:vAlign w:val="bottom"/>
          </w:tcPr>
          <w:p>
            <w:pPr>
              <w:ind w:left="360"/>
              <w:spacing w:after="0"/>
              <w:rPr>
                <w:sz w:val="20"/>
                <w:szCs w:val="20"/>
                <w:color w:val="auto"/>
              </w:rPr>
            </w:pPr>
            <w:r>
              <w:rPr>
                <w:rFonts w:ascii="Arial" w:cs="Arial" w:eastAsia="Arial" w:hAnsi="Arial"/>
                <w:sz w:val="16"/>
                <w:szCs w:val="16"/>
                <w:b w:val="1"/>
                <w:bCs w:val="1"/>
                <w:color w:val="auto"/>
              </w:rPr>
              <w:t>Total liability derivatives</w:t>
            </w:r>
          </w:p>
        </w:tc>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135</w:t>
            </w: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AOCI, net of tax, for our derivative and nonderivative hedging instruments designated as hedging instruments, net of tax,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loss on hedging instruments at January 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(15,103)</w:t>
            </w:r>
          </w:p>
        </w:tc>
      </w:tr>
      <w:tr>
        <w:trPr>
          <w:trHeight w:val="213"/>
        </w:trPr>
        <w:tc>
          <w:tcPr>
            <w:tcW w:w="6040" w:type="dxa"/>
            <w:vAlign w:val="bottom"/>
          </w:tcPr>
          <w:p>
            <w:pPr>
              <w:ind w:left="140"/>
              <w:spacing w:after="0"/>
              <w:rPr>
                <w:sz w:val="20"/>
                <w:szCs w:val="20"/>
                <w:color w:val="auto"/>
              </w:rPr>
            </w:pPr>
            <w:r>
              <w:rPr>
                <w:rFonts w:ascii="Arial" w:cs="Arial" w:eastAsia="Arial" w:hAnsi="Arial"/>
                <w:sz w:val="16"/>
                <w:szCs w:val="16"/>
                <w:color w:val="auto"/>
              </w:rPr>
              <w:t>Unrealized gain (loss) on derivative instruments</w:t>
            </w:r>
          </w:p>
        </w:tc>
        <w:tc>
          <w:tcPr>
            <w:tcW w:w="38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(7,002)</w:t>
            </w:r>
          </w:p>
        </w:tc>
      </w:tr>
      <w:tr>
        <w:trPr>
          <w:trHeight w:val="219"/>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Realized (gains) losses reclassified into net income (loss)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6,104</w:t>
            </w:r>
          </w:p>
        </w:tc>
      </w:tr>
      <w:tr>
        <w:trPr>
          <w:trHeight w:val="206"/>
        </w:trPr>
        <w:tc>
          <w:tcPr>
            <w:tcW w:w="6040" w:type="dxa"/>
            <w:vAlign w:val="bottom"/>
          </w:tcPr>
          <w:p>
            <w:pPr>
              <w:ind w:left="20"/>
              <w:spacing w:after="0"/>
              <w:rPr>
                <w:sz w:val="20"/>
                <w:szCs w:val="20"/>
                <w:color w:val="auto"/>
              </w:rPr>
            </w:pPr>
            <w:r>
              <w:rPr>
                <w:rFonts w:ascii="Arial" w:cs="Arial" w:eastAsia="Arial" w:hAnsi="Arial"/>
                <w:sz w:val="16"/>
                <w:szCs w:val="16"/>
                <w:color w:val="auto"/>
              </w:rPr>
              <w:t>Net unrealized loss on hedging instruments at December 31,</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(14,590)</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(14,590)</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(16,001)</w:t>
            </w:r>
          </w:p>
        </w:tc>
      </w:tr>
      <w:tr>
        <w:trPr>
          <w:trHeight w:val="24"/>
        </w:trPr>
        <w:tc>
          <w:tcPr>
            <w:tcW w:w="6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Included in the net unrealized gain (loss) on hedging instruments at December 31, 2022 and 2021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tbl>
      <w:tblPr>
        <w:tblLayout w:type="fixed"/>
        <w:tblInd w:w="0" w:type="dxa"/>
        <w:tblCellMar>
          <w:top w:w="0" w:type="dxa"/>
          <w:left w:w="0" w:type="dxa"/>
          <w:bottom w:w="0" w:type="dxa"/>
          <w:right w:w="0" w:type="dxa"/>
        </w:tblCellMar>
      </w:tblPr>
      <w:tr>
        <w:trPr>
          <w:trHeight w:val="163"/>
        </w:trPr>
        <w:tc>
          <w:tcPr>
            <w:tcW w:w="288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Offsetting of Derivative Assets</w:t>
            </w:r>
          </w:p>
        </w:tc>
        <w:tc>
          <w:tcPr>
            <w:tcW w:w="440" w:type="dxa"/>
            <w:vAlign w:val="bottom"/>
          </w:tcPr>
          <w:p>
            <w:pPr>
              <w:spacing w:after="0"/>
              <w:rPr>
                <w:sz w:val="14"/>
                <w:szCs w:val="14"/>
                <w:color w:val="auto"/>
              </w:rPr>
            </w:pPr>
          </w:p>
        </w:tc>
        <w:tc>
          <w:tcPr>
            <w:tcW w:w="184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w w:val="88"/>
              </w:rPr>
              <w:t>Gross Amounts of</w:t>
            </w:r>
          </w:p>
        </w:tc>
        <w:tc>
          <w:tcPr>
            <w:tcW w:w="60" w:type="dxa"/>
            <w:vAlign w:val="bottom"/>
          </w:tcPr>
          <w:p>
            <w:pPr>
              <w:spacing w:after="0"/>
              <w:rPr>
                <w:sz w:val="14"/>
                <w:szCs w:val="14"/>
                <w:color w:val="auto"/>
              </w:rPr>
            </w:pPr>
          </w:p>
        </w:tc>
        <w:tc>
          <w:tcPr>
            <w:tcW w:w="4000" w:type="dxa"/>
            <w:vAlign w:val="bottom"/>
            <w:gridSpan w:val="9"/>
          </w:tcPr>
          <w:p>
            <w:pPr>
              <w:jc w:val="right"/>
              <w:ind w:right="180"/>
              <w:spacing w:after="0" w:line="163" w:lineRule="exact"/>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88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Sheets</w:t>
            </w:r>
          </w:p>
        </w:tc>
        <w:tc>
          <w:tcPr>
            <w:tcW w:w="1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gridSpan w:val="3"/>
            <w:vMerge w:val="restart"/>
          </w:tcPr>
          <w:p>
            <w:pPr>
              <w:jc w:val="center"/>
              <w:ind w:right="280"/>
              <w:spacing w:after="0" w:line="162" w:lineRule="exact"/>
              <w:rPr>
                <w:sz w:val="20"/>
                <w:szCs w:val="20"/>
                <w:color w:val="auto"/>
              </w:rPr>
            </w:pPr>
            <w:r>
              <w:rPr>
                <w:rFonts w:ascii="Arial" w:cs="Arial" w:eastAsia="Arial" w:hAnsi="Arial"/>
                <w:sz w:val="16"/>
                <w:szCs w:val="16"/>
                <w:b w:val="1"/>
                <w:bCs w:val="1"/>
                <w:color w:val="auto"/>
                <w:w w:val="87"/>
              </w:rPr>
              <w:t>Recognized Assets</w:t>
            </w: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5"/>
            <w:vMerge w:val="continue"/>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3"/>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Derivative Financial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Pr>
          <w:p>
            <w:pPr>
              <w:spacing w:after="0"/>
              <w:rPr>
                <w:sz w:val="14"/>
                <w:szCs w:val="14"/>
                <w:color w:val="auto"/>
              </w:rPr>
            </w:pPr>
          </w:p>
        </w:tc>
        <w:tc>
          <w:tcPr>
            <w:tcW w:w="184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Cash Collateral Received</w:t>
            </w:r>
          </w:p>
        </w:tc>
        <w:tc>
          <w:tcPr>
            <w:tcW w:w="12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Net 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3"/>
              </w:rPr>
              <w:t>Sheets</w:t>
            </w:r>
          </w:p>
        </w:tc>
        <w:tc>
          <w:tcPr>
            <w:tcW w:w="10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Instruments</w:t>
            </w:r>
          </w:p>
        </w:tc>
        <w:tc>
          <w:tcPr>
            <w:tcW w:w="10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December 31, 2021</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28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w w:val="97"/>
              </w:rPr>
              <w:t>Offsetting of Derivative Liabilities</w:t>
            </w:r>
          </w:p>
        </w:tc>
        <w:tc>
          <w:tcPr>
            <w:tcW w:w="440" w:type="dxa"/>
            <w:vAlign w:val="bottom"/>
          </w:tcPr>
          <w:p>
            <w:pPr>
              <w:spacing w:after="0"/>
              <w:rPr>
                <w:sz w:val="24"/>
                <w:szCs w:val="24"/>
                <w:color w:val="auto"/>
              </w:rPr>
            </w:pPr>
          </w:p>
        </w:tc>
        <w:tc>
          <w:tcPr>
            <w:tcW w:w="184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0"/>
              </w:rPr>
              <w:t>Gross Amounts of</w:t>
            </w:r>
          </w:p>
        </w:tc>
        <w:tc>
          <w:tcPr>
            <w:tcW w:w="60" w:type="dxa"/>
            <w:vAlign w:val="bottom"/>
          </w:tcPr>
          <w:p>
            <w:pPr>
              <w:spacing w:after="0"/>
              <w:rPr>
                <w:sz w:val="24"/>
                <w:szCs w:val="24"/>
                <w:color w:val="auto"/>
              </w:rPr>
            </w:pPr>
          </w:p>
        </w:tc>
        <w:tc>
          <w:tcPr>
            <w:tcW w:w="4000" w:type="dxa"/>
            <w:vAlign w:val="bottom"/>
            <w:gridSpan w:val="9"/>
          </w:tcPr>
          <w:p>
            <w:pPr>
              <w:jc w:val="right"/>
              <w:ind w:right="140"/>
              <w:spacing w:after="0"/>
              <w:rPr>
                <w:sz w:val="20"/>
                <w:szCs w:val="20"/>
                <w:color w:val="auto"/>
              </w:rPr>
            </w:pPr>
            <w:r>
              <w:rPr>
                <w:rFonts w:ascii="Arial" w:cs="Arial" w:eastAsia="Arial" w:hAnsi="Arial"/>
                <w:sz w:val="16"/>
                <w:szCs w:val="16"/>
                <w:b w:val="1"/>
                <w:bCs w:val="1"/>
                <w:color w:val="auto"/>
                <w:w w:val="91"/>
              </w:rPr>
              <w:t>Gross Amounts Not Offset in the Consolidated Balance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60" w:type="dxa"/>
            <w:vAlign w:val="bottom"/>
            <w:gridSpan w:val="8"/>
            <w:vMerge w:val="restart"/>
          </w:tcPr>
          <w:p>
            <w:pPr>
              <w:ind w:left="1600"/>
              <w:spacing w:after="0"/>
              <w:rPr>
                <w:sz w:val="20"/>
                <w:szCs w:val="20"/>
                <w:color w:val="auto"/>
              </w:rPr>
            </w:pPr>
            <w:r>
              <w:rPr>
                <w:rFonts w:ascii="Arial" w:cs="Arial" w:eastAsia="Arial" w:hAnsi="Arial"/>
                <w:sz w:val="16"/>
                <w:szCs w:val="16"/>
                <w:b w:val="1"/>
                <w:bCs w:val="1"/>
                <w:color w:val="auto"/>
              </w:rPr>
              <w:t>Sheets</w:t>
            </w: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gridSpan w:val="3"/>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w w:val="91"/>
              </w:rPr>
              <w:t>Recognized Liabilities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6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88"/>
              </w:rPr>
              <w:t>Presented in the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Derivative Financial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8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Pr>
          <w:p>
            <w:pPr>
              <w:spacing w:after="0"/>
              <w:rPr>
                <w:sz w:val="14"/>
                <w:szCs w:val="14"/>
                <w:color w:val="auto"/>
              </w:rPr>
            </w:pPr>
          </w:p>
        </w:tc>
        <w:tc>
          <w:tcPr>
            <w:tcW w:w="184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90"/>
              </w:rPr>
              <w:t>Cash Collateral Pledged</w:t>
            </w:r>
          </w:p>
        </w:tc>
        <w:tc>
          <w:tcPr>
            <w:tcW w:w="6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Net 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3"/>
              </w:rPr>
              <w:t>Sheets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Instruments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derivative assets and liabilities subject to netting arrangements include foreign exchange forward and interest rate contracts with three counterparties at December 31, 2022 and three counterparties at December 31, 2021. No derivative asset or liability balance with any of our counterparties was individually significant at December 31, 2022 or 2021.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our forecasted inventory purchases in a non-functional currency, we are exposed to foreign exchange risk. We hedge portions of these purchases. During February 2021, we entered into foreign exchange option contracts for a total notional amount of $77 million at a cost of $1.1 million. The contracts matured ratably through the year with final maturity occurring in October 2021. Changes in the fair values of the option contracts are recognized as a component of OCI and are recognized in product cost of revenues when the hedged item affects earnings. We did not enter into any similar arrangements in 2022.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before-tax effects of our accounting for derivative instruments designated as hedges on AOCI for the year ended December 31, were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8"/>
              </w:rPr>
              <w:t>Derivatives in ASC 815-20 Cash</w:t>
            </w:r>
          </w:p>
        </w:tc>
        <w:tc>
          <w:tcPr>
            <w:tcW w:w="120" w:type="dxa"/>
            <w:vAlign w:val="bottom"/>
          </w:tcPr>
          <w:p>
            <w:pPr>
              <w:spacing w:after="0"/>
              <w:rPr>
                <w:sz w:val="18"/>
                <w:szCs w:val="18"/>
                <w:color w:val="auto"/>
              </w:rPr>
            </w:pPr>
          </w:p>
        </w:tc>
        <w:tc>
          <w:tcPr>
            <w:tcW w:w="3440" w:type="dxa"/>
            <w:vAlign w:val="bottom"/>
            <w:gridSpan w:val="8"/>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 of Gain (Loss) Recognized in OCI on</w:t>
            </w:r>
          </w:p>
        </w:tc>
        <w:tc>
          <w:tcPr>
            <w:tcW w:w="4400" w:type="dxa"/>
            <w:vAlign w:val="bottom"/>
            <w:tcBorders>
              <w:bottom w:val="single" w:sz="8" w:color="auto"/>
            </w:tcBorders>
            <w:gridSpan w:val="9"/>
          </w:tcPr>
          <w:p>
            <w:pPr>
              <w:ind w:left="920"/>
              <w:spacing w:after="0"/>
              <w:rPr>
                <w:sz w:val="20"/>
                <w:szCs w:val="20"/>
                <w:color w:val="auto"/>
              </w:rPr>
            </w:pPr>
            <w:r>
              <w:rPr>
                <w:rFonts w:ascii="Arial" w:cs="Arial" w:eastAsia="Arial" w:hAnsi="Arial"/>
                <w:sz w:val="16"/>
                <w:szCs w:val="16"/>
                <w:b w:val="1"/>
                <w:bCs w:val="1"/>
                <w:color w:val="auto"/>
                <w:w w:val="94"/>
              </w:rPr>
              <w:t>Gain (Loss) Reclassified from AOCI into Income</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gridSpan w:val="8"/>
            <w:vMerge w:val="continue"/>
          </w:tcPr>
          <w:p>
            <w:pPr>
              <w:spacing w:after="0"/>
              <w:rPr>
                <w:sz w:val="2"/>
                <w:szCs w:val="2"/>
                <w:color w:val="auto"/>
              </w:rPr>
            </w:pPr>
          </w:p>
        </w:tc>
        <w:tc>
          <w:tcPr>
            <w:tcW w:w="162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Location</w:t>
            </w:r>
          </w:p>
        </w:tc>
        <w:tc>
          <w:tcPr>
            <w:tcW w:w="1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w w:val="97"/>
              </w:rPr>
              <w:t>Flow Hedging Relationships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 contract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166"/>
        </w:trPr>
        <w:tc>
          <w:tcPr>
            <w:tcW w:w="2420" w:type="dxa"/>
            <w:vAlign w:val="bottom"/>
            <w:gridSpan w:val="2"/>
            <w:vMerge w:val="restart"/>
          </w:tcPr>
          <w:p>
            <w:pPr>
              <w:ind w:left="20"/>
              <w:spacing w:after="0"/>
              <w:rPr>
                <w:sz w:val="20"/>
                <w:szCs w:val="20"/>
                <w:color w:val="auto"/>
              </w:rPr>
            </w:pPr>
            <w:r>
              <w:rPr>
                <w:rFonts w:ascii="Arial" w:cs="Arial" w:eastAsia="Arial" w:hAnsi="Arial"/>
                <w:sz w:val="16"/>
                <w:szCs w:val="16"/>
                <w:color w:val="auto"/>
              </w:rPr>
              <w:t>Interest rate swap contract</w:t>
            </w:r>
          </w:p>
        </w:tc>
        <w:tc>
          <w:tcPr>
            <w:tcW w:w="120" w:type="dxa"/>
            <w:vAlign w:val="bottom"/>
          </w:tcPr>
          <w:p>
            <w:pPr>
              <w:spacing w:after="0"/>
              <w:rPr>
                <w:sz w:val="14"/>
                <w:szCs w:val="14"/>
                <w:color w:val="auto"/>
              </w:rPr>
            </w:pPr>
          </w:p>
        </w:tc>
        <w:tc>
          <w:tcPr>
            <w:tcW w:w="1200" w:type="dxa"/>
            <w:vAlign w:val="bottom"/>
            <w:gridSpan w:val="3"/>
            <w:vMerge w:val="restart"/>
          </w:tcPr>
          <w:p>
            <w:pPr>
              <w:ind w:left="7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4"/>
                <w:szCs w:val="14"/>
                <w:color w:val="auto"/>
              </w:rPr>
            </w:pPr>
          </w:p>
        </w:tc>
        <w:tc>
          <w:tcPr>
            <w:tcW w:w="1120" w:type="dxa"/>
            <w:vAlign w:val="bottom"/>
            <w:gridSpan w:val="3"/>
            <w:vMerge w:val="restart"/>
          </w:tcPr>
          <w:p>
            <w:pPr>
              <w:ind w:left="6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(expense), net</w:t>
            </w:r>
          </w:p>
        </w:tc>
        <w:tc>
          <w:tcPr>
            <w:tcW w:w="24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contracts</w:t>
            </w: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66"/>
        </w:trPr>
        <w:tc>
          <w:tcPr>
            <w:tcW w:w="2420" w:type="dxa"/>
            <w:vAlign w:val="bottom"/>
            <w:gridSpan w:val="2"/>
            <w:vMerge w:val="restart"/>
          </w:tcPr>
          <w:p>
            <w:pPr>
              <w:ind w:left="20"/>
              <w:spacing w:after="0"/>
              <w:rPr>
                <w:sz w:val="20"/>
                <w:szCs w:val="20"/>
                <w:color w:val="auto"/>
              </w:rPr>
            </w:pPr>
            <w:r>
              <w:rPr>
                <w:rFonts w:ascii="Arial" w:cs="Arial" w:eastAsia="Arial" w:hAnsi="Arial"/>
                <w:sz w:val="16"/>
                <w:szCs w:val="16"/>
                <w:color w:val="auto"/>
              </w:rPr>
              <w:t>Foreign exchange options</w:t>
            </w:r>
          </w:p>
        </w:tc>
        <w:tc>
          <w:tcPr>
            <w:tcW w:w="120" w:type="dxa"/>
            <w:vAlign w:val="bottom"/>
          </w:tcPr>
          <w:p>
            <w:pPr>
              <w:spacing w:after="0"/>
              <w:rPr>
                <w:sz w:val="14"/>
                <w:szCs w:val="14"/>
                <w:color w:val="auto"/>
              </w:rPr>
            </w:pPr>
          </w:p>
        </w:tc>
        <w:tc>
          <w:tcPr>
            <w:tcW w:w="1200" w:type="dxa"/>
            <w:vAlign w:val="bottom"/>
            <w:gridSpan w:val="3"/>
            <w:vMerge w:val="restart"/>
          </w:tcPr>
          <w:p>
            <w:pPr>
              <w:ind w:left="7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4"/>
                <w:szCs w:val="14"/>
                <w:color w:val="auto"/>
              </w:rPr>
            </w:pPr>
          </w:p>
        </w:tc>
        <w:tc>
          <w:tcPr>
            <w:tcW w:w="17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Product cost of</w:t>
            </w:r>
          </w:p>
        </w:tc>
        <w:tc>
          <w:tcPr>
            <w:tcW w:w="240" w:type="dxa"/>
            <w:vAlign w:val="bottom"/>
          </w:tcPr>
          <w:p>
            <w:pPr>
              <w:spacing w:after="0"/>
              <w:rPr>
                <w:sz w:val="14"/>
                <w:szCs w:val="14"/>
                <w:color w:val="auto"/>
              </w:rPr>
            </w:pPr>
          </w:p>
        </w:tc>
        <w:tc>
          <w:tcPr>
            <w:tcW w:w="1120" w:type="dxa"/>
            <w:vAlign w:val="bottom"/>
            <w:gridSpan w:val="3"/>
            <w:vMerge w:val="restart"/>
          </w:tcPr>
          <w:p>
            <w:pPr>
              <w:ind w:left="6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9"/>
        </w:trPr>
        <w:tc>
          <w:tcPr>
            <w:tcW w:w="2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Cross currency swap contract</w:t>
            </w: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166"/>
        </w:trPr>
        <w:tc>
          <w:tcPr>
            <w:tcW w:w="2420" w:type="dxa"/>
            <w:vAlign w:val="bottom"/>
            <w:gridSpan w:val="2"/>
            <w:vMerge w:val="restart"/>
          </w:tcPr>
          <w:p>
            <w:pPr>
              <w:ind w:left="20"/>
              <w:spacing w:after="0"/>
              <w:rPr>
                <w:sz w:val="20"/>
                <w:szCs w:val="20"/>
                <w:color w:val="auto"/>
              </w:rPr>
            </w:pPr>
            <w:r>
              <w:rPr>
                <w:rFonts w:ascii="Arial" w:cs="Arial" w:eastAsia="Arial" w:hAnsi="Arial"/>
                <w:sz w:val="16"/>
                <w:szCs w:val="16"/>
                <w:color w:val="auto"/>
              </w:rPr>
              <w:t>Cross currency swap contract</w:t>
            </w:r>
          </w:p>
        </w:tc>
        <w:tc>
          <w:tcPr>
            <w:tcW w:w="120" w:type="dxa"/>
            <w:vAlign w:val="bottom"/>
          </w:tcPr>
          <w:p>
            <w:pPr>
              <w:spacing w:after="0"/>
              <w:rPr>
                <w:sz w:val="14"/>
                <w:szCs w:val="14"/>
                <w:color w:val="auto"/>
              </w:rPr>
            </w:pPr>
          </w:p>
        </w:tc>
        <w:tc>
          <w:tcPr>
            <w:tcW w:w="1200" w:type="dxa"/>
            <w:vAlign w:val="bottom"/>
            <w:gridSpan w:val="3"/>
            <w:vMerge w:val="restart"/>
          </w:tcPr>
          <w:p>
            <w:pPr>
              <w:ind w:left="7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4"/>
                <w:szCs w:val="14"/>
                <w:color w:val="auto"/>
              </w:rPr>
            </w:pPr>
          </w:p>
        </w:tc>
        <w:tc>
          <w:tcPr>
            <w:tcW w:w="1120" w:type="dxa"/>
            <w:vAlign w:val="bottom"/>
            <w:gridSpan w:val="3"/>
            <w:vMerge w:val="restart"/>
          </w:tcPr>
          <w:p>
            <w:pPr>
              <w:ind w:left="6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(5,228)</w:t>
            </w:r>
          </w:p>
        </w:tc>
        <w:tc>
          <w:tcPr>
            <w:tcW w:w="0" w:type="dxa"/>
            <w:vAlign w:val="bottom"/>
          </w:tcPr>
          <w:p>
            <w:pPr>
              <w:spacing w:after="0"/>
              <w:rPr>
                <w:sz w:val="1"/>
                <w:szCs w:val="1"/>
                <w:color w:val="auto"/>
              </w:rPr>
            </w:pPr>
          </w:p>
        </w:tc>
      </w:tr>
      <w:tr>
        <w:trPr>
          <w:trHeight w:val="206"/>
        </w:trPr>
        <w:tc>
          <w:tcPr>
            <w:tcW w:w="2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(expense), net</w:t>
            </w:r>
          </w:p>
        </w:tc>
        <w:tc>
          <w:tcPr>
            <w:tcW w:w="2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2022, a total of 36 contracts were offsetting our exposures from the euro, pound sterling, Indonesian rupiah, Canadian dollar, Australian dollar, and various other currencies, with notional amounts ranging from $117,000 to $57.9 million.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effect of our derivative instruments not designated as hedges on the Consolidated Statements of Operations for the year ended December 31, was as follows:</w:t>
      </w:r>
    </w:p>
    <w:tbl>
      <w:tblPr>
        <w:tblLayout w:type="fixed"/>
        <w:tblInd w:w="0" w:type="dxa"/>
        <w:tblCellMar>
          <w:top w:w="0" w:type="dxa"/>
          <w:left w:w="0" w:type="dxa"/>
          <w:bottom w:w="0" w:type="dxa"/>
          <w:right w:w="0" w:type="dxa"/>
        </w:tblCellMar>
      </w:tblPr>
      <w:tr>
        <w:trPr>
          <w:trHeight w:val="163"/>
        </w:trPr>
        <w:tc>
          <w:tcPr>
            <w:tcW w:w="3600" w:type="dxa"/>
            <w:vAlign w:val="bottom"/>
            <w:gridSpan w:val="2"/>
          </w:tcPr>
          <w:p>
            <w:pPr>
              <w:jc w:val="center"/>
              <w:ind w:right="100"/>
              <w:spacing w:after="0" w:line="163" w:lineRule="exact"/>
              <w:rPr>
                <w:sz w:val="20"/>
                <w:szCs w:val="20"/>
                <w:color w:val="auto"/>
              </w:rPr>
            </w:pPr>
            <w:r>
              <w:rPr>
                <w:rFonts w:ascii="Arial" w:cs="Arial" w:eastAsia="Arial" w:hAnsi="Arial"/>
                <w:sz w:val="16"/>
                <w:szCs w:val="16"/>
                <w:b w:val="1"/>
                <w:bCs w:val="1"/>
                <w:color w:val="auto"/>
                <w:w w:val="90"/>
              </w:rPr>
              <w:t>Derivatives Not Designated as Hedging</w:t>
            </w:r>
          </w:p>
        </w:tc>
        <w:tc>
          <w:tcPr>
            <w:tcW w:w="236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Location</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3680" w:type="dxa"/>
            <w:vAlign w:val="bottom"/>
            <w:gridSpan w:val="6"/>
          </w:tcPr>
          <w:p>
            <w:pPr>
              <w:jc w:val="center"/>
              <w:ind w:left="579"/>
              <w:spacing w:after="0" w:line="163" w:lineRule="exact"/>
              <w:rPr>
                <w:sz w:val="20"/>
                <w:szCs w:val="20"/>
                <w:color w:val="auto"/>
              </w:rPr>
            </w:pPr>
            <w:r>
              <w:rPr>
                <w:rFonts w:ascii="Arial" w:cs="Arial" w:eastAsia="Arial" w:hAnsi="Arial"/>
                <w:sz w:val="16"/>
                <w:szCs w:val="16"/>
                <w:b w:val="1"/>
                <w:bCs w:val="1"/>
                <w:color w:val="auto"/>
                <w:w w:val="90"/>
              </w:rPr>
              <w:t>Gain (Loss) Recognized on Derivatives in</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Instrument under ASC 815-20</w:t>
            </w:r>
          </w:p>
        </w:tc>
        <w:tc>
          <w:tcPr>
            <w:tcW w:w="100" w:type="dxa"/>
            <w:vAlign w:val="bottom"/>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2"/>
              </w:rPr>
              <w:t>Other Income (Expense)</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forward contracts</w:t>
            </w: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the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those Convertible Note Hedge Transactions. The Convertible Note Hedge Transactions meet the criteria in Accounting Standards Codification (ASC) 815-40 to be classified within Stockholders' Equity, and therefore the transactions are not revalued after their issuance.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Warrants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therefore the warrants are not revalued after issuance.</w:t>
      </w:r>
    </w:p>
    <w:p>
      <w:pPr>
        <w:spacing w:after="0" w:line="20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components of the changes in benefit obligations and fair value of plan assets</w:t>
      </w:r>
      <w:r>
        <w:rPr>
          <w:rFonts w:ascii="Arial" w:cs="Arial" w:eastAsia="Arial" w:hAnsi="Arial"/>
          <w:sz w:val="16"/>
          <w:szCs w:val="16"/>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January 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132,732</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Service cost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2,908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4,479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cost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Actuarial gain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(13,986)</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Benefits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Foreign currency exchange rate changes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(7,162)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Curtailment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Settlement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32"/>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Release for divestiture</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December 31,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69,739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112,073</w:t>
            </w:r>
          </w:p>
        </w:tc>
        <w:tc>
          <w:tcPr>
            <w:tcW w:w="0" w:type="dxa"/>
            <w:vAlign w:val="bottom"/>
          </w:tcPr>
          <w:p>
            <w:pPr>
              <w:spacing w:after="0"/>
              <w:rPr>
                <w:sz w:val="1"/>
                <w:szCs w:val="1"/>
                <w:color w:val="auto"/>
              </w:rPr>
            </w:pPr>
          </w:p>
        </w:tc>
      </w:tr>
      <w:tr>
        <w:trPr>
          <w:trHeight w:val="239"/>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Fair value of plan assets at January 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9,609</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10,206</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Actual return on plan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Company contributions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Benefits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Foreign currency exchange rate changes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plan assets at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8,662</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9,609</w:t>
            </w:r>
          </w:p>
        </w:tc>
        <w:tc>
          <w:tcPr>
            <w:tcW w:w="0" w:type="dxa"/>
            <w:vAlign w:val="bottom"/>
          </w:tcPr>
          <w:p>
            <w:pPr>
              <w:spacing w:after="0"/>
              <w:rPr>
                <w:sz w:val="1"/>
                <w:szCs w:val="1"/>
                <w:color w:val="auto"/>
              </w:rPr>
            </w:pPr>
          </w:p>
        </w:tc>
      </w:tr>
      <w:tr>
        <w:trPr>
          <w:trHeight w:val="235"/>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pension benefit obligation at fair value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61,077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102,464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Amounts recognized on the Consolidated Balance Sheets consist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 assets in other long-term assets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9"/>
        </w:trPr>
        <w:tc>
          <w:tcPr>
            <w:tcW w:w="78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Pension benefit obligation held for sale within other current liabilities</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11,513</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portion of pension benefit obligation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57,839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87,863</w:t>
            </w:r>
          </w:p>
        </w:tc>
        <w:tc>
          <w:tcPr>
            <w:tcW w:w="0" w:type="dxa"/>
            <w:vAlign w:val="bottom"/>
          </w:tcPr>
          <w:p>
            <w:pPr>
              <w:spacing w:after="0"/>
              <w:rPr>
                <w:sz w:val="1"/>
                <w:szCs w:val="1"/>
                <w:color w:val="auto"/>
              </w:rPr>
            </w:pPr>
          </w:p>
        </w:tc>
      </w:tr>
      <w:tr>
        <w:trPr>
          <w:trHeight w:val="256"/>
        </w:trPr>
        <w:tc>
          <w:tcPr>
            <w:tcW w:w="7800" w:type="dxa"/>
            <w:vAlign w:val="bottom"/>
            <w:vMerge w:val="restart"/>
          </w:tcPr>
          <w:p>
            <w:pPr>
              <w:ind w:left="20"/>
              <w:spacing w:after="0"/>
              <w:rPr>
                <w:sz w:val="20"/>
                <w:szCs w:val="20"/>
                <w:color w:val="auto"/>
              </w:rPr>
            </w:pPr>
            <w:r>
              <w:rPr>
                <w:rFonts w:ascii="Arial" w:cs="Arial" w:eastAsia="Arial" w:hAnsi="Arial"/>
                <w:sz w:val="16"/>
                <w:szCs w:val="16"/>
                <w:color w:val="auto"/>
              </w:rPr>
              <w:t>Pension benefit obligation, net</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8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61,077</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102,464</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conjunction with the business divestiture to Dresser (refer to Note 3: Certain Balance Sheet Components), the related disposal group was classified as held for sale during the fourth quarter of 2021. The disposal group was removed from the balance sheet when the transaction closed on February 28, 2022. Refer to Note 18: Sale of Businesses for additional information on the transaction.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OCI (pre-tax)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(gain)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8,734</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Plan asset loss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060" w:type="dxa"/>
            <w:vAlign w:val="bottom"/>
          </w:tcPr>
          <w:p>
            <w:pPr>
              <w:ind w:left="36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(25,225)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(16,121)</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6,189</w:t>
            </w:r>
          </w:p>
        </w:tc>
      </w:tr>
      <w:tr>
        <w:trPr>
          <w:trHeight w:val="23"/>
        </w:trPr>
        <w:tc>
          <w:tcPr>
            <w:tcW w:w="60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actuarial gains and losses exceed 10 percent of the greater of plan assets or plan liabilities, we amortize them over the employees' average future service period. The estimated net actuarial gain and prior service cost that will be amortized from AOCI into net periodic benefit cost during 2023 is $0.4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1,817</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060" w:type="dxa"/>
            <w:vAlign w:val="bottom"/>
          </w:tcPr>
          <w:p>
            <w:pPr>
              <w:ind w:left="360"/>
              <w:spacing w:after="0"/>
              <w:rPr>
                <w:sz w:val="20"/>
                <w:szCs w:val="20"/>
                <w:color w:val="auto"/>
              </w:rPr>
            </w:pPr>
            <w:r>
              <w:rPr>
                <w:rFonts w:ascii="Arial" w:cs="Arial" w:eastAsia="Arial" w:hAnsi="Arial"/>
                <w:sz w:val="16"/>
                <w:szCs w:val="16"/>
                <w:color w:val="auto"/>
              </w:rPr>
              <w:t>Net periodic benefit cost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5,978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7,211</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8,000</w:t>
            </w:r>
          </w:p>
        </w:tc>
      </w:tr>
      <w:tr>
        <w:trPr>
          <w:trHeight w:val="23"/>
        </w:trPr>
        <w:tc>
          <w:tcPr>
            <w:tcW w:w="60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ind w:left="76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198"/>
        </w:trPr>
        <w:tc>
          <w:tcPr>
            <w:tcW w:w="5820" w:type="dxa"/>
            <w:vAlign w:val="bottom"/>
          </w:tcPr>
          <w:p>
            <w:pPr>
              <w:ind w:left="20"/>
              <w:spacing w:after="0"/>
              <w:rPr>
                <w:sz w:val="20"/>
                <w:szCs w:val="20"/>
                <w:color w:val="auto"/>
              </w:rPr>
            </w:pPr>
            <w:r>
              <w:rPr>
                <w:rFonts w:ascii="Arial" w:cs="Arial" w:eastAsia="Arial" w:hAnsi="Arial"/>
                <w:sz w:val="16"/>
                <w:szCs w:val="16"/>
                <w:color w:val="auto"/>
              </w:rPr>
              <w:t>Actuarial assumptions used to determine benefit obligations at end of period:</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9"/>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13"/>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Expected annual rate of compensation increase</w:t>
            </w:r>
          </w:p>
        </w:tc>
        <w:tc>
          <w:tcPr>
            <w:tcW w:w="580" w:type="dxa"/>
            <w:vAlign w:val="bottom"/>
          </w:tcPr>
          <w:p>
            <w:pPr>
              <w:jc w:val="right"/>
              <w:spacing w:after="0"/>
              <w:rPr>
                <w:sz w:val="20"/>
                <w:szCs w:val="20"/>
                <w:color w:val="auto"/>
              </w:rPr>
            </w:pPr>
            <w:r>
              <w:rPr>
                <w:rFonts w:ascii="Arial" w:cs="Arial" w:eastAsia="Arial" w:hAnsi="Arial"/>
                <w:sz w:val="16"/>
                <w:szCs w:val="16"/>
                <w:color w:val="auto"/>
              </w:rPr>
              <w:t>4.26 %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3.88 %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3.68 %</w:t>
            </w:r>
          </w:p>
        </w:tc>
      </w:tr>
      <w:tr>
        <w:trPr>
          <w:trHeight w:val="21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Actuarial assumptions used to determine net periodic benefit cost for the period: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Discount rate</w:t>
            </w:r>
          </w:p>
        </w:tc>
        <w:tc>
          <w:tcPr>
            <w:tcW w:w="580" w:type="dxa"/>
            <w:vAlign w:val="bottom"/>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1.10 %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1.76 %</w:t>
            </w:r>
          </w:p>
        </w:tc>
      </w:tr>
      <w:tr>
        <w:trPr>
          <w:trHeight w:val="219"/>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Expected rate of return on plan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4.89 %</w:t>
            </w:r>
          </w:p>
        </w:tc>
      </w:tr>
      <w:tr>
        <w:trPr>
          <w:trHeight w:val="210"/>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Expected annual rate of compensation increase</w:t>
            </w:r>
          </w:p>
        </w:tc>
        <w:tc>
          <w:tcPr>
            <w:tcW w:w="580" w:type="dxa"/>
            <w:vAlign w:val="bottom"/>
          </w:tcPr>
          <w:p>
            <w:pPr>
              <w:jc w:val="right"/>
              <w:spacing w:after="0"/>
              <w:rPr>
                <w:sz w:val="20"/>
                <w:szCs w:val="20"/>
                <w:color w:val="auto"/>
              </w:rPr>
            </w:pPr>
            <w:r>
              <w:rPr>
                <w:rFonts w:ascii="Arial" w:cs="Arial" w:eastAsia="Arial" w:hAnsi="Arial"/>
                <w:sz w:val="16"/>
                <w:szCs w:val="16"/>
                <w:color w:val="auto"/>
              </w:rPr>
              <w:t>3.88 %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3.68 %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3.76 %</w:t>
            </w:r>
          </w:p>
        </w:tc>
      </w:tr>
    </w:tbl>
    <w:p>
      <w:pPr>
        <w:spacing w:after="0" w:line="3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determine a discount rate for our plans based on the estimated duration of each plan's liabilities. For euro denominated defined benefit pension plans, which represent 85%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 used was 3.75%.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total accumulated benefit obligation for our defined benefit pension plans was $63.2 million and $103.4 million at December 31, 2022 and 2021.</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obligations and fair value of plan assets for plans with projected benefit obligations and accumulated benefit obligations exceeding the fair value of plan assets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3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112,073</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Accumulated benefit obligation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62,503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103,437</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9,609</w:t>
            </w: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Quoted Prices in</w:t>
            </w:r>
          </w:p>
        </w:tc>
        <w:tc>
          <w:tcPr>
            <w:tcW w:w="100" w:type="dxa"/>
            <w:vAlign w:val="bottom"/>
          </w:tcPr>
          <w:p>
            <w:pPr>
              <w:spacing w:after="0"/>
              <w:rPr>
                <w:sz w:val="16"/>
                <w:szCs w:val="16"/>
                <w:color w:val="auto"/>
              </w:rPr>
            </w:pPr>
          </w:p>
        </w:tc>
        <w:tc>
          <w:tcPr>
            <w:tcW w:w="15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Active Markets for</w:t>
            </w:r>
          </w:p>
        </w:tc>
        <w:tc>
          <w:tcPr>
            <w:tcW w:w="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Identical Assets</w:t>
            </w:r>
          </w:p>
        </w:tc>
        <w:tc>
          <w:tcPr>
            <w:tcW w:w="100" w:type="dxa"/>
            <w:vAlign w:val="bottom"/>
          </w:tcPr>
          <w:p>
            <w:pPr>
              <w:spacing w:after="0"/>
              <w:rPr>
                <w:sz w:val="14"/>
                <w:szCs w:val="14"/>
                <w:color w:val="auto"/>
              </w:rPr>
            </w:pPr>
          </w:p>
        </w:tc>
        <w:tc>
          <w:tcPr>
            <w:tcW w:w="15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Unobservable Inputs</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1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2022</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7,805</w:t>
            </w:r>
          </w:p>
        </w:tc>
        <w:tc>
          <w:tcPr>
            <w:tcW w:w="0" w:type="dxa"/>
            <w:vAlign w:val="bottom"/>
          </w:tcPr>
          <w:p>
            <w:pPr>
              <w:spacing w:after="0"/>
              <w:rPr>
                <w:sz w:val="1"/>
                <w:szCs w:val="1"/>
                <w:color w:val="auto"/>
              </w:rPr>
            </w:pPr>
          </w:p>
        </w:tc>
      </w:tr>
      <w:tr>
        <w:trPr>
          <w:trHeight w:val="234"/>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2021</w:t>
            </w: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8,534</w:t>
            </w:r>
          </w:p>
        </w:tc>
        <w:tc>
          <w:tcPr>
            <w:tcW w:w="0" w:type="dxa"/>
            <w:vAlign w:val="bottom"/>
          </w:tcPr>
          <w:p>
            <w:pPr>
              <w:spacing w:after="0"/>
              <w:rPr>
                <w:sz w:val="1"/>
                <w:szCs w:val="1"/>
                <w:color w:val="auto"/>
              </w:rPr>
            </w:pPr>
          </w:p>
        </w:tc>
      </w:tr>
      <w:tr>
        <w:trPr>
          <w:trHeight w:val="235"/>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2022 and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Balance at January 1,</w:t>
            </w:r>
          </w:p>
        </w:tc>
        <w:tc>
          <w:tcPr>
            <w:tcW w:w="160" w:type="dxa"/>
            <w:vAlign w:val="bottom"/>
          </w:tcPr>
          <w:p>
            <w:pPr>
              <w:spacing w:after="0"/>
              <w:rPr>
                <w:sz w:val="16"/>
                <w:szCs w:val="16"/>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Realized and</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Net Purchases,</w:t>
            </w:r>
          </w:p>
        </w:tc>
        <w:tc>
          <w:tcPr>
            <w:tcW w:w="180" w:type="dxa"/>
            <w:vAlign w:val="bottom"/>
          </w:tcPr>
          <w:p>
            <w:pPr>
              <w:spacing w:after="0"/>
              <w:rPr>
                <w:sz w:val="16"/>
                <w:szCs w:val="16"/>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Effect of Foreign</w:t>
            </w:r>
          </w:p>
        </w:tc>
        <w:tc>
          <w:tcPr>
            <w:tcW w:w="16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Balance at December</w:t>
            </w:r>
          </w:p>
        </w:tc>
        <w:tc>
          <w:tcPr>
            <w:tcW w:w="0" w:type="dxa"/>
            <w:vAlign w:val="bottom"/>
          </w:tcPr>
          <w:p>
            <w:pPr>
              <w:spacing w:after="0"/>
              <w:rPr>
                <w:sz w:val="1"/>
                <w:szCs w:val="1"/>
                <w:color w:val="auto"/>
              </w:rPr>
            </w:pPr>
          </w:p>
        </w:tc>
      </w:tr>
      <w:tr>
        <w:trPr>
          <w:trHeight w:val="162"/>
        </w:trPr>
        <w:tc>
          <w:tcPr>
            <w:tcW w:w="1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5"/>
              </w:rPr>
              <w:t>Issuances, Settlements,</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and Other</w:t>
            </w: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320" w:type="dxa"/>
            <w:vAlign w:val="bottom"/>
          </w:tcPr>
          <w:p>
            <w:pPr>
              <w:spacing w:after="0"/>
              <w:rPr>
                <w:sz w:val="18"/>
                <w:szCs w:val="18"/>
                <w:color w:val="auto"/>
              </w:rPr>
            </w:pPr>
          </w:p>
        </w:tc>
        <w:tc>
          <w:tcPr>
            <w:tcW w:w="132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31, 2022</w:t>
            </w:r>
          </w:p>
        </w:tc>
        <w:tc>
          <w:tcPr>
            <w:tcW w:w="0" w:type="dxa"/>
            <w:vAlign w:val="bottom"/>
          </w:tcPr>
          <w:p>
            <w:pPr>
              <w:spacing w:after="0"/>
              <w:rPr>
                <w:sz w:val="1"/>
                <w:szCs w:val="1"/>
                <w:color w:val="auto"/>
              </w:rPr>
            </w:pPr>
          </w:p>
        </w:tc>
      </w:tr>
      <w:tr>
        <w:trPr>
          <w:trHeight w:val="212"/>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Insurance funds</w:t>
            </w: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w w:val="98"/>
              </w:rPr>
              <w:t>(14)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7,805</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252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Balance at January 1,</w:t>
            </w:r>
          </w:p>
        </w:tc>
        <w:tc>
          <w:tcPr>
            <w:tcW w:w="160" w:type="dxa"/>
            <w:vAlign w:val="bottom"/>
          </w:tcPr>
          <w:p>
            <w:pPr>
              <w:spacing w:after="0"/>
              <w:rPr>
                <w:sz w:val="24"/>
                <w:szCs w:val="2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Realized and</w:t>
            </w:r>
          </w:p>
        </w:tc>
        <w:tc>
          <w:tcPr>
            <w:tcW w:w="2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Net Purchases,</w:t>
            </w:r>
          </w:p>
        </w:tc>
        <w:tc>
          <w:tcPr>
            <w:tcW w:w="180" w:type="dxa"/>
            <w:vAlign w:val="bottom"/>
          </w:tcPr>
          <w:p>
            <w:pPr>
              <w:spacing w:after="0"/>
              <w:rPr>
                <w:sz w:val="24"/>
                <w:szCs w:val="24"/>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Effect of Foreign</w:t>
            </w:r>
          </w:p>
        </w:tc>
        <w:tc>
          <w:tcPr>
            <w:tcW w:w="16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Balance at December</w:t>
            </w:r>
          </w:p>
        </w:tc>
        <w:tc>
          <w:tcPr>
            <w:tcW w:w="0" w:type="dxa"/>
            <w:vAlign w:val="bottom"/>
          </w:tcPr>
          <w:p>
            <w:pPr>
              <w:spacing w:after="0"/>
              <w:rPr>
                <w:sz w:val="1"/>
                <w:szCs w:val="1"/>
                <w:color w:val="auto"/>
              </w:rPr>
            </w:pPr>
          </w:p>
        </w:tc>
      </w:tr>
      <w:tr>
        <w:trPr>
          <w:trHeight w:val="162"/>
        </w:trPr>
        <w:tc>
          <w:tcPr>
            <w:tcW w:w="1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5"/>
              </w:rPr>
              <w:t>Issuances, Settlements,</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and Other</w:t>
            </w: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320" w:type="dxa"/>
            <w:vAlign w:val="bottom"/>
          </w:tcPr>
          <w:p>
            <w:pPr>
              <w:spacing w:after="0"/>
              <w:rPr>
                <w:sz w:val="18"/>
                <w:szCs w:val="18"/>
                <w:color w:val="auto"/>
              </w:rPr>
            </w:pPr>
          </w:p>
        </w:tc>
        <w:tc>
          <w:tcPr>
            <w:tcW w:w="132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31, 2021</w:t>
            </w:r>
          </w:p>
        </w:tc>
        <w:tc>
          <w:tcPr>
            <w:tcW w:w="0" w:type="dxa"/>
            <w:vAlign w:val="bottom"/>
          </w:tcPr>
          <w:p>
            <w:pPr>
              <w:spacing w:after="0"/>
              <w:rPr>
                <w:sz w:val="1"/>
                <w:szCs w:val="1"/>
                <w:color w:val="auto"/>
              </w:rPr>
            </w:pPr>
          </w:p>
        </w:tc>
      </w:tr>
      <w:tr>
        <w:trPr>
          <w:trHeight w:val="212"/>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Insurance funds</w:t>
            </w: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289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and contributions are not significant to our total company assets, no further disclosures are considered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benefit payments for the next 10 years, including amounts to be paid from our assets for unfunded plans and reflecting expected future service, as appropriate, are expected to be paid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162"/>
        </w:trPr>
        <w:tc>
          <w:tcPr>
            <w:tcW w:w="5700" w:type="dxa"/>
            <w:vAlign w:val="bottom"/>
            <w:vMerge w:val="restart"/>
          </w:tcPr>
          <w:p>
            <w:pPr>
              <w:ind w:left="20"/>
              <w:spacing w:after="0"/>
              <w:rPr>
                <w:sz w:val="20"/>
                <w:szCs w:val="20"/>
                <w:color w:val="auto"/>
              </w:rPr>
            </w:pPr>
            <w:r>
              <w:rPr>
                <w:rFonts w:ascii="Arial" w:cs="Arial" w:eastAsia="Arial" w:hAnsi="Arial"/>
                <w:sz w:val="16"/>
                <w:szCs w:val="16"/>
                <w:color w:val="auto"/>
              </w:rPr>
              <w:t>Year Ending December 31,</w:t>
            </w:r>
          </w:p>
        </w:tc>
        <w:tc>
          <w:tcPr>
            <w:tcW w:w="4100" w:type="dxa"/>
            <w:vAlign w:val="bottom"/>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2"/>
              </w:rPr>
              <w:t>Annual Benefit</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auto"/>
            </w:tcBorders>
            <w:vMerge w:val="continue"/>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Payments</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2024</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2026</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4,167</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color w:val="auto"/>
              </w:rPr>
              <w:t>2028-2032</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12,623,538 shares of common stock reserved and authorized for issuance subject to stock splits, dividends, and other similar events, and at December 31, 2022, 4,602,456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maintain the ESPP, for which 71,253 shares of common stock were available for future issuance at December 31, 2022.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ESPP activity and stock-based grants other than stock options and restricted stock units were not significant for the years ended December 31, 2022, 2021, and 2020.</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r>
        <w:rPr>
          <w:rFonts w:ascii="Arial" w:cs="Arial" w:eastAsia="Arial" w:hAnsi="Arial"/>
          <w:sz w:val="16"/>
          <w:szCs w:val="16"/>
          <w:color w:val="auto"/>
        </w:rPr>
        <w: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22,285</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Phantom stock units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w:t>
            </w: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6"/>
                <w:szCs w:val="16"/>
                <w:color w:val="auto"/>
              </w:rPr>
            </w:pPr>
          </w:p>
        </w:tc>
        <w:tc>
          <w:tcPr>
            <w:tcW w:w="1700" w:type="dxa"/>
            <w:vAlign w:val="bottom"/>
            <w:gridSpan w:val="3"/>
            <w:vMerge w:val="restart"/>
          </w:tcPr>
          <w:p>
            <w:pPr>
              <w:jc w:val="center"/>
              <w:ind w:right="480"/>
              <w:spacing w:after="0"/>
              <w:rPr>
                <w:sz w:val="20"/>
                <w:szCs w:val="20"/>
                <w:color w:val="auto"/>
              </w:rPr>
            </w:pPr>
            <w:r>
              <w:rPr>
                <w:rFonts w:ascii="Arial" w:cs="Arial" w:eastAsia="Arial" w:hAnsi="Arial"/>
                <w:sz w:val="16"/>
                <w:szCs w:val="16"/>
                <w:b w:val="1"/>
                <w:bCs w:val="1"/>
                <w:color w:val="auto"/>
                <w:w w:val="88"/>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7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4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Price per Share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Intrinsic Value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i w:val="1"/>
                <w:iCs w:val="1"/>
                <w:color w:val="auto"/>
                <w:w w:val="89"/>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86"/>
              </w:rPr>
              <w:t>Years</w:t>
            </w:r>
          </w:p>
        </w:tc>
        <w:tc>
          <w:tcPr>
            <w:tcW w:w="200" w:type="dxa"/>
            <w:vAlign w:val="bottom"/>
          </w:tcPr>
          <w:p>
            <w:pPr>
              <w:spacing w:after="0"/>
              <w:rPr>
                <w:sz w:val="18"/>
                <w:szCs w:val="18"/>
                <w:color w:val="auto"/>
              </w:rPr>
            </w:pPr>
          </w:p>
        </w:tc>
        <w:tc>
          <w:tcPr>
            <w:tcW w:w="1700" w:type="dxa"/>
            <w:vAlign w:val="bottom"/>
            <w:gridSpan w:val="3"/>
          </w:tcPr>
          <w:p>
            <w:pPr>
              <w:jc w:val="center"/>
              <w:ind w:right="460"/>
              <w:spacing w:after="0"/>
              <w:rPr>
                <w:sz w:val="20"/>
                <w:szCs w:val="20"/>
                <w:color w:val="auto"/>
              </w:rPr>
            </w:pPr>
            <w:r>
              <w:rPr>
                <w:rFonts w:ascii="Arial" w:cs="Arial" w:eastAsia="Arial" w:hAnsi="Arial"/>
                <w:sz w:val="16"/>
                <w:szCs w:val="16"/>
                <w:i w:val="1"/>
                <w:iCs w:val="1"/>
                <w:color w:val="auto"/>
                <w:w w:val="91"/>
              </w:rPr>
              <w:t>In thousands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84.39</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Exercised</w:t>
            </w:r>
          </w:p>
        </w:tc>
        <w:tc>
          <w:tcPr>
            <w:tcW w:w="13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53.99</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Outstanding, December 31,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61.95</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Granted</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83.33</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61.18</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Exercised</w:t>
            </w: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45.90</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87.27</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60.63</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59.25</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total unrecognized stock-based compensation expense related to nonvested stock options was $0.1 million, which is expected to be recognized over a weighted average period of approximately 0.6 year.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estimate the fair value of stock options granted and the resulting weighted average fair value are as follows:</w:t>
      </w:r>
    </w:p>
    <w:p>
      <w:pPr>
        <w:spacing w:after="0" w:line="73"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219"/>
              <w:spacing w:after="0"/>
              <w:rPr>
                <w:sz w:val="20"/>
                <w:szCs w:val="20"/>
                <w:color w:val="auto"/>
              </w:rPr>
            </w:pPr>
            <w:r>
              <w:rPr>
                <w:rFonts w:ascii="Arial" w:cs="Arial" w:eastAsia="Arial" w:hAnsi="Arial"/>
                <w:sz w:val="16"/>
                <w:szCs w:val="16"/>
                <w:color w:val="auto"/>
              </w:rPr>
              <w:t>— %</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r>
      <w:tr>
        <w:trPr>
          <w:trHeight w:val="213"/>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1820" w:type="dxa"/>
            <w:vAlign w:val="bottom"/>
            <w:gridSpan w:val="3"/>
          </w:tcPr>
          <w:p>
            <w:pPr>
              <w:jc w:val="right"/>
              <w:ind w:right="1219"/>
              <w:spacing w:after="0"/>
              <w:rPr>
                <w:sz w:val="20"/>
                <w:szCs w:val="20"/>
                <w:color w:val="auto"/>
              </w:rPr>
            </w:pPr>
            <w:r>
              <w:rPr>
                <w:rFonts w:ascii="Arial" w:cs="Arial" w:eastAsia="Arial" w:hAnsi="Arial"/>
                <w:sz w:val="16"/>
                <w:szCs w:val="16"/>
                <w:color w:val="auto"/>
              </w:rPr>
              <w:t>— %</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74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820" w:type="dxa"/>
            <w:vAlign w:val="bottom"/>
            <w:gridSpan w:val="3"/>
            <w:shd w:val="clear" w:color="auto" w:fill="CCEEFF"/>
          </w:tcPr>
          <w:p>
            <w:pPr>
              <w:jc w:val="right"/>
              <w:ind w:right="1219"/>
              <w:spacing w:after="0"/>
              <w:rPr>
                <w:sz w:val="20"/>
                <w:szCs w:val="20"/>
                <w:color w:val="auto"/>
              </w:rPr>
            </w:pPr>
            <w:r>
              <w:rPr>
                <w:rFonts w:ascii="Arial" w:cs="Arial" w:eastAsia="Arial" w:hAnsi="Arial"/>
                <w:sz w:val="16"/>
                <w:szCs w:val="16"/>
                <w:color w:val="auto"/>
              </w:rPr>
              <w:t>N/A</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options are no longer a part of our stock compensation plan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260" w:type="dxa"/>
            <w:vAlign w:val="bottom"/>
            <w:vMerge w:val="restart"/>
          </w:tcPr>
          <w:p>
            <w:pPr>
              <w:jc w:val="center"/>
              <w:ind w:left="299"/>
              <w:spacing w:after="0"/>
              <w:rPr>
                <w:sz w:val="20"/>
                <w:szCs w:val="20"/>
                <w:color w:val="auto"/>
              </w:rPr>
            </w:pPr>
            <w:r>
              <w:rPr>
                <w:rFonts w:ascii="Arial" w:cs="Arial" w:eastAsia="Arial" w:hAnsi="Arial"/>
                <w:sz w:val="16"/>
                <w:szCs w:val="16"/>
                <w:b w:val="1"/>
                <w:bCs w:val="1"/>
                <w:color w:val="auto"/>
                <w:w w:val="94"/>
              </w:rPr>
              <w:t>Number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6"/>
                <w:szCs w:val="16"/>
                <w:color w:val="auto"/>
              </w:rPr>
            </w:pPr>
          </w:p>
        </w:tc>
        <w:tc>
          <w:tcPr>
            <w:tcW w:w="14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Average Grant</w:t>
            </w: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60" w:type="dxa"/>
            <w:vAlign w:val="bottom"/>
          </w:tcPr>
          <w:p>
            <w:pPr>
              <w:spacing w:after="0"/>
              <w:rPr>
                <w:sz w:val="18"/>
                <w:szCs w:val="18"/>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Restricted Stock Units</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Date Fair Value</w:t>
            </w:r>
          </w:p>
        </w:tc>
        <w:tc>
          <w:tcPr>
            <w:tcW w:w="22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260" w:type="dxa"/>
            <w:vAlign w:val="bottom"/>
            <w:tcBorders>
              <w:top w:val="single" w:sz="8" w:color="auto"/>
            </w:tcBorders>
          </w:tcPr>
          <w:p>
            <w:pPr>
              <w:jc w:val="center"/>
              <w:ind w:left="299"/>
              <w:spacing w:after="0"/>
              <w:rPr>
                <w:sz w:val="20"/>
                <w:szCs w:val="20"/>
                <w:color w:val="auto"/>
              </w:rPr>
            </w:pPr>
            <w:r>
              <w:rPr>
                <w:rFonts w:ascii="Arial" w:cs="Arial" w:eastAsia="Arial" w:hAnsi="Arial"/>
                <w:sz w:val="16"/>
                <w:szCs w:val="16"/>
                <w:i w:val="1"/>
                <w:iCs w:val="1"/>
                <w:color w:val="auto"/>
                <w:w w:val="91"/>
              </w:rPr>
              <w:t>In thousands</w:t>
            </w: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i w:val="1"/>
                <w:iCs w:val="1"/>
                <w:color w:val="auto"/>
                <w:w w:val="89"/>
              </w:rPr>
              <w:t>In thousands</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60"/>
              <w:spacing w:after="0" w:line="216"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6"/>
                <w:szCs w:val="16"/>
                <w:color w:val="auto"/>
                <w:w w:val="90"/>
              </w:rPr>
              <w:t>(363)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23,702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Outstanding, December 31, 2020</w:t>
            </w:r>
          </w:p>
        </w:tc>
        <w:tc>
          <w:tcPr>
            <w:tcW w:w="38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71.79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06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8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20,639</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December 31, 2021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60"/>
              <w:spacing w:after="0" w:line="216"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6"/>
                <w:szCs w:val="16"/>
                <w:color w:val="auto"/>
                <w:w w:val="90"/>
              </w:rPr>
              <w:t>(227)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80.08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18,169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Outstanding, December 31, 2022</w:t>
            </w:r>
          </w:p>
        </w:tc>
        <w:tc>
          <w:tcPr>
            <w:tcW w:w="38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66.39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6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Vested but not released, December 31, 2022</w:t>
            </w: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50.65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w:t>
      </w:r>
      <w:r>
        <w:rPr>
          <w:rFonts w:ascii="Arial" w:cs="Arial" w:eastAsia="Arial" w:hAnsi="Arial"/>
          <w:sz w:val="23"/>
          <w:szCs w:val="23"/>
          <w:color w:val="auto"/>
          <w:vertAlign w:val="superscript"/>
        </w:rPr>
        <w:t>1</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Shares released is presented as gross shares and does not reflect shares withheld by us for employee payroll tax obligations.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total unrecognized compensation expense on restricted stock units was $21.0 million, which is expected to be recognized over a weighted average period of approximately 1.7 years.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tbl>
      <w:tblPr>
        <w:tblLayout w:type="fixed"/>
        <w:tblInd w:w="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4"/>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44.9 %</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56"/>
        </w:trPr>
        <w:tc>
          <w:tcPr>
            <w:tcW w:w="5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57.88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77.65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phantom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Number of Phantom</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6"/>
                <w:szCs w:val="16"/>
                <w:color w:val="auto"/>
              </w:rPr>
            </w:pPr>
          </w:p>
        </w:tc>
        <w:tc>
          <w:tcPr>
            <w:tcW w:w="14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18"/>
                <w:szCs w:val="18"/>
                <w:color w:val="auto"/>
              </w:rPr>
            </w:pPr>
          </w:p>
        </w:tc>
        <w:tc>
          <w:tcPr>
            <w:tcW w:w="130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Stock Units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Date Fair Value</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1300" w:type="dxa"/>
            <w:vAlign w:val="bottom"/>
            <w:tcBorders>
              <w:top w:val="single" w:sz="8" w:color="auto"/>
            </w:tcBorders>
          </w:tcPr>
          <w:p>
            <w:pPr>
              <w:jc w:val="center"/>
              <w:ind w:left="279"/>
              <w:spacing w:after="0"/>
              <w:rPr>
                <w:sz w:val="20"/>
                <w:szCs w:val="20"/>
                <w:color w:val="auto"/>
              </w:rPr>
            </w:pPr>
            <w:r>
              <w:rPr>
                <w:rFonts w:ascii="Arial" w:cs="Arial" w:eastAsia="Arial" w:hAnsi="Arial"/>
                <w:sz w:val="16"/>
                <w:szCs w:val="16"/>
                <w:i w:val="1"/>
                <w:iCs w:val="1"/>
                <w:color w:val="auto"/>
                <w:w w:val="89"/>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i w:val="1"/>
                <w:iCs w:val="1"/>
                <w:color w:val="auto"/>
                <w:w w:val="91"/>
              </w:rPr>
              <w:t>In thousands</w:t>
            </w: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87.27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Released</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December 31, 2020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8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Arial" w:cs="Arial" w:eastAsia="Arial" w:hAnsi="Arial"/>
                <w:sz w:val="16"/>
                <w:szCs w:val="16"/>
                <w:color w:val="auto"/>
              </w:rPr>
              <w:t>Released</w:t>
            </w:r>
          </w:p>
        </w:tc>
        <w:tc>
          <w:tcPr>
            <w:tcW w:w="3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Outstanding, December 31, 2021</w:t>
            </w:r>
          </w:p>
        </w:tc>
        <w:tc>
          <w:tcPr>
            <w:tcW w:w="340" w:type="dxa"/>
            <w:vAlign w:val="bottom"/>
          </w:tcPr>
          <w:p>
            <w:pPr>
              <w:jc w:val="right"/>
              <w:spacing w:after="0"/>
              <w:rPr>
                <w:sz w:val="20"/>
                <w:szCs w:val="20"/>
                <w:color w:val="auto"/>
              </w:rPr>
            </w:pPr>
            <w:r>
              <w:rPr>
                <w:rFonts w:ascii="Arial" w:cs="Arial" w:eastAsia="Arial" w:hAnsi="Arial"/>
                <w:sz w:val="16"/>
                <w:szCs w:val="16"/>
                <w:color w:val="auto"/>
              </w:rPr>
              <w:t>69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85.47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8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Released</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76.02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December 31, 2022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December 31, 2022, total unrecognized compensation expense on phantom stock units was $2.6 million, which is expected to be recognized over a weighted average period of approximately 1.9 years. As of December 31, 2022 and 2021, we have recognized a phantom stock liability of $1.7 million and $1.9 million within wages and benefits payable in the Consolidated Balance Sheets.</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United Kingdom,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contribution plans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18,424</w:t>
            </w:r>
          </w:p>
        </w:tc>
      </w:tr>
    </w:tbl>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year-end no such deferral has been passed. The income tax provision has been prepared according to currently enacted tax legislation.</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so is not currently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Current: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State and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1,731</w:t>
            </w: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12,409</w:t>
            </w:r>
          </w:p>
        </w:tc>
      </w:tr>
      <w:tr>
        <w:trPr>
          <w:trHeight w:val="207"/>
        </w:trPr>
        <w:tc>
          <w:tcPr>
            <w:tcW w:w="6100" w:type="dxa"/>
            <w:vAlign w:val="bottom"/>
          </w:tcPr>
          <w:p>
            <w:pPr>
              <w:ind w:left="680"/>
              <w:spacing w:after="0"/>
              <w:rPr>
                <w:sz w:val="20"/>
                <w:szCs w:val="20"/>
                <w:color w:val="auto"/>
              </w:rPr>
            </w:pPr>
            <w:r>
              <w:rPr>
                <w:rFonts w:ascii="Arial" w:cs="Arial" w:eastAsia="Arial" w:hAnsi="Arial"/>
                <w:sz w:val="16"/>
                <w:szCs w:val="16"/>
                <w:color w:val="auto"/>
              </w:rPr>
              <w:t>Total current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26,439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40,062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13,177</w:t>
            </w:r>
          </w:p>
        </w:tc>
      </w:tr>
      <w:tr>
        <w:trPr>
          <w:trHeight w:val="259"/>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Deferred: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w:t>
            </w: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State and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(3,340)</w:t>
            </w: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(60,444)</w:t>
            </w:r>
          </w:p>
        </w:tc>
      </w:tr>
      <w:tr>
        <w:trPr>
          <w:trHeight w:val="206"/>
        </w:trPr>
        <w:tc>
          <w:tcPr>
            <w:tcW w:w="6100" w:type="dxa"/>
            <w:vAlign w:val="bottom"/>
          </w:tcPr>
          <w:p>
            <w:pPr>
              <w:ind w:left="680"/>
              <w:spacing w:after="0"/>
              <w:rPr>
                <w:sz w:val="20"/>
                <w:szCs w:val="20"/>
                <w:color w:val="auto"/>
              </w:rPr>
            </w:pPr>
            <w:r>
              <w:rPr>
                <w:rFonts w:ascii="Arial" w:cs="Arial" w:eastAsia="Arial" w:hAnsi="Arial"/>
                <w:sz w:val="16"/>
                <w:szCs w:val="16"/>
                <w:color w:val="auto"/>
              </w:rPr>
              <w:t>Total deferred</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(52,722)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(61,039)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(66,636)</w:t>
            </w:r>
          </w:p>
        </w:tc>
      </w:tr>
      <w:tr>
        <w:trPr>
          <w:trHeight w:val="260"/>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valuation allowance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53,697</w:t>
            </w:r>
          </w:p>
        </w:tc>
      </w:tr>
      <w:tr>
        <w:trPr>
          <w:trHeight w:val="230"/>
        </w:trPr>
        <w:tc>
          <w:tcPr>
            <w:tcW w:w="6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provision (benefit) for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change in the valuation allowance does not include the impacts of currency translation adjustments, acquisitions, or significant intercompany transactions.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tax provision (benefit) as a percentage of income before tax was 39%, 37%, and less than 1% for 2022, 2021, and 2020. A reconciliation of income taxes at the U.S. federal statutory rate of 21% to the consolidated actual tax rate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Domestic</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24,010</w:t>
            </w:r>
          </w:p>
        </w:tc>
      </w:tr>
      <w:tr>
        <w:trPr>
          <w:trHeight w:val="213"/>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(80,649)</w:t>
            </w:r>
          </w:p>
        </w:tc>
      </w:tr>
      <w:tr>
        <w:trPr>
          <w:trHeight w:val="230"/>
        </w:trPr>
        <w:tc>
          <w:tcPr>
            <w:tcW w:w="6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income (loss) before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federal income tax provision (benefit)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Divestitures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10,936</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53,697</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Onshoring of international operations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Foreign earnings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(58,649)</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(9,101)</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Uncertain tax positions, including interest and penalties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11,144</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tax rates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State income tax provision (benefit), net of federal effect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(1,997)</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tax provision on foreign earnings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Nondeductible goodwill impairment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Local foreign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r>
      <w:tr>
        <w:trPr>
          <w:trHeight w:val="21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4,268</w:t>
            </w:r>
          </w:p>
        </w:tc>
      </w:tr>
      <w:tr>
        <w:trPr>
          <w:trHeight w:val="230"/>
        </w:trPr>
        <w:tc>
          <w:tcPr>
            <w:tcW w:w="6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provision (benefit) from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Loss carryforwards</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412,023</w:t>
            </w:r>
          </w:p>
        </w:tc>
      </w:tr>
      <w:tr>
        <w:trPr>
          <w:trHeight w:val="216"/>
        </w:trPr>
        <w:tc>
          <w:tcPr>
            <w:tcW w:w="7840" w:type="dxa"/>
            <w:vAlign w:val="bottom"/>
          </w:tcPr>
          <w:p>
            <w:pPr>
              <w:ind w:left="360"/>
              <w:spacing w:after="0" w:line="216" w:lineRule="exact"/>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44,790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39,767</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39,511</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Pension plan benefits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17,140</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Warranty reserves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72,505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94,917</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Inventory valuation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11,534</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Interest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17,971</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9,460</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Capitalized research costs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74,058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29,246</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deferred tax assets,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9,062</w:t>
            </w:r>
          </w:p>
        </w:tc>
      </w:tr>
      <w:tr>
        <w:trPr>
          <w:trHeight w:val="207"/>
        </w:trPr>
        <w:tc>
          <w:tcPr>
            <w:tcW w:w="7840" w:type="dxa"/>
            <w:vAlign w:val="bottom"/>
          </w:tcPr>
          <w:p>
            <w:pPr>
              <w:ind w:left="680"/>
              <w:spacing w:after="0"/>
              <w:rPr>
                <w:sz w:val="20"/>
                <w:szCs w:val="20"/>
                <w:color w:val="auto"/>
              </w:rPr>
            </w:pPr>
            <w:r>
              <w:rPr>
                <w:rFonts w:ascii="Arial" w:cs="Arial" w:eastAsia="Arial" w:hAnsi="Arial"/>
                <w:sz w:val="16"/>
                <w:szCs w:val="16"/>
                <w:color w:val="auto"/>
              </w:rPr>
              <w:t>Total deferred tax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686,386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698,652</w:t>
            </w:r>
          </w:p>
        </w:tc>
      </w:tr>
      <w:tr>
        <w:trPr>
          <w:trHeight w:val="219"/>
        </w:trPr>
        <w:tc>
          <w:tcPr>
            <w:tcW w:w="78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(427,423)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(443,593)</w:t>
            </w:r>
          </w:p>
        </w:tc>
      </w:tr>
      <w:tr>
        <w:trPr>
          <w:trHeight w:val="207"/>
        </w:trPr>
        <w:tc>
          <w:tcPr>
            <w:tcW w:w="7840" w:type="dxa"/>
            <w:vAlign w:val="bottom"/>
          </w:tcPr>
          <w:p>
            <w:pPr>
              <w:ind w:left="680"/>
              <w:spacing w:after="0"/>
              <w:rPr>
                <w:sz w:val="20"/>
                <w:szCs w:val="20"/>
                <w:color w:val="auto"/>
              </w:rPr>
            </w:pPr>
            <w:r>
              <w:rPr>
                <w:rFonts w:ascii="Arial" w:cs="Arial" w:eastAsia="Arial" w:hAnsi="Arial"/>
                <w:sz w:val="16"/>
                <w:szCs w:val="16"/>
                <w:color w:val="auto"/>
              </w:rPr>
              <w:t>Total deferred tax assets, net of valuation allowance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258,963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255,059</w:t>
            </w:r>
          </w:p>
        </w:tc>
      </w:tr>
      <w:tr>
        <w:trPr>
          <w:trHeight w:val="259"/>
        </w:trPr>
        <w:tc>
          <w:tcPr>
            <w:tcW w:w="7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(56,897)</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Leases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(8,489)</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deferred tax liabilities,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(10,201)</w:t>
            </w:r>
          </w:p>
        </w:tc>
      </w:tr>
      <w:tr>
        <w:trPr>
          <w:trHeight w:val="207"/>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deferred tax liabilities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(75,587)</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211,149</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left="340" w:hanging="332"/>
        <w:spacing w:after="0" w:line="272" w:lineRule="auto"/>
        <w:tabs>
          <w:tab w:leader="none" w:pos="328"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For tax return purposes at December 31, 2022, we had U.S. federal loss carryforwards of $4.2 million, which begin to expire in the year 2023. At December 31, 2022, we have net operating loss carryforwards in Luxembourg of $1.3 billion, the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2022, there was a valuation allowance of $427.4 million primarily associated with foreign loss carryforwards.</w:t>
      </w:r>
    </w:p>
    <w:p>
      <w:pPr>
        <w:spacing w:after="0" w:line="69" w:lineRule="exact"/>
        <w:rPr>
          <w:rFonts w:ascii="Arial" w:cs="Arial" w:eastAsia="Arial" w:hAnsi="Arial"/>
          <w:sz w:val="20"/>
          <w:szCs w:val="20"/>
          <w:color w:val="auto"/>
          <w:vertAlign w:val="superscript"/>
        </w:rPr>
      </w:pPr>
    </w:p>
    <w:p>
      <w:pPr>
        <w:ind w:left="340" w:right="20" w:hanging="332"/>
        <w:spacing w:after="0" w:line="218"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For tax return purposes at December 31, 2022, we had: U.S. general business credits of $47.1 million, which begin to expire in 2037; and state tax credits of $41.9 million, which begin to expire in 2023.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valuation allowance for deferred tax assets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443,593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503,859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427,030</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ind w:left="680"/>
              <w:spacing w:after="0"/>
              <w:rPr>
                <w:sz w:val="20"/>
                <w:szCs w:val="20"/>
                <w:color w:val="auto"/>
              </w:rPr>
            </w:pPr>
            <w:r>
              <w:rPr>
                <w:rFonts w:ascii="Arial" w:cs="Arial" w:eastAsia="Arial" w:hAnsi="Arial"/>
                <w:sz w:val="16"/>
                <w:szCs w:val="16"/>
                <w:color w:val="auto"/>
                <w:w w:val="93"/>
              </w:rPr>
              <w:t>(35,731)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23,132</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93"/>
              </w:rPr>
              <w:t>(24,535)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53,697</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Balance at end of period, noncurrent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427,423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ind w:left="660"/>
              <w:spacing w:after="0"/>
              <w:rPr>
                <w:sz w:val="20"/>
                <w:szCs w:val="20"/>
                <w:color w:val="auto"/>
              </w:rPr>
            </w:pPr>
            <w:r>
              <w:rPr>
                <w:rFonts w:ascii="Arial" w:cs="Arial" w:eastAsia="Arial" w:hAnsi="Arial"/>
                <w:sz w:val="16"/>
                <w:szCs w:val="16"/>
                <w:color w:val="auto"/>
              </w:rPr>
              <w:t>443,593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503,859</w:t>
            </w:r>
          </w:p>
        </w:tc>
      </w:tr>
      <w:tr>
        <w:trPr>
          <w:trHeight w:val="20"/>
        </w:trPr>
        <w:tc>
          <w:tcPr>
            <w:tcW w:w="6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valuation allowance, will be realized. The amount of deferred tax assets considered realizable, however, could be reduced in the near term if estimates of future taxable income during the carryforward periods are reduced.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provide U.S. deferred taxes on temporary differences related to our foreign investments that are considered permanent in duration. These temporary differences include undistributed foreign earnings of $43.0 million and $25.7 million at December 31, 2022 and 2021. Foreign taxes have been provided on these undistributed foreign earnings. As a result of recent changes in U.S. tax legislation, any repatriation of these earnings would not result in additional U.S. federal income tax.</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12"/>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at January 1, 2020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121,715</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14,821</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(2,381)</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4,057</w:t>
            </w:r>
          </w:p>
        </w:tc>
      </w:tr>
      <w:tr>
        <w:trPr>
          <w:trHeight w:val="207"/>
        </w:trPr>
        <w:tc>
          <w:tcPr>
            <w:tcW w:w="946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2020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135,910</w:t>
            </w:r>
          </w:p>
        </w:tc>
      </w:tr>
      <w:tr>
        <w:trPr>
          <w:trHeight w:val="259"/>
        </w:trPr>
        <w:tc>
          <w:tcPr>
            <w:tcW w:w="9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570</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(19,709)</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31,456</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(4,535)</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(4,163)</w:t>
            </w:r>
          </w:p>
        </w:tc>
      </w:tr>
      <w:tr>
        <w:trPr>
          <w:trHeight w:val="206"/>
        </w:trPr>
        <w:tc>
          <w:tcPr>
            <w:tcW w:w="946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2021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139,529</w:t>
            </w:r>
          </w:p>
        </w:tc>
      </w:tr>
      <w:tr>
        <w:trPr>
          <w:trHeight w:val="260"/>
        </w:trPr>
        <w:tc>
          <w:tcPr>
            <w:tcW w:w="9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14,450</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4,702</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(23,164)</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(2,587)</w:t>
            </w:r>
          </w:p>
        </w:tc>
      </w:tr>
      <w:tr>
        <w:trPr>
          <w:trHeight w:val="206"/>
        </w:trPr>
        <w:tc>
          <w:tcPr>
            <w:tcW w:w="946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2022</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130,144</w:t>
            </w:r>
          </w:p>
        </w:tc>
      </w:tr>
      <w:tr>
        <w:trPr>
          <w:trHeight w:val="24"/>
        </w:trPr>
        <w:tc>
          <w:tcPr>
            <w:tcW w:w="9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2"/>
              </w:rPr>
              <w:t>At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5"/>
              </w:rPr>
              <w:t>The amount of unrecognized tax benefits that, if recognized, would affect our effective tax</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130,137</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139,503</w:t>
            </w: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134,473</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w:t>
            </w: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certain unrecognized tax benefits are recognized they would create additional deferred tax assets. These assets would require a full valuation allowance in certain locations based upon present circumstances.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recognized were as follows:</w:t>
      </w: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 (benefit)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575"/>
        </w:trPr>
        <w:tc>
          <w:tcPr>
            <w:tcW w:w="6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1060" w:type="dxa"/>
            <w:vAlign w:val="bottom"/>
            <w:tcBorders>
              <w:bottom w:val="single" w:sz="8" w:color="auto"/>
            </w:tcBorders>
          </w:tcPr>
          <w:p>
            <w:pPr>
              <w:spacing w:after="0"/>
              <w:rPr>
                <w:sz w:val="24"/>
                <w:szCs w:val="24"/>
                <w:color w:val="auto"/>
              </w:rPr>
            </w:pPr>
          </w:p>
        </w:tc>
      </w:tr>
      <w:tr>
        <w:trPr>
          <w:trHeight w:val="21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747</w:t>
            </w: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we are under examination by certain tax authorities. Subsequent to year end we expect to receive an assessment from German tax authorities for years 2014-2017. We have agreed to settle certain issues with Germany, and plan to appeal or litigate others.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file income tax returns in various jurisdictions. We are subject to income tax examination by tax authorities in our major tax jurisdictions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Tax Jurisdiction</w:t>
            </w:r>
          </w:p>
        </w:tc>
        <w:tc>
          <w:tcPr>
            <w:tcW w:w="12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Years Subject to Audit</w:t>
            </w:r>
          </w:p>
        </w:tc>
      </w:tr>
      <w:tr>
        <w:trPr>
          <w:trHeight w:val="21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Subsequent to 2002</w:t>
            </w:r>
          </w:p>
        </w:tc>
      </w:tr>
      <w:tr>
        <w:trPr>
          <w:trHeight w:val="213"/>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France</w:t>
            </w: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Subsequent to 2018</w:t>
            </w:r>
          </w:p>
        </w:tc>
      </w:tr>
      <w:tr>
        <w:trPr>
          <w:trHeight w:val="21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Germany</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Subsequent to 2013</w:t>
            </w:r>
          </w:p>
        </w:tc>
      </w:tr>
      <w:tr>
        <w:trPr>
          <w:trHeight w:val="213"/>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United Kingdom</w:t>
            </w: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Subsequent to 2018</w:t>
            </w:r>
          </w:p>
        </w:tc>
      </w:tr>
      <w:tr>
        <w:trPr>
          <w:trHeight w:val="21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Indonesia</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Subsequent to 2017</w:t>
            </w:r>
          </w:p>
        </w:tc>
      </w:tr>
      <w:tr>
        <w:trPr>
          <w:trHeight w:val="210"/>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Italy</w:t>
            </w: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Subsequent to 2016</w:t>
            </w:r>
          </w:p>
        </w:tc>
      </w:tr>
    </w:tbl>
    <w:p>
      <w:pPr>
        <w:spacing w:after="0" w:line="3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Standby LOCs issued and outstanding</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(55,990)</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(64,374)</w:t>
            </w:r>
          </w:p>
        </w:tc>
      </w:tr>
      <w:tr>
        <w:trPr>
          <w:trHeight w:val="234"/>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444,010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435,626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available for additional standby LOCs under sub-facility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244,010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235,626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Multicurrency revolving lines of credit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81,781</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94,845</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Standby LOCs issued and outstanding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(19,957)</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Short-term borrowings</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8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and LOCs</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74,888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Unsecured surety bonds in force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285,754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281,270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as of February 27, 2023, we do not believe any outstanding standby LOCs or bonds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53,241</w:t>
            </w:r>
          </w:p>
        </w:tc>
      </w:tr>
      <w:tr>
        <w:trPr>
          <w:trHeight w:val="213"/>
        </w:trPr>
        <w:tc>
          <w:tcPr>
            <w:tcW w:w="5840" w:type="dxa"/>
            <w:vAlign w:val="bottom"/>
          </w:tcPr>
          <w:p>
            <w:pPr>
              <w:ind w:left="360"/>
              <w:spacing w:after="0"/>
              <w:rPr>
                <w:sz w:val="20"/>
                <w:szCs w:val="20"/>
                <w:color w:val="auto"/>
              </w:rPr>
            </w:pPr>
            <w:r>
              <w:rPr>
                <w:rFonts w:ascii="Arial" w:cs="Arial" w:eastAsia="Arial" w:hAnsi="Arial"/>
                <w:sz w:val="16"/>
                <w:szCs w:val="16"/>
                <w:color w:val="auto"/>
              </w:rPr>
              <w:t>New product warranties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3,616</w:t>
            </w:r>
          </w:p>
        </w:tc>
      </w:tr>
      <w:tr>
        <w:trPr>
          <w:trHeight w:val="219"/>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 and expirations,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7,736</w:t>
            </w:r>
          </w:p>
        </w:tc>
      </w:tr>
      <w:tr>
        <w:trPr>
          <w:trHeight w:val="213"/>
        </w:trPr>
        <w:tc>
          <w:tcPr>
            <w:tcW w:w="5840" w:type="dxa"/>
            <w:vAlign w:val="bottom"/>
          </w:tcPr>
          <w:p>
            <w:pPr>
              <w:ind w:left="360"/>
              <w:spacing w:after="0"/>
              <w:rPr>
                <w:sz w:val="20"/>
                <w:szCs w:val="20"/>
                <w:color w:val="auto"/>
              </w:rPr>
            </w:pPr>
            <w:r>
              <w:rPr>
                <w:rFonts w:ascii="Arial" w:cs="Arial" w:eastAsia="Arial" w:hAnsi="Arial"/>
                <w:sz w:val="16"/>
                <w:szCs w:val="16"/>
                <w:color w:val="auto"/>
              </w:rPr>
              <w:t>Claims activity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(25,582)</w:t>
            </w:r>
          </w:p>
        </w:tc>
      </w:tr>
      <w:tr>
        <w:trPr>
          <w:trHeight w:val="219"/>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Warranties reclassified to held for sale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41,390</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warranty</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28,329</w:t>
            </w:r>
          </w:p>
        </w:tc>
      </w:tr>
      <w:tr>
        <w:trPr>
          <w:trHeight w:val="233"/>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warranty</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conjunction with the business divestiture to Dresser (refer to Note 3: Certain Balance Sheet Components), the related disposal group was classified as held for sale during the fourth quarter of 2021. The disposal group was removed from the balance sheet when the transaction closed on February 28, 2022. Refer to Note 18: Sale of Businesses for additional information on the transaction.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Warranty expense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11,539</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Warranty expense decreased during the year ended December 31, 2022 compared with the same period in 2021. The lower costs in 2022 are primarily the result of a $2.6 million change in estimated liability relating to resolution for gas interface modules, offset in part by recognition of $1.4 million for incremental specific reserves in North America Networked Solutions.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Warranty expense decreased during the year ended December 31, 2021 compared with the same period in 2020. The lower costs in 2021 are primarily the result of incremental specific reserves recognized in 2020 including $3.0 million for water products in Europe, Middle East, and Africa Device Solutions and $2.0 million for electric and water products in North America Networked Solutions.</w:t>
      </w: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self-insured for a substantial portion of the cost of our U.S. employee group health insurance. We purchase insurance from a third-party,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costs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5"/>
              </w:rPr>
              <w:t>At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IBNR accrual</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Projects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(refer to Note 18: Sale of Businesses), includes activities to drive reductions in certain locations and functional support areas. These projects are expected to be substantially complete by the end of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2021 Projects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Total Expected Costs at</w:t>
            </w:r>
          </w:p>
        </w:tc>
        <w:tc>
          <w:tcPr>
            <w:tcW w:w="20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6"/>
                <w:szCs w:val="16"/>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Costs Recognized During</w:t>
            </w: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210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the Year Ended December</w:t>
            </w:r>
          </w:p>
        </w:tc>
        <w:tc>
          <w:tcPr>
            <w:tcW w:w="220" w:type="dxa"/>
            <w:vAlign w:val="bottom"/>
          </w:tcPr>
          <w:p>
            <w:pPr>
              <w:spacing w:after="0"/>
              <w:rPr>
                <w:sz w:val="14"/>
                <w:szCs w:val="14"/>
                <w:color w:val="auto"/>
              </w:rPr>
            </w:pPr>
          </w:p>
        </w:tc>
        <w:tc>
          <w:tcPr>
            <w:tcW w:w="178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89"/>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2022</w:t>
            </w:r>
          </w:p>
        </w:tc>
        <w:tc>
          <w:tcPr>
            <w:tcW w:w="42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8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31, 2022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December 31, 2022</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38,359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rPr>
              <w:t>Asset impairments &amp; net loss on sale or</w:t>
            </w:r>
          </w:p>
        </w:tc>
        <w:tc>
          <w:tcPr>
            <w:tcW w:w="1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9,246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6"/>
                <w:szCs w:val="16"/>
                <w:color w:val="auto"/>
              </w:rPr>
              <w:t>disposal</w:t>
            </w:r>
          </w:p>
        </w:tc>
        <w:tc>
          <w:tcPr>
            <w:tcW w:w="1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12"/>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2020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2023.</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2020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Total Expected Costs at</w:t>
            </w:r>
          </w:p>
        </w:tc>
        <w:tc>
          <w:tcPr>
            <w:tcW w:w="20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0"/>
              </w:rPr>
              <w:t>Costs Recognized During</w:t>
            </w:r>
          </w:p>
        </w:tc>
        <w:tc>
          <w:tcPr>
            <w:tcW w:w="200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89"/>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210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the Year Ended December</w:t>
            </w:r>
          </w:p>
        </w:tc>
        <w:tc>
          <w:tcPr>
            <w:tcW w:w="220" w:type="dxa"/>
            <w:vAlign w:val="bottom"/>
          </w:tcPr>
          <w:p>
            <w:pPr>
              <w:spacing w:after="0"/>
              <w:rPr>
                <w:sz w:val="14"/>
                <w:szCs w:val="14"/>
                <w:color w:val="auto"/>
              </w:rPr>
            </w:pPr>
          </w:p>
        </w:tc>
        <w:tc>
          <w:tcPr>
            <w:tcW w:w="178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89"/>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2022</w:t>
            </w:r>
          </w:p>
        </w:tc>
        <w:tc>
          <w:tcPr>
            <w:tcW w:w="42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8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31, 2022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December 31, 2022</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rPr>
              <w:t>Asset impairments &amp; net loss on sale or</w:t>
            </w:r>
          </w:p>
        </w:tc>
        <w:tc>
          <w:tcPr>
            <w:tcW w:w="1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6,465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6,442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6"/>
                <w:szCs w:val="16"/>
                <w:color w:val="auto"/>
              </w:rPr>
              <w:t>disposal</w:t>
            </w:r>
          </w:p>
        </w:tc>
        <w:tc>
          <w:tcPr>
            <w:tcW w:w="1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2021 Projects and the 2020 Projects during the year ended December 31, 2022:</w:t>
      </w:r>
    </w:p>
    <w:tbl>
      <w:tblPr>
        <w:tblLayout w:type="fixed"/>
        <w:tblInd w:w="0" w:type="dxa"/>
        <w:tblCellMar>
          <w:top w:w="0" w:type="dxa"/>
          <w:left w:w="0" w:type="dxa"/>
          <w:bottom w:w="0" w:type="dxa"/>
          <w:right w:w="0" w:type="dxa"/>
        </w:tblCellMar>
      </w:tblPr>
      <w:tr>
        <w:trPr>
          <w:trHeight w:val="163"/>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Accrued Employee</w:t>
            </w:r>
          </w:p>
        </w:tc>
        <w:tc>
          <w:tcPr>
            <w:tcW w:w="100" w:type="dxa"/>
            <w:vAlign w:val="bottom"/>
          </w:tcPr>
          <w:p>
            <w:pPr>
              <w:spacing w:after="0"/>
              <w:rPr>
                <w:sz w:val="14"/>
                <w:szCs w:val="14"/>
                <w:color w:val="auto"/>
              </w:rPr>
            </w:pPr>
          </w:p>
        </w:tc>
        <w:tc>
          <w:tcPr>
            <w:tcW w:w="198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2"/>
              </w:rPr>
              <w:t>Asset Impairments &amp; Net</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Loss (Gain) on Sale or</w:t>
            </w:r>
          </w:p>
        </w:tc>
        <w:tc>
          <w:tcPr>
            <w:tcW w:w="160" w:type="dxa"/>
            <w:vAlign w:val="bottom"/>
          </w:tcPr>
          <w:p>
            <w:pPr>
              <w:spacing w:after="0"/>
              <w:rPr>
                <w:sz w:val="14"/>
                <w:szCs w:val="14"/>
                <w:color w:val="auto"/>
              </w:rPr>
            </w:pPr>
          </w:p>
        </w:tc>
        <w:tc>
          <w:tcPr>
            <w:tcW w:w="17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4"/>
              </w:rPr>
              <w:t>Other Accrued Costs</w:t>
            </w:r>
          </w:p>
        </w:tc>
        <w:tc>
          <w:tcPr>
            <w:tcW w:w="10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vMerge w:val="restart"/>
          </w:tcPr>
          <w:p>
            <w:pPr>
              <w:jc w:val="right"/>
              <w:ind w:right="7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Severance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85,006</w:t>
            </w:r>
          </w:p>
        </w:tc>
        <w:tc>
          <w:tcPr>
            <w:tcW w:w="0" w:type="dxa"/>
            <w:vAlign w:val="bottom"/>
          </w:tcPr>
          <w:p>
            <w:pPr>
              <w:spacing w:after="0"/>
              <w:rPr>
                <w:sz w:val="1"/>
                <w:szCs w:val="1"/>
                <w:color w:val="auto"/>
              </w:rPr>
            </w:pPr>
          </w:p>
        </w:tc>
      </w:tr>
      <w:tr>
        <w:trPr>
          <w:trHeight w:val="213"/>
        </w:trPr>
        <w:tc>
          <w:tcPr>
            <w:tcW w:w="306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(14,804)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(13,625)</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(25,765)</w:t>
            </w:r>
          </w:p>
        </w:tc>
        <w:tc>
          <w:tcPr>
            <w:tcW w:w="0" w:type="dxa"/>
            <w:vAlign w:val="bottom"/>
          </w:tcPr>
          <w:p>
            <w:pPr>
              <w:spacing w:after="0"/>
              <w:rPr>
                <w:sz w:val="1"/>
                <w:szCs w:val="1"/>
                <w:color w:val="auto"/>
              </w:rPr>
            </w:pPr>
          </w:p>
        </w:tc>
      </w:tr>
      <w:tr>
        <w:trPr>
          <w:trHeight w:val="213"/>
        </w:trPr>
        <w:tc>
          <w:tcPr>
            <w:tcW w:w="3060" w:type="dxa"/>
            <w:vAlign w:val="bottom"/>
          </w:tcPr>
          <w:p>
            <w:pPr>
              <w:ind w:left="180"/>
              <w:spacing w:after="0"/>
              <w:rPr>
                <w:sz w:val="20"/>
                <w:szCs w:val="20"/>
                <w:color w:val="auto"/>
              </w:rPr>
            </w:pPr>
            <w:r>
              <w:rPr>
                <w:rFonts w:ascii="Arial" w:cs="Arial" w:eastAsia="Arial" w:hAnsi="Arial"/>
                <w:sz w:val="16"/>
                <w:szCs w:val="16"/>
                <w:color w:val="auto"/>
              </w:rPr>
              <w:t>Cash receipts</w:t>
            </w:r>
          </w:p>
        </w:tc>
        <w:tc>
          <w:tcPr>
            <w:tcW w:w="20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assets disposed and impaired</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Effect of change in exchange rates</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233"/>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December 31, 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42,444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$14.8 million in accrued employee severance has been released due to employee attrition and other employee agreements.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and accelerated depreciation expense, which is recognized according to the use of the asset. Restructuring expense is part of the Corporate unallocated segment and does not impact the results of our operating segments.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current portions of restructuring liabilities were $14.5 million and $29.7 million as of December 31, 2022 and 2021 and are classified within other current liabilities on the Consolidated Balance Sheets. The long-term portions of restructuring liabilities were $27.9 million and $55.3 million as of December 31, 2022 and 2021. The long-term portions of restructuring liabilities are classified within other long-term obligations on the Consolidated Balance Sheet and include severance accruals and facility exit costs.</w:t>
      </w: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December 31, 2022 or 2021.</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Effective November 1, 2021, Itron's Board of Directors authorized a share repurchase program of up to $100 million of our common stock over an 18-month period (the 2021 Stock Repurchase Program). Repurchases are made in the open market or in privately negotiated transactions, and in accordance with applicable securities laws. During the year ended December 31, 2021, we repurchased 125,314 shares of our common stock under the 2021 Stock Repurchase Program. The average price paid per share was $64.05 (excluding commissions) for a total of $8.0 million. During the first quarter of 2022, we repurchased 279,968 shares of our common stock under the 2021 Stock Repurchase Program. The average price paid per share was $60.60 (excluding commissions) for a total of $17.0 million. No shares were repurchased for the remainder of 2022. Following the announcement of the program and through 2022, we repurchased 405,282 shares at an average price paid per share of $61.67 (excluding commissions) for total of $25.0 million. As of December 31, 2022, we are authorized to repurchase up to an additional $75 million before May 1, 2023.</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Issuance of Common Stock</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March 12, 2021, we closed the sale of 4,472,222 shares of our common stock in a public offering, resulting in net proceeds to us of approximately $389.4 million, after deducting underwriters' discounts of the offering.</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the price per share of our common stock, as measured under the terms of the Convertible Note Hedge Transactions, is greater than the strike price of the Convertible Note Hedge Transactions. The Convertible Note Hedge Transactions meet the criteria in ASC 815-40 to be classified within Stockholders' Equity, therefore the Convertible Note Hedge Transactions are not revalued after their issuance.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6"/>
                <w:szCs w:val="16"/>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Net Unrealized Gain</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Net Unrealized Gain</w:t>
            </w:r>
          </w:p>
        </w:tc>
        <w:tc>
          <w:tcPr>
            <w:tcW w:w="180" w:type="dxa"/>
            <w:vAlign w:val="bottom"/>
          </w:tcPr>
          <w:p>
            <w:pPr>
              <w:spacing w:after="0"/>
              <w:rPr>
                <w:sz w:val="16"/>
                <w:szCs w:val="16"/>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7"/>
              </w:rPr>
              <w:t>Pension Benefit</w:t>
            </w:r>
          </w:p>
        </w:tc>
        <w:tc>
          <w:tcPr>
            <w:tcW w:w="100" w:type="dxa"/>
            <w:vAlign w:val="bottom"/>
          </w:tcPr>
          <w:p>
            <w:pPr>
              <w:spacing w:after="0"/>
              <w:rPr>
                <w:sz w:val="16"/>
                <w:szCs w:val="16"/>
                <w:color w:val="auto"/>
              </w:rPr>
            </w:pPr>
          </w:p>
        </w:tc>
        <w:tc>
          <w:tcPr>
            <w:tcW w:w="15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(Loss) on</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6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(Loss) on Derivative</w:t>
            </w: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Nonderivative</w:t>
            </w: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Obligation</w:t>
            </w: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3"/>
        </w:trPr>
        <w:tc>
          <w:tcPr>
            <w:tcW w:w="2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15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Income (Loss)</w:t>
            </w:r>
          </w:p>
        </w:tc>
        <w:tc>
          <w:tcPr>
            <w:tcW w:w="0" w:type="dxa"/>
            <w:vAlign w:val="bottom"/>
          </w:tcPr>
          <w:p>
            <w:pPr>
              <w:spacing w:after="0"/>
              <w:rPr>
                <w:sz w:val="1"/>
                <w:szCs w:val="1"/>
                <w:color w:val="auto"/>
              </w:rPr>
            </w:pPr>
          </w:p>
        </w:tc>
      </w:tr>
      <w:tr>
        <w:trPr>
          <w:trHeight w:val="212"/>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(157,999)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3"/>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(204,672)</w:t>
            </w: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60,755</w:t>
            </w:r>
          </w:p>
        </w:tc>
        <w:tc>
          <w:tcPr>
            <w:tcW w:w="0" w:type="dxa"/>
            <w:vAlign w:val="bottom"/>
          </w:tcPr>
          <w:p>
            <w:pPr>
              <w:spacing w:after="0"/>
              <w:rPr>
                <w:sz w:val="1"/>
                <w:szCs w:val="1"/>
                <w:color w:val="auto"/>
              </w:rPr>
            </w:pPr>
          </w:p>
        </w:tc>
      </w:tr>
      <w:tr>
        <w:trPr>
          <w:trHeight w:val="146"/>
        </w:trPr>
        <w:tc>
          <w:tcPr>
            <w:tcW w:w="258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73,156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(6,112)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66,146</w:t>
            </w:r>
          </w:p>
        </w:tc>
        <w:tc>
          <w:tcPr>
            <w:tcW w:w="0" w:type="dxa"/>
            <w:vAlign w:val="bottom"/>
          </w:tcPr>
          <w:p>
            <w:pPr>
              <w:spacing w:after="0"/>
              <w:rPr>
                <w:sz w:val="1"/>
                <w:szCs w:val="1"/>
                <w:color w:val="auto"/>
              </w:rPr>
            </w:pPr>
          </w:p>
        </w:tc>
      </w:tr>
      <w:tr>
        <w:trPr>
          <w:trHeight w:val="209"/>
        </w:trPr>
        <w:tc>
          <w:tcPr>
            <w:tcW w:w="2580" w:type="dxa"/>
            <w:vAlign w:val="bottom"/>
          </w:tcPr>
          <w:p>
            <w:pPr>
              <w:ind w:left="10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2020</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3"/>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(138,526)</w:t>
            </w:r>
          </w:p>
        </w:tc>
        <w:tc>
          <w:tcPr>
            <w:tcW w:w="0" w:type="dxa"/>
            <w:vAlign w:val="bottom"/>
          </w:tcPr>
          <w:p>
            <w:pPr>
              <w:spacing w:after="0"/>
              <w:rPr>
                <w:sz w:val="1"/>
                <w:szCs w:val="1"/>
                <w:color w:val="auto"/>
              </w:rPr>
            </w:pPr>
          </w:p>
        </w:tc>
      </w:tr>
      <w:tr>
        <w:trPr>
          <w:trHeight w:val="207"/>
        </w:trPr>
        <w:tc>
          <w:tcPr>
            <w:tcW w:w="258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(26,923)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14,264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(11,538)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146"/>
        </w:trPr>
        <w:tc>
          <w:tcPr>
            <w:tcW w:w="258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(26,923)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15,940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(9,572)</w:t>
            </w:r>
          </w:p>
        </w:tc>
        <w:tc>
          <w:tcPr>
            <w:tcW w:w="0" w:type="dxa"/>
            <w:vAlign w:val="bottom"/>
          </w:tcPr>
          <w:p>
            <w:pPr>
              <w:spacing w:after="0"/>
              <w:rPr>
                <w:sz w:val="1"/>
                <w:szCs w:val="1"/>
                <w:color w:val="auto"/>
              </w:rPr>
            </w:pPr>
          </w:p>
        </w:tc>
      </w:tr>
      <w:tr>
        <w:trPr>
          <w:trHeight w:val="209"/>
        </w:trPr>
        <w:tc>
          <w:tcPr>
            <w:tcW w:w="2580" w:type="dxa"/>
            <w:vAlign w:val="bottom"/>
          </w:tcPr>
          <w:p>
            <w:pPr>
              <w:ind w:left="10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2021</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3"/>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(148,098)</w:t>
            </w:r>
          </w:p>
        </w:tc>
        <w:tc>
          <w:tcPr>
            <w:tcW w:w="0" w:type="dxa"/>
            <w:vAlign w:val="bottom"/>
          </w:tcPr>
          <w:p>
            <w:pPr>
              <w:spacing w:after="0"/>
              <w:rPr>
                <w:sz w:val="1"/>
                <w:szCs w:val="1"/>
                <w:color w:val="auto"/>
              </w:rPr>
            </w:pPr>
          </w:p>
        </w:tc>
      </w:tr>
      <w:tr>
        <w:trPr>
          <w:trHeight w:val="207"/>
        </w:trPr>
        <w:tc>
          <w:tcPr>
            <w:tcW w:w="258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40" w:type="dxa"/>
            <w:vAlign w:val="bottom"/>
            <w:gridSpan w:val="2"/>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23,170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(5,578)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59,002</w:t>
            </w:r>
          </w:p>
        </w:tc>
        <w:tc>
          <w:tcPr>
            <w:tcW w:w="0" w:type="dxa"/>
            <w:vAlign w:val="bottom"/>
          </w:tcPr>
          <w:p>
            <w:pPr>
              <w:spacing w:after="0"/>
              <w:rPr>
                <w:sz w:val="1"/>
                <w:szCs w:val="1"/>
                <w:color w:val="auto"/>
              </w:rPr>
            </w:pPr>
          </w:p>
        </w:tc>
      </w:tr>
      <w:tr>
        <w:trPr>
          <w:trHeight w:val="146"/>
        </w:trPr>
        <w:tc>
          <w:tcPr>
            <w:tcW w:w="258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28,573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24,851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53,424</w:t>
            </w:r>
          </w:p>
        </w:tc>
        <w:tc>
          <w:tcPr>
            <w:tcW w:w="0" w:type="dxa"/>
            <w:vAlign w:val="bottom"/>
          </w:tcPr>
          <w:p>
            <w:pPr>
              <w:spacing w:after="0"/>
              <w:rPr>
                <w:sz w:val="1"/>
                <w:szCs w:val="1"/>
                <w:color w:val="auto"/>
              </w:rPr>
            </w:pPr>
          </w:p>
        </w:tc>
      </w:tr>
      <w:tr>
        <w:trPr>
          <w:trHeight w:val="209"/>
        </w:trPr>
        <w:tc>
          <w:tcPr>
            <w:tcW w:w="2580" w:type="dxa"/>
            <w:vAlign w:val="bottom"/>
          </w:tcPr>
          <w:p>
            <w:pPr>
              <w:ind w:left="10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3"/>
              </w:rPr>
              <w:t>(14,380)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(94,674)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amount of the impairment loss for the assets of the transaction with Dresser during the fourth quarter of 2021, we included $59.7 million of accumulated foreign currency translation losses and $0.9 million in unrealized defined benefit plan losses. Upon closing of the sale transaction in the first quarter of 2022, the then outstanding amounts in AOCI were reclassified to net income (loss) through loss on sale of businesses for a total of $55.4 million, with a corresponding reversal of the impairment loss originally booked in the fourth quarter of 2021. Refer to Note 18: Sale of Businesses for additional information on the transaction.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2022, we substantially liquidated our legal entity in Russia, recognizing a loss of $1.9 million for the reclassification of the currency translation adjustment from accumulated other comprehensive income (loss) related to the disposal of the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income tax (provision) benefit, and net-of-tax amounts related to each component of OCI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Before-tax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20,947</w:t>
            </w:r>
          </w:p>
        </w:tc>
        <w:tc>
          <w:tcPr>
            <w:tcW w:w="0" w:type="dxa"/>
            <w:vAlign w:val="bottom"/>
          </w:tcPr>
          <w:p>
            <w:pPr>
              <w:spacing w:after="0"/>
              <w:rPr>
                <w:sz w:val="1"/>
                <w:szCs w:val="1"/>
                <w:color w:val="auto"/>
              </w:rPr>
            </w:pPr>
          </w:p>
        </w:tc>
      </w:tr>
      <w:tr>
        <w:trPr>
          <w:trHeight w:val="166"/>
        </w:trPr>
        <w:tc>
          <w:tcPr>
            <w:tcW w:w="6040" w:type="dxa"/>
            <w:vAlign w:val="bottom"/>
          </w:tcPr>
          <w:p>
            <w:pPr>
              <w:ind w:left="180"/>
              <w:spacing w:after="0" w:line="166" w:lineRule="exact"/>
              <w:rPr>
                <w:sz w:val="20"/>
                <w:szCs w:val="20"/>
                <w:color w:val="auto"/>
              </w:rPr>
            </w:pPr>
            <w:r>
              <w:rPr>
                <w:rFonts w:ascii="Arial" w:cs="Arial" w:eastAsia="Arial" w:hAnsi="Arial"/>
                <w:sz w:val="16"/>
                <w:szCs w:val="16"/>
                <w:color w:val="auto"/>
                <w:w w:val="97"/>
              </w:rPr>
              <w:t>Foreign currency translation adjustment reclassified to net loss on sale or disposal of</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57,321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52,074</w:t>
            </w:r>
          </w:p>
        </w:tc>
        <w:tc>
          <w:tcPr>
            <w:tcW w:w="0" w:type="dxa"/>
            <w:vAlign w:val="bottom"/>
          </w:tcPr>
          <w:p>
            <w:pPr>
              <w:spacing w:after="0"/>
              <w:rPr>
                <w:sz w:val="1"/>
                <w:szCs w:val="1"/>
                <w:color w:val="auto"/>
              </w:rPr>
            </w:pPr>
          </w:p>
        </w:tc>
      </w:tr>
      <w:tr>
        <w:trPr>
          <w:trHeight w:val="209"/>
        </w:trPr>
        <w:tc>
          <w:tcPr>
            <w:tcW w:w="6040" w:type="dxa"/>
            <w:vAlign w:val="bottom"/>
          </w:tcPr>
          <w:p>
            <w:pPr>
              <w:ind w:left="180"/>
              <w:spacing w:after="0"/>
              <w:rPr>
                <w:sz w:val="20"/>
                <w:szCs w:val="20"/>
                <w:color w:val="auto"/>
              </w:rPr>
            </w:pPr>
            <w:r>
              <w:rPr>
                <w:rFonts w:ascii="Arial" w:cs="Arial" w:eastAsia="Arial" w:hAnsi="Arial"/>
                <w:sz w:val="16"/>
                <w:szCs w:val="16"/>
                <w:color w:val="auto"/>
              </w:rPr>
              <w:t>businesses</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Net unrealized gain (loss) on derivative instruments, designated as cash flow hedges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(7,519)</w:t>
            </w: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rPr>
              <w:t>Net hedging (gain) loss reclassified to net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6,190</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(8,798)</w:t>
            </w: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defined benefit plan (gain) loss reclassified to net loss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65,503</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Tax (provision) benefit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69"/>
        </w:trPr>
        <w:tc>
          <w:tcPr>
            <w:tcW w:w="60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7"/>
              </w:rPr>
              <w:t>Foreign currency translation adjustment reclassified to net loss on sale or disposal of</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businesses</w:t>
            </w: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w w:val="97"/>
              </w:rPr>
              <w:t>Net unrealized gain (loss) on derivative instruments, designated as cash flow hedges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defined benefit plan (gain) loss reclassified to net loss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39"/>
        </w:trPr>
        <w:tc>
          <w:tcPr>
            <w:tcW w:w="6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Net-of-tax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21,082</w:t>
            </w:r>
          </w:p>
        </w:tc>
        <w:tc>
          <w:tcPr>
            <w:tcW w:w="0" w:type="dxa"/>
            <w:vAlign w:val="bottom"/>
          </w:tcPr>
          <w:p>
            <w:pPr>
              <w:spacing w:after="0"/>
              <w:rPr>
                <w:sz w:val="1"/>
                <w:szCs w:val="1"/>
                <w:color w:val="auto"/>
              </w:rPr>
            </w:pPr>
          </w:p>
        </w:tc>
      </w:tr>
      <w:tr>
        <w:trPr>
          <w:trHeight w:val="166"/>
        </w:trPr>
        <w:tc>
          <w:tcPr>
            <w:tcW w:w="6040" w:type="dxa"/>
            <w:vAlign w:val="bottom"/>
          </w:tcPr>
          <w:p>
            <w:pPr>
              <w:ind w:left="180"/>
              <w:spacing w:after="0" w:line="166" w:lineRule="exact"/>
              <w:rPr>
                <w:sz w:val="20"/>
                <w:szCs w:val="20"/>
                <w:color w:val="auto"/>
              </w:rPr>
            </w:pPr>
            <w:r>
              <w:rPr>
                <w:rFonts w:ascii="Arial" w:cs="Arial" w:eastAsia="Arial" w:hAnsi="Arial"/>
                <w:sz w:val="16"/>
                <w:szCs w:val="16"/>
                <w:color w:val="auto"/>
                <w:w w:val="97"/>
              </w:rPr>
              <w:t>Foreign currency translation adjustment reclassified to net loss on sale or disposal of</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57,321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52,074</w:t>
            </w:r>
          </w:p>
        </w:tc>
        <w:tc>
          <w:tcPr>
            <w:tcW w:w="0" w:type="dxa"/>
            <w:vAlign w:val="bottom"/>
          </w:tcPr>
          <w:p>
            <w:pPr>
              <w:spacing w:after="0"/>
              <w:rPr>
                <w:sz w:val="1"/>
                <w:szCs w:val="1"/>
                <w:color w:val="auto"/>
              </w:rPr>
            </w:pPr>
          </w:p>
        </w:tc>
      </w:tr>
      <w:tr>
        <w:trPr>
          <w:trHeight w:val="209"/>
        </w:trPr>
        <w:tc>
          <w:tcPr>
            <w:tcW w:w="6040" w:type="dxa"/>
            <w:vAlign w:val="bottom"/>
          </w:tcPr>
          <w:p>
            <w:pPr>
              <w:ind w:left="180"/>
              <w:spacing w:after="0"/>
              <w:rPr>
                <w:sz w:val="20"/>
                <w:szCs w:val="20"/>
                <w:color w:val="auto"/>
              </w:rPr>
            </w:pPr>
            <w:r>
              <w:rPr>
                <w:rFonts w:ascii="Arial" w:cs="Arial" w:eastAsia="Arial" w:hAnsi="Arial"/>
                <w:sz w:val="16"/>
                <w:szCs w:val="16"/>
                <w:color w:val="auto"/>
              </w:rPr>
              <w:t>businesses</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Net unrealized gain (loss) on derivative instruments, designated as cash flow hedges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(7,002)</w:t>
            </w: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rPr>
              <w:t>Net hedging (gain) loss reclassified to net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6,104</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(8,689)</w:t>
            </w: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defined benefit plan (gain) loss reclassified to net loss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53,424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fair values at December 31, 2022 and 2021 do not reflect subsequent changes in the economy, interest rates, tax rates, and other variables that may affect the determination of fair value.</w:t>
      </w: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6"/>
          </w:tcPr>
          <w:p>
            <w:pPr>
              <w:ind w:left="820"/>
              <w:spacing w:after="0"/>
              <w:rPr>
                <w:sz w:val="20"/>
                <w:szCs w:val="20"/>
                <w:color w:val="auto"/>
              </w:rPr>
            </w:pPr>
            <w:r>
              <w:rPr>
                <w:rFonts w:ascii="Arial" w:cs="Arial" w:eastAsia="Arial" w:hAnsi="Arial"/>
                <w:sz w:val="16"/>
                <w:szCs w:val="16"/>
                <w:b w:val="1"/>
                <w:bCs w:val="1"/>
                <w:color w:val="auto"/>
              </w:rPr>
              <w:t>December 31, 2022</w:t>
            </w:r>
          </w:p>
        </w:tc>
        <w:tc>
          <w:tcPr>
            <w:tcW w:w="3040" w:type="dxa"/>
            <w:vAlign w:val="bottom"/>
            <w:gridSpan w:val="4"/>
          </w:tcPr>
          <w:p>
            <w:pPr>
              <w:ind w:left="800"/>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Carrying Amount</w:t>
            </w:r>
          </w:p>
        </w:tc>
        <w:tc>
          <w:tcPr>
            <w:tcW w:w="12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Carrying Amount</w:t>
            </w:r>
          </w:p>
        </w:tc>
        <w:tc>
          <w:tcPr>
            <w:tcW w:w="12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4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Credit facility</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3"/>
        </w:trPr>
        <w:tc>
          <w:tcPr>
            <w:tcW w:w="4660" w:type="dxa"/>
            <w:vAlign w:val="bottom"/>
          </w:tcPr>
          <w:p>
            <w:pPr>
              <w:ind w:left="600"/>
              <w:spacing w:after="0"/>
              <w:rPr>
                <w:sz w:val="20"/>
                <w:szCs w:val="20"/>
                <w:color w:val="auto"/>
              </w:rPr>
            </w:pPr>
            <w:r>
              <w:rPr>
                <w:rFonts w:ascii="Arial" w:cs="Arial" w:eastAsia="Arial" w:hAnsi="Arial"/>
                <w:sz w:val="16"/>
                <w:szCs w:val="16"/>
                <w:color w:val="auto"/>
              </w:rPr>
              <w:t>Multicurrency revolving line of credit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3"/>
          </w:tcPr>
          <w:p>
            <w:pPr>
              <w:ind w:left="1180"/>
              <w:spacing w:after="0"/>
              <w:rPr>
                <w:sz w:val="20"/>
                <w:szCs w:val="20"/>
                <w:color w:val="auto"/>
              </w:rPr>
            </w:pPr>
            <w:r>
              <w:rPr>
                <w:rFonts w:ascii="Arial" w:cs="Arial" w:eastAsia="Arial" w:hAnsi="Arial"/>
                <w:sz w:val="16"/>
                <w:szCs w:val="16"/>
                <w:color w:val="auto"/>
              </w:rPr>
              <w:t>—   $</w:t>
            </w:r>
          </w:p>
        </w:tc>
        <w:tc>
          <w:tcPr>
            <w:tcW w:w="1520" w:type="dxa"/>
            <w:vAlign w:val="bottom"/>
            <w:gridSpan w:val="3"/>
          </w:tcPr>
          <w:p>
            <w:pPr>
              <w:ind w:left="1060"/>
              <w:spacing w:after="0"/>
              <w:rPr>
                <w:sz w:val="20"/>
                <w:szCs w:val="20"/>
                <w:color w:val="auto"/>
              </w:rPr>
            </w:pPr>
            <w:r>
              <w:rPr>
                <w:rFonts w:ascii="Arial" w:cs="Arial" w:eastAsia="Arial" w:hAnsi="Arial"/>
                <w:sz w:val="16"/>
                <w:szCs w:val="16"/>
                <w:color w:val="auto"/>
              </w:rPr>
              <w:t>—   $</w:t>
            </w:r>
          </w:p>
        </w:tc>
        <w:tc>
          <w:tcPr>
            <w:tcW w:w="1760" w:type="dxa"/>
            <w:vAlign w:val="bottom"/>
            <w:gridSpan w:val="3"/>
          </w:tcPr>
          <w:p>
            <w:pPr>
              <w:ind w:left="116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Convertible notes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452,526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450,228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422,749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Credit Facility - multicurrency revolving line of credit: </w:t>
      </w:r>
      <w:r>
        <w:rPr>
          <w:rFonts w:ascii="Arial" w:cs="Arial" w:eastAsia="Arial" w:hAnsi="Arial"/>
          <w:sz w:val="18"/>
          <w:szCs w:val="18"/>
          <w:color w:val="auto"/>
        </w:rPr>
        <w:t>The revolver is not traded publicly. The fair values, which are determined based upon a hypothetical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participant, are calculated using a discounted cash flow model with Level 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inputs, including estimates of incremental borrowing rates for debt with similar terms, maturities, and credit profiles. Refer to Note 6: Debt for a further discussion of our debt.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The Convertible Notes are not listed on any securities exchange but may be actively traded. The fair value is estimated using Level 1</w:t>
      </w:r>
      <w:r>
        <w:rPr>
          <w:rFonts w:ascii="Arial" w:cs="Arial" w:eastAsia="Arial" w:hAnsi="Arial"/>
          <w:sz w:val="18"/>
          <w:szCs w:val="18"/>
          <w:i w:val="1"/>
          <w:iCs w:val="1"/>
          <w:color w:val="auto"/>
        </w:rPr>
        <w:t xml:space="preserve"> </w:t>
      </w:r>
      <w:r>
        <w:rPr>
          <w:rFonts w:ascii="Arial" w:cs="Arial" w:eastAsia="Arial" w:hAnsi="Arial"/>
          <w:sz w:val="18"/>
          <w:szCs w:val="18"/>
          <w:color w:val="auto"/>
        </w:rPr>
        <w:t>inputs, as it is based on quoted prices for these instruments in active markets.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Refer to Note 7: Derivative Financial Instruments for a description of our methods and assumptions in determining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which were determined using Level 2 inputs. Each derivative asset and liability has a carrying value equal to fair value.</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Refer to Note 5: Goodwill for discussion of goodwill impairment recognized during the second quarter of 2022. In addition, we allocate only certain production assets and intangible assets to our operating segments. We do not manage the performance of the segments on a balance sheet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 </w:t>
      </w:r>
      <w:r>
        <w:rPr>
          <w:rFonts w:ascii="Arial" w:cs="Arial" w:eastAsia="Arial" w:hAnsi="Arial"/>
          <w:sz w:val="18"/>
          <w:szCs w:val="18"/>
          <w:color w:val="auto"/>
        </w:rPr>
        <w:t>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Networked Solutions – </w:t>
      </w:r>
      <w:r>
        <w:rPr>
          <w:rFonts w:ascii="Arial" w:cs="Arial" w:eastAsia="Arial" w:hAnsi="Arial"/>
          <w:sz w:val="17"/>
          <w:szCs w:val="17"/>
          <w:color w:val="auto"/>
        </w:rPr>
        <w:t>This segment primarily includes a combination of communicating devices (e.g., smart meters, modules, endpoints, and sensors),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Outcomes – </w:t>
      </w:r>
      <w:r>
        <w:rPr>
          <w:rFonts w:ascii="Arial" w:cs="Arial" w:eastAsia="Arial" w:hAnsi="Arial"/>
          <w:sz w:val="16"/>
          <w:szCs w:val="16"/>
          <w:color w:val="auto"/>
        </w:rPr>
        <w:t>This segment primarily includes our value-added, enhanced software and services in which we manage, organize, analyze, and interpret raw,</w:t>
      </w:r>
      <w:r>
        <w:rPr>
          <w:rFonts w:ascii="Arial" w:cs="Arial" w:eastAsia="Arial" w:hAnsi="Arial"/>
          <w:sz w:val="16"/>
          <w:szCs w:val="16"/>
          <w:i w:val="1"/>
          <w:iCs w:val="1"/>
          <w:color w:val="auto"/>
        </w:rPr>
        <w:t xml:space="preserve"> </w:t>
      </w:r>
      <w:r>
        <w:rPr>
          <w:rFonts w:ascii="Arial" w:cs="Arial" w:eastAsia="Arial" w:hAnsi="Arial"/>
          <w:sz w:val="16"/>
          <w:szCs w:val="16"/>
          <w:color w:val="auto"/>
        </w:rPr>
        <w:t>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433,354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635,103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684,517</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1,002,156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974,531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1,148,698</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55,958</w:t>
            </w:r>
          </w:p>
        </w:tc>
      </w:tr>
      <w:tr>
        <w:trPr>
          <w:trHeight w:val="207"/>
        </w:trPr>
        <w:tc>
          <w:tcPr>
            <w:tcW w:w="604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1,500,243</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1,678,195</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1,889,173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117,112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118,100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100,704</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175,276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173,995</w:t>
            </w:r>
          </w:p>
        </w:tc>
      </w:tr>
      <w:tr>
        <w:trPr>
          <w:trHeight w:val="206"/>
        </w:trPr>
        <w:tc>
          <w:tcPr>
            <w:tcW w:w="604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295,321</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303,377</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284,177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438,710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645,104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693,995</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1,119,268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1,092,631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1,249,402</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237,586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229,953</w:t>
            </w:r>
          </w:p>
        </w:tc>
      </w:tr>
      <w:tr>
        <w:trPr>
          <w:trHeight w:val="207"/>
        </w:trPr>
        <w:tc>
          <w:tcPr>
            <w:tcW w:w="604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1,795,564</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1,981,572</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2,173,350</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86,859</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361,975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378,633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432,906</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82,402</w:t>
            </w:r>
          </w:p>
        </w:tc>
      </w:tr>
      <w:tr>
        <w:trPr>
          <w:trHeight w:val="207"/>
        </w:trPr>
        <w:tc>
          <w:tcPr>
            <w:tcW w:w="604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522,189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573,169</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602,167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40,769</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248,268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254,434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308,099</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47,619</w:t>
            </w:r>
          </w:p>
        </w:tc>
      </w:tr>
      <w:tr>
        <w:trPr>
          <w:trHeight w:val="213"/>
        </w:trPr>
        <w:tc>
          <w:tcPr>
            <w:tcW w:w="6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(328,657)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(441,581)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(406,882)</w:t>
            </w:r>
          </w:p>
        </w:tc>
      </w:tr>
      <w:tr>
        <w:trPr>
          <w:trHeight w:val="213"/>
        </w:trPr>
        <w:tc>
          <w:tcPr>
            <w:tcW w:w="60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(10,395)</w:t>
            </w:r>
          </w:p>
        </w:tc>
      </w:tr>
      <w:tr>
        <w:trPr>
          <w:trHeight w:val="21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(44,511)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(46,244)</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Corporate unallocated operating loss for the years ended December 31, 2022 and 2021 include losses from the sale of businesses of $3.5 million and $64.3 million. Refer to Note 18: Sale of Businesses for additional information on the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no single customer represents more than 10% of total company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1,302,241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1,273,868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1,434,577</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391,556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568,008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594,264</w:t>
            </w:r>
          </w:p>
        </w:tc>
      </w:tr>
      <w:tr>
        <w:trPr>
          <w:trHeight w:val="24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Asia Pacific and Latin America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101,767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139,696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144,509</w:t>
            </w:r>
          </w:p>
        </w:tc>
      </w:tr>
      <w:tr>
        <w:trPr>
          <w:trHeight w:val="209"/>
        </w:trPr>
        <w:tc>
          <w:tcPr>
            <w:tcW w:w="60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1,795,564</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1,981,572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2,173,350</w:t>
            </w:r>
          </w:p>
        </w:tc>
      </w:tr>
      <w:tr>
        <w:trPr>
          <w:trHeight w:val="21"/>
        </w:trPr>
        <w:tc>
          <w:tcPr>
            <w:tcW w:w="6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On June 25, 2020, we sold our Latin American operations. We continue to sell into the region through a distributor.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85,704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94,899</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Outside United States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54,419</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68,285</w:t>
            </w:r>
          </w:p>
        </w:tc>
      </w:tr>
      <w:tr>
        <w:trPr>
          <w:trHeight w:val="237"/>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140,123</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163,184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25,058</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16,965</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w:t>
            </w:r>
          </w:p>
        </w:tc>
      </w:tr>
      <w:tr>
        <w:trPr>
          <w:trHeight w:val="21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49,919</w:t>
            </w: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66,763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97,290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Contract liabilities,</w:t>
            </w:r>
          </w:p>
        </w:tc>
        <w:tc>
          <w:tcPr>
            <w:tcW w:w="0" w:type="dxa"/>
            <w:vAlign w:val="bottom"/>
          </w:tcPr>
          <w:p>
            <w:pPr>
              <w:spacing w:after="0"/>
              <w:rPr>
                <w:sz w:val="1"/>
                <w:szCs w:val="1"/>
                <w:color w:val="auto"/>
              </w:rPr>
            </w:pPr>
          </w:p>
        </w:tc>
      </w:tr>
      <w:tr>
        <w:trPr>
          <w:trHeight w:val="213"/>
        </w:trPr>
        <w:tc>
          <w:tcPr>
            <w:tcW w:w="95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6"/>
              </w:rPr>
              <w:t>less contract assets</w:t>
            </w:r>
          </w:p>
        </w:tc>
        <w:tc>
          <w:tcPr>
            <w:tcW w:w="0" w:type="dxa"/>
            <w:vAlign w:val="bottom"/>
          </w:tcPr>
          <w:p>
            <w:pPr>
              <w:spacing w:after="0"/>
              <w:rPr>
                <w:sz w:val="1"/>
                <w:szCs w:val="1"/>
                <w:color w:val="auto"/>
              </w:rPr>
            </w:pPr>
          </w:p>
        </w:tc>
      </w:tr>
      <w:tr>
        <w:trPr>
          <w:trHeight w:val="212"/>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83,180</w:t>
            </w:r>
          </w:p>
        </w:tc>
        <w:tc>
          <w:tcPr>
            <w:tcW w:w="0" w:type="dxa"/>
            <w:vAlign w:val="bottom"/>
          </w:tcPr>
          <w:p>
            <w:pPr>
              <w:spacing w:after="0"/>
              <w:rPr>
                <w:sz w:val="1"/>
                <w:szCs w:val="1"/>
                <w:color w:val="auto"/>
              </w:rPr>
            </w:pPr>
          </w:p>
        </w:tc>
      </w:tr>
      <w:tr>
        <w:trPr>
          <w:trHeight w:val="213"/>
        </w:trPr>
        <w:tc>
          <w:tcPr>
            <w:tcW w:w="9560" w:type="dxa"/>
            <w:vAlign w:val="bottom"/>
          </w:tcPr>
          <w:p>
            <w:pPr>
              <w:ind w:left="140"/>
              <w:spacing w:after="0"/>
              <w:rPr>
                <w:sz w:val="20"/>
                <w:szCs w:val="20"/>
                <w:color w:val="auto"/>
              </w:rPr>
            </w:pPr>
            <w:r>
              <w:rPr>
                <w:rFonts w:ascii="Arial" w:cs="Arial" w:eastAsia="Arial" w:hAnsi="Arial"/>
                <w:sz w:val="16"/>
                <w:szCs w:val="16"/>
                <w:color w:val="auto"/>
              </w:rPr>
              <w:t>Revenues recognized from beginning contract liability</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(47,997)</w:t>
            </w: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Cumulative catch-up adjustments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5,417</w:t>
            </w:r>
          </w:p>
        </w:tc>
        <w:tc>
          <w:tcPr>
            <w:tcW w:w="0" w:type="dxa"/>
            <w:vAlign w:val="bottom"/>
          </w:tcPr>
          <w:p>
            <w:pPr>
              <w:spacing w:after="0"/>
              <w:rPr>
                <w:sz w:val="1"/>
                <w:szCs w:val="1"/>
                <w:color w:val="auto"/>
              </w:rPr>
            </w:pPr>
          </w:p>
        </w:tc>
      </w:tr>
      <w:tr>
        <w:trPr>
          <w:trHeight w:val="213"/>
        </w:trPr>
        <w:tc>
          <w:tcPr>
            <w:tcW w:w="9560" w:type="dxa"/>
            <w:vAlign w:val="bottom"/>
          </w:tcPr>
          <w:p>
            <w:pPr>
              <w:ind w:left="140"/>
              <w:spacing w:after="0"/>
              <w:rPr>
                <w:sz w:val="20"/>
                <w:szCs w:val="20"/>
                <w:color w:val="auto"/>
              </w:rPr>
            </w:pPr>
            <w:r>
              <w:rPr>
                <w:rFonts w:ascii="Arial" w:cs="Arial" w:eastAsia="Arial" w:hAnsi="Arial"/>
                <w:sz w:val="16"/>
                <w:szCs w:val="16"/>
                <w:color w:val="auto"/>
              </w:rPr>
              <w:t>Increases due to amounts collected or due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312,173</w:t>
            </w: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 recognized from current period increases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(275,348)</w:t>
            </w:r>
          </w:p>
        </w:tc>
        <w:tc>
          <w:tcPr>
            <w:tcW w:w="0" w:type="dxa"/>
            <w:vAlign w:val="bottom"/>
          </w:tcPr>
          <w:p>
            <w:pPr>
              <w:spacing w:after="0"/>
              <w:rPr>
                <w:sz w:val="1"/>
                <w:szCs w:val="1"/>
                <w:color w:val="auto"/>
              </w:rPr>
            </w:pPr>
          </w:p>
        </w:tc>
      </w:tr>
      <w:tr>
        <w:trPr>
          <w:trHeight w:val="213"/>
        </w:trPr>
        <w:tc>
          <w:tcPr>
            <w:tcW w:w="9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3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75,958</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2022, total contract assets were $33.7 million and total contract liabilities were $116.9 million. On December 31, 2022, total contract assets were $57.0 million and total contract liabilities were $133.0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transaction price allocated to remaining performance obligations related to contracts is approximately $1.9 billion for the next 12 months and approximately $1.6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16: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Sale of Businesses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Latin America Divestiture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 and service offerings in Latin America.</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sales price of $35.0 million included deferred payments of $21.1 million for working capital, which was to be paid in full by December 31, 2020, as evidenced by a promissory note, and the remainder in cash ($4.5 million) and other deferred consideration. We recognized a total loss of $59.8 million during the year ended 2020, as the result of the total of the net assets sold (including the cumulative translation adjustment in AOCI) exceeding the sales price.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Based on Accell's failure to make timely payments, continued requests to defer payments significantly beyond the original maturity of the working capital note and the unfavorable impact of the COVID-19 pandemic on the Latin American markets, we determined to fully reserve the working capital and other deferred receivables, recognizing a loss on sale of business of $26.8 million for the year ended December 31, 2021.</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 to Dresser</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 2021, Itron entered into a definitive securities and asset purchase agreement to sell certain Gas product lines from our Device Solutions manufacturing and business operations in Europe and North America to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base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 price of this divestiture was $75.0 million, with adjustments for (1) pension liabilities assumed by Dresser for related active employees and (2) the final working capital balance. Cash proceeds from the sale were $55.9 million.</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transaction closed on February 28, 2022. The final sales price and loss on sale were determined after the finalization of the working capital adjustment, recognized in the fourth quarter of 2022. As of December 31, 2021, we recognized a pre-tax impairment loss of $34.4 million as well as $3.1 million for professional services in conjunction with the planned sale to Dresser (classified within loss on sale of businesses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AOCI. Upon closing of the sale transaction in the first quarter of 2022, the then outstanding amounts in AOCI were reclassified to net income through loss on sale of businesses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2022, we recognized additional loss of $2.2 million related to changes in the working capital balances and additional professional services. In the second quarter of 2022, the loss increased by $0.2 million for professional services related to the divestiture. In the third quarter of 2022, we recognized additional loss of $0.8 million related primarily to a true-up in the working capital balances. In the fourth quarter of 2022, we recognized additional loss of $0.3 million related to changes in the working capital balance and other charges related to the finalization of the transaction. We recognized a total loss of $3.5 million in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Leases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certain factories, service and distribution locations, offices, and equipment under operating leases. Our operating leases have initial lease terms ranging from one to 12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expense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4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20,577</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cost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r>
      <w:tr>
        <w:trPr>
          <w:trHeight w:val="23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cost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4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20,958</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8,342</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213"/>
        </w:trPr>
        <w:tc>
          <w:tcPr>
            <w:tcW w:w="7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52,826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65,523</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16,602</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44,370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57,314</w:t>
            </w:r>
          </w:p>
        </w:tc>
        <w:tc>
          <w:tcPr>
            <w:tcW w:w="0" w:type="dxa"/>
            <w:vAlign w:val="bottom"/>
          </w:tcPr>
          <w:p>
            <w:pPr>
              <w:spacing w:after="0"/>
              <w:rPr>
                <w:sz w:val="1"/>
                <w:szCs w:val="1"/>
                <w:color w:val="auto"/>
              </w:rPr>
            </w:pPr>
          </w:p>
        </w:tc>
      </w:tr>
      <w:tr>
        <w:trPr>
          <w:trHeight w:val="23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liability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60,337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73,916</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remaining lease term - Operating leases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ind w:left="1160"/>
              <w:spacing w:after="0"/>
              <w:rPr>
                <w:sz w:val="20"/>
                <w:szCs w:val="20"/>
                <w:color w:val="auto"/>
              </w:rPr>
            </w:pPr>
            <w:r>
              <w:rPr>
                <w:rFonts w:ascii="Arial" w:cs="Arial" w:eastAsia="Arial" w:hAnsi="Arial"/>
                <w:sz w:val="16"/>
                <w:szCs w:val="16"/>
                <w:color w:val="auto"/>
              </w:rPr>
              <w:t>3.8 years</w:t>
            </w: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 years</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 - Operating leases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Amounts due under operating lease liabilities as of December 31, 2022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December 31, 2022</w:t>
            </w:r>
          </w:p>
        </w:tc>
      </w:tr>
      <w:tr>
        <w:trPr>
          <w:trHeight w:val="213"/>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18,199</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16,080</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14,558</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12,201</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r>
      <w:tr>
        <w:trPr>
          <w:trHeight w:val="213"/>
        </w:trPr>
        <w:tc>
          <w:tcPr>
            <w:tcW w:w="9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lease payments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65,614</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(5,277)</w:t>
            </w:r>
          </w:p>
        </w:tc>
      </w:tr>
      <w:tr>
        <w:trPr>
          <w:trHeight w:val="237"/>
        </w:trPr>
        <w:tc>
          <w:tcPr>
            <w:tcW w:w="9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Restructuring Projects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23, 2023, the Board of Directors of Itron approved a restructuring plan (the 2023 Projects). The 2023 Projects include activities that continue the Company's efforts to optimize its global supply chain and manufacturing operations, sales and marketing organizations, and other overhead. These projects are to be substantially complete by early 2025. Itron estimates pre-tax restructuring charges of $40-45 million. Of the total estimated charge, approximately 95% will result in cash expenditures, and the remainder to non-cash impairment charges. The majority of the expense will be recognized during the first quarter of 2023. Certain of Itron's employees are represented by unions or works councils, which requires consultation, and potential restructuring projects may be subject to regulatory approval.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2022, or in any period subsequent to such date, through the date of this report.</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2022,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(2013 Framework). Based on our evaluation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2013 Framework, management concluded that our internal control over financial reporting was effective as of December 31, 2022.</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Deloitte &amp; Touche LLP, an independent registered public accounting firm, as stated in their report that is included in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2022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06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Itron, Inc.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the internal control over financial reporting of Itron, Inc. and subsidiaries (the "Company")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27,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11, 2023 (the 2023 Proxy Statement) sets forth certain information with regard to our directors as required by Item 401 of Regulation S-K and is incorporated herein by reference.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"Information about our Executive Officers" in Part I of this Annual Report.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"Delinquent Section 16(a) Reports" appearing in the 2023 Proxy Statement sets forth certain information as required by Item 405 of Regulation S-K and is incorporated herein by reference.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section entitled "Corporate Governance" appearing in the 2023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under the Investors section.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Itron's board of directors during 2023, as set forth by Item 407(c)(3) of Regulation S-K.</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section entitled "Corporate Governance" appearing in the 2023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2023 Proxy Statement set forth certain information with respect to the compensation of directors and management of Itron as required by Item 402 of Regulation S-K and are incorporated herein by reference.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2023 Proxy Statement sets forth certain information regarding members of the Compensation Committee required by Item 407(e)(4) of Regulation S-K and is incorporated herein by reference.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2023 Proxy Statement sets forth certain information required by Item 407(e)(5) of Regulation S-K and is incorporated herein by reference.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2023 Proxy Statement sets forth certain information required by Item 201(d) of Regulation S-K and is incorporated herein by reference.</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2023 Proxy Statement sets forth certain information with respect to the ownership of our common stock as required by Item 403 of Regulation S-K and is incorporated herein by reference.</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2023 Proxy Statement sets forth certain information required by Item 404 of Regulation S-K and is incorporated herein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2023 Proxy Statement sets forth certain information with respect to director independence as required by Item 407(a) of Regulation S-K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2023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required by this item are submitted in Part II, Item 8: Financial Statements and Supplementary Data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schedules have been omitted because of the absence of conditions under which they are required or because the required information is included in the consolidated financial statements or the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20" w:type="dxa"/>
            <w:vAlign w:val="bottom"/>
            <w:gridSpan w:val="21"/>
          </w:tcPr>
          <w:p>
            <w:pPr>
              <w:ind w:left="1960"/>
              <w:spacing w:after="0"/>
              <w:rPr>
                <w:sz w:val="20"/>
                <w:szCs w:val="20"/>
                <w:color w:val="auto"/>
              </w:rPr>
            </w:pPr>
            <w:r>
              <w:rPr>
                <w:rFonts w:ascii="Arial" w:cs="Arial" w:eastAsia="Arial" w:hAnsi="Arial"/>
                <w:sz w:val="18"/>
                <w:szCs w:val="18"/>
                <w:b w:val="1"/>
                <w:bCs w:val="1"/>
                <w:color w:val="auto"/>
              </w:rPr>
              <w:t>Description of Exhibits</w:t>
            </w:r>
          </w:p>
        </w:tc>
      </w:tr>
      <w:tr>
        <w:trPr>
          <w:trHeight w:val="183"/>
        </w:trPr>
        <w:tc>
          <w:tcPr>
            <w:tcW w:w="12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00" w:type="dxa"/>
            <w:vAlign w:val="bottom"/>
            <w:tcBorders>
              <w:top w:val="single" w:sz="8" w:color="auto"/>
            </w:tcBorders>
            <w:gridSpan w:val="24"/>
          </w:tcPr>
          <w:p>
            <w:pPr>
              <w:spacing w:after="0" w:line="182" w:lineRule="exact"/>
              <w:rPr>
                <w:rFonts w:ascii="Arial" w:cs="Arial" w:eastAsia="Arial" w:hAnsi="Arial"/>
                <w:sz w:val="18"/>
                <w:szCs w:val="18"/>
                <w:color w:val="0000FF"/>
                <w:w w:val="96"/>
              </w:rPr>
            </w:pPr>
            <w:hyperlink r:id="rId118">
              <w:r>
                <w:rPr>
                  <w:rFonts w:ascii="Arial" w:cs="Arial" w:eastAsia="Arial" w:hAnsi="Arial"/>
                  <w:sz w:val="18"/>
                  <w:szCs w:val="18"/>
                  <w:color w:val="0000FF"/>
                  <w:w w:val="96"/>
                </w:rPr>
                <w:t>Agreement and Plan of Merger, dated September 17, 2017, by and among Itron, Inc., Ivory Merger Sub, Inc., and Silver Spring, Inc.</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118">
              <w:r>
                <w:rPr>
                  <w:rFonts w:ascii="Arial" w:cs="Arial" w:eastAsia="Arial" w:hAnsi="Arial"/>
                  <w:sz w:val="18"/>
                  <w:szCs w:val="18"/>
                  <w:color w:val="0000FF"/>
                </w:rPr>
                <w:t>(Filed as Exhibit 2.1 to Itron Inc.'s Current Report on Form 8-K, filed on September 18,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4"/>
              </w:rPr>
            </w:pPr>
            <w:hyperlink r:id="rId119">
              <w:r>
                <w:rPr>
                  <w:rFonts w:ascii="Arial" w:cs="Arial" w:eastAsia="Arial" w:hAnsi="Arial"/>
                  <w:sz w:val="18"/>
                  <w:szCs w:val="18"/>
                  <w:color w:val="0000FF"/>
                  <w:w w:val="94"/>
                </w:rPr>
                <w:t>Amended and Restated Articles of Incorporation of Itron, Inc. (Filed as Exhibit 3.1 to Itron, Inc.'s Annual Report on Form 10-K, filed on</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March 27, 2003)</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Amended and Restated Bylaws of Itron, Inc. (Filed as Exhibit 3.2 to Itron, Inc.'s Current Report on Form 8-K, filed on February 28,</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r:id="rId120">
              <w:r>
                <w:rPr>
                  <w:rFonts w:ascii="Arial" w:cs="Arial" w:eastAsia="Arial" w:hAnsi="Arial"/>
                  <w:sz w:val="18"/>
                  <w:szCs w:val="18"/>
                  <w:color w:val="0000FF"/>
                  <w:w w:val="86"/>
                </w:rPr>
                <w:t>2022)</w:t>
              </w:r>
            </w:hyperlink>
          </w:p>
        </w:tc>
        <w:tc>
          <w:tcPr>
            <w:tcW w:w="7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74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1"/>
        </w:trPr>
        <w:tc>
          <w:tcPr>
            <w:tcW w:w="12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Security Agreement dated August 5, 2011 among Itron, Inc. and Wells Fargo Bank, National Association (Filed as Exhibit 4.2 to Form</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21">
              <w:r>
                <w:rPr>
                  <w:rFonts w:ascii="Arial" w:cs="Arial" w:eastAsia="Arial" w:hAnsi="Arial"/>
                  <w:sz w:val="18"/>
                  <w:szCs w:val="18"/>
                  <w:color w:val="0000FF"/>
                </w:rPr>
                <w:t>8-K filed on August 8, 2011)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4"/>
              </w:rPr>
            </w:pPr>
            <w:hyperlink r:id="rId122">
              <w:r>
                <w:rPr>
                  <w:rFonts w:ascii="Arial" w:cs="Arial" w:eastAsia="Arial" w:hAnsi="Arial"/>
                  <w:sz w:val="18"/>
                  <w:szCs w:val="18"/>
                  <w:color w:val="0000FF"/>
                  <w:w w:val="94"/>
                </w:rPr>
                <w:t>First Amendment to Security Agreement dated June 23, 2015 among Itron, Inc. and Wells Fargo Bank, National Association. (Filed as</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Exhibit 4.2 to Itron, Inc.'s Current Report on Form 8-K, filed on June 23, 2015)</w:t>
              </w:r>
            </w:hyperlink>
          </w:p>
        </w:tc>
        <w:tc>
          <w:tcPr>
            <w:tcW w:w="42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71"/>
        </w:trPr>
        <w:tc>
          <w:tcPr>
            <w:tcW w:w="12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6"/>
              </w:rPr>
            </w:pPr>
            <w:hyperlink r:id="rId123">
              <w:r>
                <w:rPr>
                  <w:rFonts w:ascii="Arial" w:cs="Arial" w:eastAsia="Arial" w:hAnsi="Arial"/>
                  <w:sz w:val="18"/>
                  <w:szCs w:val="18"/>
                  <w:color w:val="0000FF"/>
                  <w:w w:val="96"/>
                </w:rPr>
                <w:t>Indenture, dated as of December 22, 2017 among Itron, Inc., the guarantors from time to time party thereto and U.S. Bank National</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Association, as trustee. (Filed as Exhibit 4.1 to Itron, Inc.'s Current Report on Form 8-K, filed on December 22, 2017)</w:t>
              </w:r>
            </w:hyperlink>
          </w:p>
        </w:tc>
        <w:tc>
          <w:tcPr>
            <w:tcW w:w="156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71"/>
        </w:trPr>
        <w:tc>
          <w:tcPr>
            <w:tcW w:w="12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Second Amended and Restated Credit Agreement dated January 5, 2018 among Itron, Inc. and a syndicate of banks led by Wells Fargo</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3"/>
          </w:tcPr>
          <w:p>
            <w:pPr>
              <w:spacing w:after="0" w:line="169"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Bank, National Association, JPMorgan Chase Bank, N.A., J.P. Morgan Europe Limited, J.P. Morgan Securities PLC, BNP Paribas,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Silicon Valley Bank (Filed as Exhibit 4.1 to Itron, Inc.'s Current Report on Form 8-K, filed on January 12, 2018)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2"/>
              </w:rPr>
            </w:pPr>
            <w:hyperlink r:id="rId125">
              <w:r>
                <w:rPr>
                  <w:rFonts w:ascii="Arial" w:cs="Arial" w:eastAsia="Arial" w:hAnsi="Arial"/>
                  <w:sz w:val="18"/>
                  <w:szCs w:val="18"/>
                  <w:color w:val="0000FF"/>
                  <w:w w:val="92"/>
                </w:rPr>
                <w:t>Amendment No. 1 dated October 18, 2019, to the Second Amended and Restated Credit Agreement dated January 5, 2018 among Itron,</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17"/>
          </w:tcPr>
          <w:p>
            <w:pPr>
              <w:spacing w:after="0" w:line="169" w:lineRule="exact"/>
              <w:rPr>
                <w:rFonts w:ascii="Arial" w:cs="Arial" w:eastAsia="Arial" w:hAnsi="Arial"/>
                <w:sz w:val="18"/>
                <w:szCs w:val="18"/>
                <w:color w:val="0000FF"/>
                <w:w w:val="98"/>
              </w:rPr>
            </w:pPr>
            <w:hyperlink r:id="rId125">
              <w:r>
                <w:rPr>
                  <w:rFonts w:ascii="Arial" w:cs="Arial" w:eastAsia="Arial" w:hAnsi="Arial"/>
                  <w:sz w:val="18"/>
                  <w:szCs w:val="18"/>
                  <w:color w:val="0000FF"/>
                  <w:w w:val="98"/>
                </w:rPr>
                <w:t>Inc., certain foreign borrowers, guarantors, lenders and issuing parties thereto, and Wells Fargo Bank, National Association, as</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administrative agent. (Filed as Exhibit 4.1 to Itron, Inc.'s Current Report on Form 8-K, filed on October 24, 2019)</w:t>
              </w:r>
            </w:hyperlink>
          </w:p>
        </w:tc>
        <w:tc>
          <w:tcPr>
            <w:tcW w:w="174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72"/>
        </w:trPr>
        <w:tc>
          <w:tcPr>
            <w:tcW w:w="124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Amendment No. 2 dated October 19, 2020, to the Second Amended and Restated Credit Agreement dated January 5, 2018 among Itron,</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17"/>
          </w:tcPr>
          <w:p>
            <w:pPr>
              <w:spacing w:after="0" w:line="169" w:lineRule="exact"/>
              <w:rPr>
                <w:rFonts w:ascii="Arial" w:cs="Arial" w:eastAsia="Arial" w:hAnsi="Arial"/>
                <w:sz w:val="18"/>
                <w:szCs w:val="18"/>
                <w:color w:val="0000FF"/>
                <w:w w:val="98"/>
              </w:rPr>
            </w:pPr>
            <w:hyperlink r:id="rId126">
              <w:r>
                <w:rPr>
                  <w:rFonts w:ascii="Arial" w:cs="Arial" w:eastAsia="Arial" w:hAnsi="Arial"/>
                  <w:sz w:val="18"/>
                  <w:szCs w:val="18"/>
                  <w:color w:val="0000FF"/>
                  <w:w w:val="98"/>
                </w:rPr>
                <w:t>Inc., certain foreign borrowers, guarantors, lenders and issuing parties thereto, and Wells Fargo Bank, National Association, as</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administrative agent. (Filed as Exhibit 4.1 to Itron, Inc's Quarterly Report on Form 10-Q filed on November 2, 2020)</w:t>
              </w:r>
            </w:hyperlink>
          </w:p>
        </w:tc>
        <w:tc>
          <w:tcPr>
            <w:tcW w:w="152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71"/>
        </w:trPr>
        <w:tc>
          <w:tcPr>
            <w:tcW w:w="124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Amendment No. 3, dated March 8, 2021, to the Credit Agreement, dated January 5, 2018 among Itron, Inc. and certain foreign</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18"/>
          </w:tcPr>
          <w:p>
            <w:pPr>
              <w:spacing w:after="0" w:line="169"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borrowers, guarantors, lenders and issuing parties thereto, and Wells Fargo Bank, National Association, as administrative agent. (Filed</w:t>
              </w:r>
            </w:hyperlink>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as Exhibit 10.3 to Itron, Inc.'s Current Report on Form 8-K, filed on March 12, 2021)</w:t>
              </w:r>
            </w:hyperlink>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88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1"/>
        </w:trPr>
        <w:tc>
          <w:tcPr>
            <w:tcW w:w="124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3"/>
              </w:rPr>
            </w:pPr>
            <w:hyperlink r:id="rId128">
              <w:r>
                <w:rPr>
                  <w:rFonts w:ascii="Arial" w:cs="Arial" w:eastAsia="Arial" w:hAnsi="Arial"/>
                  <w:sz w:val="18"/>
                  <w:szCs w:val="18"/>
                  <w:color w:val="0000FF"/>
                  <w:w w:val="93"/>
                </w:rPr>
                <w:t>Indenture, dated as of March 12, 2021, by and between Itron, Inc. and U.S. Bank National Association, as trustee (Filed as Exhibit 4.1 to</w:t>
              </w:r>
            </w:hyperlink>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28">
              <w:r>
                <w:rPr>
                  <w:rFonts w:ascii="Arial" w:cs="Arial" w:eastAsia="Arial" w:hAnsi="Arial"/>
                  <w:sz w:val="18"/>
                  <w:szCs w:val="18"/>
                  <w:color w:val="0000FF"/>
                </w:rPr>
                <w:t>Itron, Inc.'s Current Report on Form 8-K, filed on March 12, 2021)</w:t>
              </w:r>
            </w:hyperlink>
          </w:p>
        </w:tc>
        <w:tc>
          <w:tcPr>
            <w:tcW w:w="80" w:type="dxa"/>
            <w:vAlign w:val="bottom"/>
            <w:gridSpan w:val="4"/>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Exhibit</w:t>
      </w:r>
    </w:p>
    <w:p>
      <w:pPr>
        <w:ind w:left="3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797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40"/>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31750</wp:posOffset>
            </wp:positionV>
            <wp:extent cx="6283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4680" w:space="720"/>
            <w:col w:w="5820"/>
          </w:cols>
          <w:pgMar w:left="320" w:top="125" w:right="359" w:bottom="1440" w:gutter="0" w:footer="0" w:header="0"/>
          <w:type w:val="continuous"/>
        </w:sectPr>
      </w:pPr>
    </w:p>
    <w:p>
      <w:pPr>
        <w:ind w:left="500"/>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4.9</w:t>
      </w:r>
      <w:r>
        <w:rPr>
          <w:sz w:val="20"/>
          <w:szCs w:val="20"/>
          <w:color w:val="auto"/>
        </w:rPr>
        <w:tab/>
      </w:r>
      <w:hyperlink r:id="rId128">
        <w:r>
          <w:rPr>
            <w:rFonts w:ascii="Arial" w:cs="Arial" w:eastAsia="Arial" w:hAnsi="Arial"/>
            <w:sz w:val="16"/>
            <w:szCs w:val="16"/>
            <w:u w:val="single" w:color="auto"/>
            <w:color w:val="0000FF"/>
          </w:rPr>
          <w:t>Form of 0.00% Convertible Senior Note due 2026 (Filed as Exhibit 4.2 to Itron, Inc.'s Current Report on Form 8-K, filed on March 12,</w:t>
        </w:r>
      </w:hyperlink>
    </w:p>
    <w:p>
      <w:pPr>
        <w:ind w:left="1360"/>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2021)</w:t>
        </w:r>
      </w:hyperlink>
    </w:p>
    <w:p>
      <w:pPr>
        <w:spacing w:after="0" w:line="165"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1"/>
              </w:rPr>
              <w:t>4.10</w:t>
            </w:r>
          </w:p>
        </w:tc>
        <w:tc>
          <w:tcPr>
            <w:tcW w:w="10080" w:type="dxa"/>
            <w:vAlign w:val="bottom"/>
            <w:gridSpan w:val="27"/>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Convertible Note Hedge (Filed as Exhibit 10.1 to Itron, Inc.'s Current Report on Form 8-K, filed on March 12, 2021)</w:t>
              </w:r>
            </w:hyperlink>
          </w:p>
        </w:tc>
      </w:tr>
      <w:tr>
        <w:trPr>
          <w:trHeight w:val="372"/>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1"/>
              </w:rPr>
              <w:t>4.11</w:t>
            </w:r>
          </w:p>
        </w:tc>
        <w:tc>
          <w:tcPr>
            <w:tcW w:w="9040" w:type="dxa"/>
            <w:vAlign w:val="bottom"/>
            <w:tcBorders>
              <w:top w:val="single" w:sz="8" w:color="0000FF"/>
            </w:tcBorders>
            <w:gridSpan w:val="13"/>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Form of Warrant Confirmation (Filed as Exhibit 10.2 to Itron, Inc.'s Current Report on Form 8-K, filed on March 12, 2021)</w:t>
              </w:r>
            </w:hyperlink>
          </w:p>
        </w:tc>
        <w:tc>
          <w:tcPr>
            <w:tcW w:w="1040" w:type="dxa"/>
            <w:vAlign w:val="bottom"/>
            <w:gridSpan w:val="14"/>
          </w:tcPr>
          <w:p>
            <w:pPr>
              <w:spacing w:after="0"/>
              <w:rPr>
                <w:sz w:val="24"/>
                <w:szCs w:val="24"/>
                <w:color w:val="auto"/>
              </w:rPr>
            </w:pPr>
          </w:p>
        </w:tc>
      </w:tr>
      <w:tr>
        <w:trPr>
          <w:trHeight w:val="371"/>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1"/>
              </w:rPr>
              <w:t>4.12</w:t>
            </w:r>
          </w:p>
        </w:tc>
        <w:tc>
          <w:tcPr>
            <w:tcW w:w="43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Description of Registrant's Securities (filed with this report)</w:t>
            </w:r>
          </w:p>
        </w:tc>
        <w:tc>
          <w:tcPr>
            <w:tcW w:w="4560" w:type="dxa"/>
            <w:vAlign w:val="bottom"/>
            <w:tcBorders>
              <w:top w:val="single" w:sz="8" w:color="0000FF"/>
            </w:tcBorders>
            <w:gridSpan w:val="6"/>
          </w:tcPr>
          <w:p>
            <w:pPr>
              <w:spacing w:after="0"/>
              <w:rPr>
                <w:sz w:val="24"/>
                <w:szCs w:val="24"/>
                <w:color w:val="auto"/>
              </w:rPr>
            </w:pPr>
          </w:p>
        </w:tc>
        <w:tc>
          <w:tcPr>
            <w:tcW w:w="1200" w:type="dxa"/>
            <w:vAlign w:val="bottom"/>
            <w:gridSpan w:val="15"/>
          </w:tcPr>
          <w:p>
            <w:pPr>
              <w:spacing w:after="0"/>
              <w:rPr>
                <w:sz w:val="24"/>
                <w:szCs w:val="24"/>
                <w:color w:val="auto"/>
              </w:rPr>
            </w:pPr>
          </w:p>
        </w:tc>
      </w:tr>
      <w:tr>
        <w:trPr>
          <w:trHeight w:val="371"/>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1"/>
              </w:rPr>
              <w:t>4.13</w:t>
            </w:r>
          </w:p>
        </w:tc>
        <w:tc>
          <w:tcPr>
            <w:tcW w:w="10080" w:type="dxa"/>
            <w:vAlign w:val="bottom"/>
            <w:gridSpan w:val="27"/>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Amendment No. 4, dated February 25, 2022, to the Credit Agreement, dated January 5, 2018 among Itron, Inc. and certain foreign</w:t>
              </w:r>
            </w:hyperlink>
          </w:p>
        </w:tc>
      </w:tr>
      <w:tr>
        <w:trPr>
          <w:trHeight w:val="156"/>
        </w:trPr>
        <w:tc>
          <w:tcPr>
            <w:tcW w:w="980" w:type="dxa"/>
            <w:vAlign w:val="bottom"/>
          </w:tcPr>
          <w:p>
            <w:pPr>
              <w:spacing w:after="0"/>
              <w:rPr>
                <w:sz w:val="13"/>
                <w:szCs w:val="13"/>
                <w:color w:val="auto"/>
              </w:rPr>
            </w:pPr>
          </w:p>
        </w:tc>
        <w:tc>
          <w:tcPr>
            <w:tcW w:w="998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borrowers, guarantors, lenders and issuing parties thereto, and Wells Fargo Bank, National Association, as administrative agent.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99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34">
              <w:r>
                <w:rPr>
                  <w:rFonts w:ascii="Arial" w:cs="Arial" w:eastAsia="Arial" w:hAnsi="Arial"/>
                  <w:sz w:val="18"/>
                  <w:szCs w:val="18"/>
                  <w:color w:val="0000FF"/>
                </w:rPr>
                <w:t>as Exhibit 4.13 to Itron, Inc's Annual Report on Form 10-K, filed on February 28,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1"/>
              </w:rPr>
              <w:t>4.14</w:t>
            </w:r>
          </w:p>
        </w:tc>
        <w:tc>
          <w:tcPr>
            <w:tcW w:w="10080" w:type="dxa"/>
            <w:vAlign w:val="bottom"/>
            <w:gridSpan w:val="27"/>
          </w:tcPr>
          <w:p>
            <w:pPr>
              <w:spacing w:after="0"/>
              <w:rPr>
                <w:rFonts w:ascii="Arial" w:cs="Arial" w:eastAsia="Arial" w:hAnsi="Arial"/>
                <w:sz w:val="18"/>
                <w:szCs w:val="18"/>
                <w:color w:val="0000FF"/>
                <w:w w:val="97"/>
              </w:rPr>
            </w:pPr>
            <w:hyperlink r:id="rId135">
              <w:r>
                <w:rPr>
                  <w:rFonts w:ascii="Arial" w:cs="Arial" w:eastAsia="Arial" w:hAnsi="Arial"/>
                  <w:sz w:val="18"/>
                  <w:szCs w:val="18"/>
                  <w:color w:val="0000FF"/>
                  <w:w w:val="97"/>
                </w:rPr>
                <w:t>Amendment No. 6, dated February 21, 2023, to the Credit Agreement, dated January 5, 2018 among Itron, Inc. and certain foreign</w:t>
              </w:r>
            </w:hyperlink>
          </w:p>
        </w:tc>
      </w:tr>
      <w:tr>
        <w:trPr>
          <w:trHeight w:val="156"/>
        </w:trPr>
        <w:tc>
          <w:tcPr>
            <w:tcW w:w="980" w:type="dxa"/>
            <w:vAlign w:val="bottom"/>
          </w:tcPr>
          <w:p>
            <w:pPr>
              <w:spacing w:after="0"/>
              <w:rPr>
                <w:sz w:val="13"/>
                <w:szCs w:val="13"/>
                <w:color w:val="auto"/>
              </w:rPr>
            </w:pPr>
          </w:p>
        </w:tc>
        <w:tc>
          <w:tcPr>
            <w:tcW w:w="998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borrowers, guarantors, lenders and issuing parties thereto, and Wells Fargo Bank, National Association, as administrative agent.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63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as Exhibit 10.1 to Itron, Inc's Current Report on Form 8-K, filed on February 27, 2023)</w:t>
              </w:r>
            </w:hyperlink>
          </w:p>
        </w:tc>
        <w:tc>
          <w:tcPr>
            <w:tcW w:w="35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2"/>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10.1*</w:t>
            </w:r>
          </w:p>
        </w:tc>
        <w:tc>
          <w:tcPr>
            <w:tcW w:w="10080" w:type="dxa"/>
            <w:vAlign w:val="bottom"/>
            <w:gridSpan w:val="27"/>
          </w:tcPr>
          <w:p>
            <w:pPr>
              <w:spacing w:after="0"/>
              <w:rPr>
                <w:rFonts w:ascii="Arial" w:cs="Arial" w:eastAsia="Arial" w:hAnsi="Arial"/>
                <w:sz w:val="18"/>
                <w:szCs w:val="18"/>
                <w:color w:val="0000FF"/>
                <w:w w:val="93"/>
              </w:rPr>
            </w:pPr>
            <w:hyperlink r:id="rId136">
              <w:r>
                <w:rPr>
                  <w:rFonts w:ascii="Arial" w:cs="Arial" w:eastAsia="Arial" w:hAnsi="Arial"/>
                  <w:sz w:val="18"/>
                  <w:szCs w:val="18"/>
                  <w:color w:val="0000FF"/>
                  <w:w w:val="93"/>
                </w:rPr>
                <w:t>Form of Second Amended and Restated Change in Control Severance Agreement for Executive Officers. (Filed as Exhibit 10.1 to Itron,</w:t>
              </w:r>
            </w:hyperlink>
          </w:p>
        </w:tc>
      </w:tr>
      <w:tr>
        <w:trPr>
          <w:trHeight w:val="155"/>
        </w:trPr>
        <w:tc>
          <w:tcPr>
            <w:tcW w:w="98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Inc.'s Quarterly Report on Form 10-Q, filed on August 4, 2022)</w:t>
              </w:r>
            </w:hyperlink>
          </w:p>
        </w:tc>
        <w:tc>
          <w:tcPr>
            <w:tcW w:w="53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10.2*</w:t>
            </w:r>
          </w:p>
        </w:tc>
        <w:tc>
          <w:tcPr>
            <w:tcW w:w="10080" w:type="dxa"/>
            <w:vAlign w:val="bottom"/>
            <w:gridSpan w:val="27"/>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Second Amended and Restated Change in Control Severance Agreement, dated May 12, 2022, by and between Itron, Inc. and Thomas</w:t>
              </w:r>
            </w:hyperlink>
          </w:p>
        </w:tc>
      </w:tr>
      <w:tr>
        <w:trPr>
          <w:trHeight w:val="156"/>
        </w:trPr>
        <w:tc>
          <w:tcPr>
            <w:tcW w:w="980" w:type="dxa"/>
            <w:vAlign w:val="bottom"/>
          </w:tcPr>
          <w:p>
            <w:pPr>
              <w:spacing w:after="0"/>
              <w:rPr>
                <w:sz w:val="13"/>
                <w:szCs w:val="13"/>
                <w:color w:val="auto"/>
              </w:rPr>
            </w:pPr>
          </w:p>
        </w:tc>
        <w:tc>
          <w:tcPr>
            <w:tcW w:w="100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L. Deitrich (Filed as Exhibit 10.2 to to Itron, Inc.'s Quarterly Report on Form 10-Q, filed on August 4, 2022)</w:t>
              </w:r>
            </w:hyperlink>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10.3*</w:t>
            </w:r>
          </w:p>
        </w:tc>
        <w:tc>
          <w:tcPr>
            <w:tcW w:w="10080" w:type="dxa"/>
            <w:vAlign w:val="bottom"/>
            <w:gridSpan w:val="27"/>
          </w:tcPr>
          <w:p>
            <w:pPr>
              <w:spacing w:after="0"/>
              <w:rPr>
                <w:rFonts w:ascii="Arial" w:cs="Arial" w:eastAsia="Arial" w:hAnsi="Arial"/>
                <w:sz w:val="18"/>
                <w:szCs w:val="18"/>
                <w:color w:val="0000FF"/>
                <w:w w:val="94"/>
              </w:rPr>
            </w:pPr>
            <w:hyperlink r:id="rId138">
              <w:r>
                <w:rPr>
                  <w:rFonts w:ascii="Arial" w:cs="Arial" w:eastAsia="Arial" w:hAnsi="Arial"/>
                  <w:sz w:val="18"/>
                  <w:szCs w:val="18"/>
                  <w:color w:val="0000FF"/>
                  <w:w w:val="94"/>
                </w:rPr>
                <w:t>Form of Indemnification Agreements between Itron, Inc. and certain directors and officers. (Filed as Exhibit 10.9 to Itron, Inc.'s Annual</w:t>
              </w:r>
            </w:hyperlink>
          </w:p>
        </w:tc>
      </w:tr>
      <w:tr>
        <w:trPr>
          <w:trHeight w:val="156"/>
        </w:trPr>
        <w:tc>
          <w:tcPr>
            <w:tcW w:w="980" w:type="dxa"/>
            <w:vAlign w:val="bottom"/>
          </w:tcPr>
          <w:p>
            <w:pPr>
              <w:spacing w:after="0"/>
              <w:rPr>
                <w:sz w:val="13"/>
                <w:szCs w:val="13"/>
                <w:color w:val="auto"/>
              </w:rPr>
            </w:pPr>
          </w:p>
        </w:tc>
        <w:tc>
          <w:tcPr>
            <w:tcW w:w="10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Report on Form 10-K, filed on March 30, 2000)</w:t>
              </w:r>
            </w:hyperlink>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5"/>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10.4*</w:t>
            </w:r>
          </w:p>
        </w:tc>
        <w:tc>
          <w:tcPr>
            <w:tcW w:w="10080" w:type="dxa"/>
            <w:vAlign w:val="bottom"/>
            <w:gridSpan w:val="27"/>
          </w:tcPr>
          <w:p>
            <w:pPr>
              <w:spacing w:after="0"/>
              <w:rPr>
                <w:rFonts w:ascii="Arial" w:cs="Arial" w:eastAsia="Arial" w:hAnsi="Arial"/>
                <w:sz w:val="18"/>
                <w:szCs w:val="18"/>
                <w:color w:val="0000FF"/>
                <w:w w:val="94"/>
              </w:rPr>
            </w:pPr>
            <w:hyperlink r:id="rId139">
              <w:r>
                <w:rPr>
                  <w:rFonts w:ascii="Arial" w:cs="Arial" w:eastAsia="Arial" w:hAnsi="Arial"/>
                  <w:sz w:val="18"/>
                  <w:szCs w:val="18"/>
                  <w:color w:val="0000FF"/>
                  <w:w w:val="94"/>
                </w:rPr>
                <w:t>Amended and Restated 2010 Stock Incentive Plan. (Filed as Appendix A to Itron, Inc.'s Proxy Statement for the 2014 Annual Meeting</w:t>
              </w:r>
            </w:hyperlink>
          </w:p>
        </w:tc>
      </w:tr>
      <w:tr>
        <w:trPr>
          <w:trHeight w:val="155"/>
        </w:trPr>
        <w:tc>
          <w:tcPr>
            <w:tcW w:w="98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of Shareholders, filed on March 13, 2014)</w:t>
              </w:r>
            </w:hyperlink>
          </w:p>
        </w:tc>
        <w:tc>
          <w:tcPr>
            <w:tcW w:w="698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85"/>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10.5*</w:t>
            </w:r>
          </w:p>
        </w:tc>
        <w:tc>
          <w:tcPr>
            <w:tcW w:w="10080" w:type="dxa"/>
            <w:vAlign w:val="bottom"/>
            <w:gridSpan w:val="27"/>
          </w:tcPr>
          <w:p>
            <w:pPr>
              <w:spacing w:after="0"/>
              <w:rPr>
                <w:rFonts w:ascii="Arial" w:cs="Arial" w:eastAsia="Arial" w:hAnsi="Arial"/>
                <w:sz w:val="18"/>
                <w:szCs w:val="18"/>
                <w:color w:val="0000FF"/>
                <w:w w:val="95"/>
              </w:rPr>
            </w:pPr>
            <w:hyperlink r:id="rId140">
              <w:r>
                <w:rPr>
                  <w:rFonts w:ascii="Arial" w:cs="Arial" w:eastAsia="Arial" w:hAnsi="Arial"/>
                  <w:sz w:val="18"/>
                  <w:szCs w:val="18"/>
                  <w:color w:val="0000FF"/>
                  <w:w w:val="95"/>
                </w:rPr>
                <w:t>Second Amended and Restated 2010 Stock Incentive Plan. (Filed as Appendix A to Itron, Inc.'s Proxy Statement for the 2017 Annual</w:t>
              </w:r>
            </w:hyperlink>
          </w:p>
        </w:tc>
      </w:tr>
      <w:tr>
        <w:trPr>
          <w:trHeight w:val="155"/>
        </w:trPr>
        <w:tc>
          <w:tcPr>
            <w:tcW w:w="98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Meeting of Shareholders, filed on March 24, 2017)</w:t>
              </w:r>
            </w:hyperlink>
          </w:p>
        </w:tc>
        <w:tc>
          <w:tcPr>
            <w:tcW w:w="62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85"/>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10.6*</w:t>
            </w:r>
          </w:p>
        </w:tc>
        <w:tc>
          <w:tcPr>
            <w:tcW w:w="10080" w:type="dxa"/>
            <w:vAlign w:val="bottom"/>
            <w:tcBorders>
              <w:bottom w:val="single" w:sz="8" w:color="0000FF"/>
            </w:tcBorders>
            <w:gridSpan w:val="27"/>
          </w:tcPr>
          <w:p>
            <w:pPr>
              <w:spacing w:after="0"/>
              <w:rPr>
                <w:rFonts w:ascii="Arial" w:cs="Arial" w:eastAsia="Arial" w:hAnsi="Arial"/>
                <w:sz w:val="18"/>
                <w:szCs w:val="18"/>
                <w:color w:val="0000FF"/>
                <w:w w:val="95"/>
              </w:rPr>
            </w:pPr>
            <w:hyperlink r:id="rId141">
              <w:r>
                <w:rPr>
                  <w:rFonts w:ascii="Arial" w:cs="Arial" w:eastAsia="Arial" w:hAnsi="Arial"/>
                  <w:sz w:val="18"/>
                  <w:szCs w:val="18"/>
                  <w:color w:val="0000FF"/>
                  <w:w w:val="95"/>
                </w:rPr>
                <w:t>Terms of the Amended and Restated Equity Grant Program for Nonemployee Directors under the Itron, Inc. Amended and Restated</w:t>
              </w:r>
            </w:hyperlink>
          </w:p>
        </w:tc>
      </w:tr>
      <w:tr>
        <w:trPr>
          <w:trHeight w:val="155"/>
        </w:trPr>
        <w:tc>
          <w:tcPr>
            <w:tcW w:w="980" w:type="dxa"/>
            <w:vAlign w:val="bottom"/>
          </w:tcPr>
          <w:p>
            <w:pPr>
              <w:spacing w:after="0"/>
              <w:rPr>
                <w:sz w:val="13"/>
                <w:szCs w:val="13"/>
                <w:color w:val="auto"/>
              </w:rPr>
            </w:pPr>
          </w:p>
        </w:tc>
        <w:tc>
          <w:tcPr>
            <w:tcW w:w="10080" w:type="dxa"/>
            <w:vAlign w:val="bottom"/>
            <w:gridSpan w:val="27"/>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2000 Stock Incentive Plan. (Filed as Exhibit 10.4 to Itron, Inc.'s Annual Report on Form 10-K, filed on February 26, 2008)</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5"/>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10.7*</w:t>
            </w:r>
          </w:p>
        </w:tc>
        <w:tc>
          <w:tcPr>
            <w:tcW w:w="10080" w:type="dxa"/>
            <w:vAlign w:val="bottom"/>
            <w:gridSpan w:val="27"/>
          </w:tcPr>
          <w:p>
            <w:pPr>
              <w:spacing w:after="0"/>
              <w:rPr>
                <w:rFonts w:ascii="Arial" w:cs="Arial" w:eastAsia="Arial" w:hAnsi="Arial"/>
                <w:sz w:val="18"/>
                <w:szCs w:val="18"/>
                <w:color w:val="0000FF"/>
                <w:w w:val="96"/>
              </w:rPr>
            </w:pPr>
            <w:hyperlink r:id="rId142">
              <w:r>
                <w:rPr>
                  <w:rFonts w:ascii="Arial" w:cs="Arial" w:eastAsia="Arial" w:hAnsi="Arial"/>
                  <w:sz w:val="18"/>
                  <w:szCs w:val="18"/>
                  <w:color w:val="0000FF"/>
                  <w:w w:val="96"/>
                </w:rPr>
                <w:t>Form of Stock Option Grant Notice and Agreement for use in connection with both incentive and non-qualified stock options granted</w:t>
              </w:r>
            </w:hyperlink>
          </w:p>
        </w:tc>
      </w:tr>
      <w:tr>
        <w:trPr>
          <w:trHeight w:val="176"/>
        </w:trPr>
        <w:tc>
          <w:tcPr>
            <w:tcW w:w="980" w:type="dxa"/>
            <w:vAlign w:val="bottom"/>
          </w:tcPr>
          <w:p>
            <w:pPr>
              <w:spacing w:after="0"/>
              <w:rPr>
                <w:sz w:val="15"/>
                <w:szCs w:val="15"/>
                <w:color w:val="auto"/>
              </w:rPr>
            </w:pPr>
          </w:p>
        </w:tc>
        <w:tc>
          <w:tcPr>
            <w:tcW w:w="992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under Itron, Inc.'s Amended and Restated 2000 Stock Incentive Plan. (Filed as Exhibit 10.6 to Itron, Inc.'s Current Report on Form 8-K,</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49"/>
        </w:trPr>
        <w:tc>
          <w:tcPr>
            <w:tcW w:w="980" w:type="dxa"/>
            <w:vAlign w:val="bottom"/>
          </w:tcPr>
          <w:p>
            <w:pPr>
              <w:spacing w:after="0"/>
              <w:rPr>
                <w:sz w:val="12"/>
                <w:szCs w:val="12"/>
                <w:color w:val="auto"/>
              </w:rPr>
            </w:pPr>
          </w:p>
        </w:tc>
        <w:tc>
          <w:tcPr>
            <w:tcW w:w="7600" w:type="dxa"/>
            <w:vAlign w:val="bottom"/>
            <w:tcBorders>
              <w:top w:val="single" w:sz="8" w:color="0000FF"/>
            </w:tcBorders>
            <w:gridSpan w:val="9"/>
          </w:tcPr>
          <w:p>
            <w:pPr>
              <w:spacing w:after="0" w:line="149" w:lineRule="exact"/>
              <w:rPr>
                <w:rFonts w:ascii="Arial" w:cs="Arial" w:eastAsia="Arial" w:hAnsi="Arial"/>
                <w:sz w:val="17"/>
                <w:szCs w:val="17"/>
                <w:color w:val="0000FF"/>
              </w:rPr>
            </w:pPr>
            <w:hyperlink r:id="rId142">
              <w:r>
                <w:rPr>
                  <w:rFonts w:ascii="Arial" w:cs="Arial" w:eastAsia="Arial" w:hAnsi="Arial"/>
                  <w:sz w:val="17"/>
                  <w:szCs w:val="17"/>
                  <w:color w:val="0000FF"/>
                </w:rPr>
                <w:t>filed on February 18, 2010)</w:t>
              </w:r>
            </w:hyperlink>
          </w:p>
        </w:tc>
        <w:tc>
          <w:tcPr>
            <w:tcW w:w="2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6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10.8*</w:t>
            </w:r>
          </w:p>
        </w:tc>
        <w:tc>
          <w:tcPr>
            <w:tcW w:w="10080" w:type="dxa"/>
            <w:vAlign w:val="bottom"/>
            <w:gridSpan w:val="27"/>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Form of RSU Award Notice and Agreement for all Participants (excluding France) for use in connection with Itron, Inc.'s Amended and</w:t>
              </w:r>
            </w:hyperlink>
          </w:p>
        </w:tc>
      </w:tr>
      <w:tr>
        <w:trPr>
          <w:trHeight w:val="155"/>
        </w:trPr>
        <w:tc>
          <w:tcPr>
            <w:tcW w:w="980" w:type="dxa"/>
            <w:vAlign w:val="bottom"/>
          </w:tcPr>
          <w:p>
            <w:pPr>
              <w:spacing w:after="0"/>
              <w:rPr>
                <w:sz w:val="13"/>
                <w:szCs w:val="13"/>
                <w:color w:val="auto"/>
              </w:rPr>
            </w:pPr>
          </w:p>
        </w:tc>
        <w:tc>
          <w:tcPr>
            <w:tcW w:w="10000" w:type="dxa"/>
            <w:vAlign w:val="bottom"/>
            <w:tcBorders>
              <w:top w:val="single" w:sz="8" w:color="0000FF"/>
            </w:tcBorders>
            <w:gridSpan w:val="23"/>
          </w:tcPr>
          <w:p>
            <w:pPr>
              <w:spacing w:after="0" w:line="156" w:lineRule="exact"/>
              <w:rPr>
                <w:rFonts w:ascii="Arial" w:cs="Arial" w:eastAsia="Arial" w:hAnsi="Arial"/>
                <w:sz w:val="18"/>
                <w:szCs w:val="18"/>
                <w:color w:val="0000FF"/>
                <w:w w:val="96"/>
              </w:rPr>
            </w:pPr>
            <w:hyperlink r:id="rId143">
              <w:r>
                <w:rPr>
                  <w:rFonts w:ascii="Arial" w:cs="Arial" w:eastAsia="Arial" w:hAnsi="Arial"/>
                  <w:sz w:val="18"/>
                  <w:szCs w:val="18"/>
                  <w:color w:val="0000FF"/>
                  <w:w w:val="96"/>
                </w:rPr>
                <w:t>Restated 2000 Stock Incentive Plan. (Filed as Exhibit 10.4 to Itron, Inc.'s Current Report on Form 8-K, filed on February 18, 2010)</w:t>
              </w:r>
            </w:hyperlink>
          </w:p>
        </w:tc>
        <w:tc>
          <w:tcPr>
            <w:tcW w:w="80" w:type="dxa"/>
            <w:vAlign w:val="bottom"/>
            <w:gridSpan w:val="4"/>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40" w:type="dxa"/>
            <w:vAlign w:val="bottom"/>
            <w:gridSpan w:val="1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85"/>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5"/>
              </w:rPr>
              <w:t>10.9*</w:t>
            </w:r>
          </w:p>
        </w:tc>
        <w:tc>
          <w:tcPr>
            <w:tcW w:w="10080" w:type="dxa"/>
            <w:vAlign w:val="bottom"/>
            <w:gridSpan w:val="27"/>
          </w:tcPr>
          <w:p>
            <w:pPr>
              <w:spacing w:after="0"/>
              <w:rPr>
                <w:rFonts w:ascii="Arial" w:cs="Arial" w:eastAsia="Arial" w:hAnsi="Arial"/>
                <w:sz w:val="18"/>
                <w:szCs w:val="18"/>
                <w:color w:val="0000FF"/>
                <w:w w:val="99"/>
              </w:rPr>
            </w:pPr>
            <w:hyperlink r:id="rId144">
              <w:r>
                <w:rPr>
                  <w:rFonts w:ascii="Arial" w:cs="Arial" w:eastAsia="Arial" w:hAnsi="Arial"/>
                  <w:sz w:val="18"/>
                  <w:szCs w:val="18"/>
                  <w:color w:val="0000FF"/>
                  <w:w w:val="99"/>
                </w:rPr>
                <w:t>Form of Long Term Performance RSU Award Notice and Agreement for U.S. Participants for use in connection with Itron, Inc.'s</w:t>
              </w:r>
            </w:hyperlink>
          </w:p>
        </w:tc>
      </w:tr>
      <w:tr>
        <w:trPr>
          <w:trHeight w:val="155"/>
        </w:trPr>
        <w:tc>
          <w:tcPr>
            <w:tcW w:w="980" w:type="dxa"/>
            <w:vAlign w:val="bottom"/>
          </w:tcPr>
          <w:p>
            <w:pPr>
              <w:spacing w:after="0"/>
              <w:rPr>
                <w:sz w:val="13"/>
                <w:szCs w:val="13"/>
                <w:color w:val="auto"/>
              </w:rPr>
            </w:pPr>
          </w:p>
        </w:tc>
        <w:tc>
          <w:tcPr>
            <w:tcW w:w="986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Amended and Restated 2010 Stock Incentive Plan. (Filed as Exhibit 10.4 to Itron, Inc.'s Quarterly Report on Form 10-Q, filed on August</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6, 2014)</w:t>
              </w:r>
            </w:hyperlink>
          </w:p>
        </w:tc>
        <w:tc>
          <w:tcPr>
            <w:tcW w:w="138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2"/>
        </w:trPr>
        <w:tc>
          <w:tcPr>
            <w:tcW w:w="980" w:type="dxa"/>
            <w:vAlign w:val="bottom"/>
          </w:tcPr>
          <w:p>
            <w:pPr>
              <w:jc w:val="center"/>
              <w:ind w:right="410"/>
              <w:spacing w:after="0"/>
              <w:rPr>
                <w:sz w:val="20"/>
                <w:szCs w:val="20"/>
                <w:color w:val="auto"/>
              </w:rPr>
            </w:pPr>
            <w:r>
              <w:rPr>
                <w:rFonts w:ascii="Arial" w:cs="Arial" w:eastAsia="Arial" w:hAnsi="Arial"/>
                <w:sz w:val="18"/>
                <w:szCs w:val="18"/>
                <w:color w:val="auto"/>
                <w:w w:val="92"/>
              </w:rPr>
              <w:t>10.10*</w:t>
            </w:r>
          </w:p>
        </w:tc>
        <w:tc>
          <w:tcPr>
            <w:tcW w:w="10080" w:type="dxa"/>
            <w:vAlign w:val="bottom"/>
            <w:gridSpan w:val="27"/>
          </w:tcPr>
          <w:p>
            <w:pPr>
              <w:spacing w:after="0"/>
              <w:rPr>
                <w:rFonts w:ascii="Arial" w:cs="Arial" w:eastAsia="Arial" w:hAnsi="Arial"/>
                <w:sz w:val="18"/>
                <w:szCs w:val="18"/>
                <w:color w:val="0000FF"/>
                <w:w w:val="99"/>
              </w:rPr>
            </w:pPr>
            <w:hyperlink r:id="rId145">
              <w:r>
                <w:rPr>
                  <w:rFonts w:ascii="Arial" w:cs="Arial" w:eastAsia="Arial" w:hAnsi="Arial"/>
                  <w:sz w:val="18"/>
                  <w:szCs w:val="18"/>
                  <w:color w:val="0000FF"/>
                  <w:w w:val="99"/>
                </w:rPr>
                <w:t>Form of Long Term Performance RSU Award Notice and Agreement for International Participants (excluding France) for use in</w:t>
              </w:r>
            </w:hyperlink>
          </w:p>
        </w:tc>
      </w:tr>
      <w:tr>
        <w:trPr>
          <w:trHeight w:val="155"/>
        </w:trPr>
        <w:tc>
          <w:tcPr>
            <w:tcW w:w="98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connection with Itron, Inc.'s Amended and Restated 2010 Stock Incentive Plan. (Filed as Exhibit 10.19 to Itron, Inc.'s Annual Report on</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bl>
    <w:p>
      <w:pPr>
        <w:ind w:left="1360"/>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Form 10-K, filed on February 25, 2011)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Exhibit</w:t>
      </w:r>
    </w:p>
    <w:p>
      <w:pPr>
        <w:ind w:left="3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797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40"/>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31750</wp:posOffset>
            </wp:positionV>
            <wp:extent cx="6283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680" w:space="720"/>
            <w:col w:w="5820"/>
          </w:cols>
          <w:pgMar w:left="320" w:top="125" w:right="359" w:bottom="1440" w:gutter="0" w:footer="0" w:header="0"/>
          <w:type w:val="continuous"/>
        </w:sectPr>
      </w:pPr>
    </w:p>
    <w:p>
      <w:pPr>
        <w:ind w:left="1360" w:hanging="983"/>
        <w:spacing w:after="0" w:line="289"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49">
        <w:r>
          <w:rPr>
            <w:rFonts w:ascii="Arial" w:cs="Arial" w:eastAsia="Arial" w:hAnsi="Arial"/>
            <w:sz w:val="16"/>
            <w:szCs w:val="16"/>
            <w:u w:val="single" w:color="auto"/>
            <w:color w:val="0000FF"/>
          </w:rPr>
          <w:t>Form of RSU Award Notice and Agreement for all Participants (excluding France) for use in connection with Itron, Inc.'s Amended and</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Restated 2010 Stock Incentive Plan. (Filed as Exhibit 10.2 to Itron, Inc.'s Quarterly Report on Form 10-Q, filed on August 6, 2014)</w:t>
        </w:r>
      </w:hyperlink>
    </w:p>
    <w:p>
      <w:pPr>
        <w:spacing w:after="0" w:line="122" w:lineRule="exact"/>
        <w:rPr>
          <w:sz w:val="20"/>
          <w:szCs w:val="20"/>
          <w:color w:val="auto"/>
        </w:rPr>
      </w:pPr>
    </w:p>
    <w:p>
      <w:pPr>
        <w:ind w:left="380"/>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50">
        <w:r>
          <w:rPr>
            <w:rFonts w:ascii="Arial" w:cs="Arial" w:eastAsia="Arial" w:hAnsi="Arial"/>
            <w:sz w:val="16"/>
            <w:szCs w:val="16"/>
            <w:u w:val="single" w:color="auto"/>
            <w:color w:val="0000FF"/>
          </w:rPr>
          <w:t>Form of RSU Award Notice and Agreement for Non-employee Directors for use in connection with Itron, Inc.'s Amended and Restated</w:t>
        </w:r>
      </w:hyperlink>
    </w:p>
    <w:p>
      <w:pPr>
        <w:ind w:left="136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2010 Stock Incentive Plan. (Filed as Exhibit 10.3 to Itron, Inc.'s Quarterly Report on Form 10-Q, filed on May 3, 2013)</w:t>
        </w:r>
      </w:hyperlink>
    </w:p>
    <w:p>
      <w:pPr>
        <w:spacing w:after="0" w:line="182" w:lineRule="exact"/>
        <w:rPr>
          <w:sz w:val="20"/>
          <w:szCs w:val="20"/>
          <w:color w:val="auto"/>
        </w:rPr>
      </w:pPr>
    </w:p>
    <w:p>
      <w:pPr>
        <w:jc w:val="right"/>
        <w:ind w:left="38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10.13*      </w:t>
      </w:r>
      <w:hyperlink r:id="rId151">
        <w:r>
          <w:rPr>
            <w:rFonts w:ascii="Arial" w:cs="Arial" w:eastAsia="Arial" w:hAnsi="Arial"/>
            <w:sz w:val="17"/>
            <w:szCs w:val="17"/>
            <w:u w:val="single" w:color="auto"/>
            <w:color w:val="0000FF"/>
          </w:rPr>
          <w:t>Form of Stock Option Grant Notice and Agreement for use in connection with both incentive and non-qualified stock options granted</w:t>
        </w:r>
      </w:hyperlink>
      <w:r>
        <w:rPr>
          <w:rFonts w:ascii="Arial" w:cs="Arial" w:eastAsia="Arial" w:hAnsi="Arial"/>
          <w:sz w:val="17"/>
          <w:szCs w:val="17"/>
          <w:color w:val="auto"/>
        </w:rPr>
        <w:t xml:space="preserve"> </w:t>
      </w:r>
      <w:hyperlink r:id="rId151">
        <w:r>
          <w:rPr>
            <w:rFonts w:ascii="Arial" w:cs="Arial" w:eastAsia="Arial" w:hAnsi="Arial"/>
            <w:sz w:val="17"/>
            <w:szCs w:val="17"/>
            <w:u w:val="single" w:color="auto"/>
            <w:color w:val="0000FF"/>
          </w:rPr>
          <w:t>under Itron, Inc.'s Amended and Restated 2010 Stock Incentive Plan. (Filed as Exhibit 10.1 to Itron, Inc.'s Quarterly Report on Form 10-</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Q, filed on August 6, 2014)</w:t>
        </w:r>
      </w:hyperlink>
    </w:p>
    <w:p>
      <w:pPr>
        <w:spacing w:after="0" w:line="169" w:lineRule="exact"/>
        <w:rPr>
          <w:sz w:val="20"/>
          <w:szCs w:val="20"/>
          <w:color w:val="auto"/>
        </w:rPr>
      </w:pPr>
    </w:p>
    <w:p>
      <w:pPr>
        <w:ind w:left="1360" w:hanging="987"/>
        <w:spacing w:after="0" w:line="235"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52">
        <w:r>
          <w:rPr>
            <w:rFonts w:ascii="Arial" w:cs="Arial" w:eastAsia="Arial" w:hAnsi="Arial"/>
            <w:sz w:val="18"/>
            <w:szCs w:val="18"/>
            <w:u w:val="single" w:color="auto"/>
            <w:color w:val="0000FF"/>
          </w:rPr>
          <w:t>Amendment to the Executive Deferred Compensation Plan. (Filed as Exhibit 10.1 to Itron, Inc.'s Quarterly Report on Form 10-Q, filed</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on November 3, 2016)</w:t>
        </w:r>
      </w:hyperlink>
    </w:p>
    <w:p>
      <w:pPr>
        <w:spacing w:after="0" w:line="175" w:lineRule="exact"/>
        <w:rPr>
          <w:sz w:val="20"/>
          <w:szCs w:val="20"/>
          <w:color w:val="auto"/>
        </w:rPr>
      </w:pPr>
    </w:p>
    <w:p>
      <w:pPr>
        <w:ind w:left="1360" w:right="20" w:hanging="987"/>
        <w:spacing w:after="0" w:line="235"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53">
        <w:r>
          <w:rPr>
            <w:rFonts w:ascii="Arial" w:cs="Arial" w:eastAsia="Arial" w:hAnsi="Arial"/>
            <w:sz w:val="18"/>
            <w:szCs w:val="18"/>
            <w:u w:val="single" w:color="auto"/>
            <w:color w:val="0000FF"/>
          </w:rPr>
          <w:t>Amended and Restated 2012 Employee Stock Purchase Plan. (Filed as Exhibit 10.21 to Itron, Inc.'s Annual Report on Form 10-K, filed</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on February 24, 2021)</w:t>
        </w:r>
      </w:hyperlink>
    </w:p>
    <w:p>
      <w:pPr>
        <w:spacing w:after="0" w:line="175" w:lineRule="exact"/>
        <w:rPr>
          <w:sz w:val="20"/>
          <w:szCs w:val="20"/>
          <w:color w:val="auto"/>
        </w:rPr>
      </w:pPr>
    </w:p>
    <w:p>
      <w:pPr>
        <w:jc w:val="right"/>
        <w:ind w:left="4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10.16      </w:t>
      </w:r>
      <w:hyperlink r:id="rId154">
        <w:r>
          <w:rPr>
            <w:rFonts w:ascii="Arial" w:cs="Arial" w:eastAsia="Arial" w:hAnsi="Arial"/>
            <w:sz w:val="17"/>
            <w:szCs w:val="17"/>
            <w:u w:val="single" w:color="auto"/>
            <w:color w:val="0000FF"/>
          </w:rPr>
          <w:t>Cooperation Agreement by and among Itron, Inc., Coppersmith Capital Management LLC, Scopia Management, Inc. and certain of their</w:t>
        </w:r>
      </w:hyperlink>
      <w:r>
        <w:rPr>
          <w:rFonts w:ascii="Arial" w:cs="Arial" w:eastAsia="Arial" w:hAnsi="Arial"/>
          <w:sz w:val="17"/>
          <w:szCs w:val="17"/>
          <w:color w:val="auto"/>
        </w:rPr>
        <w:t xml:space="preserve"> </w:t>
      </w:r>
      <w:hyperlink r:id="rId154">
        <w:r>
          <w:rPr>
            <w:rFonts w:ascii="Arial" w:cs="Arial" w:eastAsia="Arial" w:hAnsi="Arial"/>
            <w:sz w:val="17"/>
            <w:szCs w:val="17"/>
            <w:u w:val="single" w:color="auto"/>
            <w:color w:val="0000FF"/>
          </w:rPr>
          <w:t>specified affiliates, Jerome J. Lande and Peter Mainz, dated as of December 9, 2015. (Filed as Exhibit 10.1 to Itron, Inc.'s Current</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Report on Form 8-K, filed on December 11, 2015)</w:t>
        </w:r>
      </w:hyperlink>
    </w:p>
    <w:p>
      <w:pPr>
        <w:spacing w:after="0" w:line="169" w:lineRule="exact"/>
        <w:rPr>
          <w:sz w:val="20"/>
          <w:szCs w:val="20"/>
          <w:color w:val="auto"/>
        </w:rPr>
      </w:pPr>
    </w:p>
    <w:p>
      <w:pPr>
        <w:jc w:val="right"/>
        <w:ind w:left="4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10.17      </w:t>
      </w:r>
      <w:hyperlink r:id="rId155">
        <w:r>
          <w:rPr>
            <w:rFonts w:ascii="Arial" w:cs="Arial" w:eastAsia="Arial" w:hAnsi="Arial"/>
            <w:sz w:val="17"/>
            <w:szCs w:val="17"/>
            <w:u w:val="single" w:color="auto"/>
            <w:color w:val="0000FF"/>
          </w:rPr>
          <w:t>Amendment to Cooperation Agreement by and among Itron, Inc., Coppersmith Capital Management LLC, Scopia Management, Inc.</w:t>
        </w:r>
      </w:hyperlink>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FF"/>
          </w:rPr>
          <w:t>and certain of their specified affiliates, Jerome J. Lande and Peter Mainz. (Filed as Exhibit 10.2 to Itron, Inc.'s Quarterly Report on Form</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10-Q, filed on November 3, 2016)</w:t>
        </w:r>
      </w:hyperlink>
    </w:p>
    <w:p>
      <w:pPr>
        <w:spacing w:after="0" w:line="169" w:lineRule="exact"/>
        <w:rPr>
          <w:sz w:val="20"/>
          <w:szCs w:val="20"/>
          <w:color w:val="auto"/>
        </w:rPr>
      </w:pPr>
    </w:p>
    <w:p>
      <w:pPr>
        <w:jc w:val="right"/>
        <w:ind w:left="4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10.18      </w:t>
      </w:r>
      <w:hyperlink r:id="rId156">
        <w:r>
          <w:rPr>
            <w:rFonts w:ascii="Arial" w:cs="Arial" w:eastAsia="Arial" w:hAnsi="Arial"/>
            <w:sz w:val="17"/>
            <w:szCs w:val="17"/>
            <w:u w:val="single" w:color="auto"/>
            <w:color w:val="0000FF"/>
          </w:rPr>
          <w:t>First Amendment to Cooperation Agreement, dated November 1, 2017, by and among Itron, Inc., Scopia Management, Inc. and certain</w:t>
        </w:r>
      </w:hyperlink>
      <w:r>
        <w:rPr>
          <w:rFonts w:ascii="Arial" w:cs="Arial" w:eastAsia="Arial" w:hAnsi="Arial"/>
          <w:sz w:val="17"/>
          <w:szCs w:val="17"/>
          <w:color w:val="auto"/>
        </w:rPr>
        <w:t xml:space="preserve"> </w:t>
      </w:r>
      <w:hyperlink r:id="rId156">
        <w:r>
          <w:rPr>
            <w:rFonts w:ascii="Arial" w:cs="Arial" w:eastAsia="Arial" w:hAnsi="Arial"/>
            <w:sz w:val="17"/>
            <w:szCs w:val="17"/>
            <w:u w:val="single" w:color="auto"/>
            <w:color w:val="0000FF"/>
          </w:rPr>
          <w:t>of their specified affiliates, Jerome J. Lande and certain other individuals. (Filed as Exhibit 10.1 to Itron, Inc.'s Current Report on Form</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8-K, filed on November 2, 2017)</w:t>
        </w:r>
      </w:hyperlink>
    </w:p>
    <w:p>
      <w:pPr>
        <w:spacing w:after="0" w:line="169" w:lineRule="exact"/>
        <w:rPr>
          <w:sz w:val="20"/>
          <w:szCs w:val="20"/>
          <w:color w:val="auto"/>
        </w:rPr>
      </w:pPr>
    </w:p>
    <w:p>
      <w:pPr>
        <w:jc w:val="right"/>
        <w:ind w:left="38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10.19*      </w:t>
      </w:r>
      <w:hyperlink r:id="rId157">
        <w:r>
          <w:rPr>
            <w:rFonts w:ascii="Arial" w:cs="Arial" w:eastAsia="Arial" w:hAnsi="Arial"/>
            <w:sz w:val="17"/>
            <w:szCs w:val="17"/>
            <w:u w:val="single" w:color="auto"/>
            <w:color w:val="0000FF"/>
          </w:rPr>
          <w:t>Form of Stock Option Grant Notice and Agreement for use in connection with both incentive and non-qualified stock options granted</w:t>
        </w:r>
      </w:hyperlink>
      <w:r>
        <w:rPr>
          <w:rFonts w:ascii="Arial" w:cs="Arial" w:eastAsia="Arial" w:hAnsi="Arial"/>
          <w:sz w:val="17"/>
          <w:szCs w:val="17"/>
          <w:color w:val="auto"/>
        </w:rPr>
        <w:t xml:space="preserve"> </w:t>
      </w:r>
      <w:hyperlink r:id="rId157">
        <w:r>
          <w:rPr>
            <w:rFonts w:ascii="Arial" w:cs="Arial" w:eastAsia="Arial" w:hAnsi="Arial"/>
            <w:sz w:val="17"/>
            <w:szCs w:val="17"/>
            <w:u w:val="single" w:color="auto"/>
            <w:color w:val="0000FF"/>
          </w:rPr>
          <w:t>under Itron, Inc.'s Amended and Restated 2010 Stock Incentive Plan. (Filed as Exhibit 10.1 to Itron, Inc.'s Quarterly Report on Form 10-</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Q, filed on May 4, 2017)</w:t>
        </w:r>
      </w:hyperlink>
    </w:p>
    <w:p>
      <w:pPr>
        <w:spacing w:after="0" w:line="169" w:lineRule="exact"/>
        <w:rPr>
          <w:sz w:val="20"/>
          <w:szCs w:val="20"/>
          <w:color w:val="auto"/>
        </w:rPr>
      </w:pPr>
    </w:p>
    <w:p>
      <w:pPr>
        <w:jc w:val="right"/>
        <w:ind w:left="38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10.20*      </w:t>
      </w:r>
      <w:hyperlink r:id="rId158">
        <w:r>
          <w:rPr>
            <w:rFonts w:ascii="Arial" w:cs="Arial" w:eastAsia="Arial" w:hAnsi="Arial"/>
            <w:sz w:val="17"/>
            <w:szCs w:val="17"/>
            <w:u w:val="single" w:color="auto"/>
            <w:color w:val="0000FF"/>
          </w:rPr>
          <w:t>Form of Long-Term Performance RSU Award Notice and Agreement for U.S. Participants for use in connection with Itron, Inc.'s</w:t>
        </w:r>
      </w:hyperlink>
      <w:r>
        <w:rPr>
          <w:rFonts w:ascii="Arial" w:cs="Arial" w:eastAsia="Arial" w:hAnsi="Arial"/>
          <w:sz w:val="17"/>
          <w:szCs w:val="17"/>
          <w:color w:val="auto"/>
        </w:rPr>
        <w:t xml:space="preserve"> </w:t>
      </w:r>
      <w:hyperlink r:id="rId158">
        <w:r>
          <w:rPr>
            <w:rFonts w:ascii="Arial" w:cs="Arial" w:eastAsia="Arial" w:hAnsi="Arial"/>
            <w:sz w:val="17"/>
            <w:szCs w:val="17"/>
            <w:u w:val="single" w:color="auto"/>
            <w:color w:val="0000FF"/>
          </w:rPr>
          <w:t>Amended and Restated 2010 Stock Incentive Plan. (Filed as Exhibit 10.2 to Itron, Inc.'s Quarterly Report on Form 10-Q, filed on May 4,</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2017)</w:t>
        </w:r>
      </w:hyperlink>
    </w:p>
    <w:p>
      <w:pPr>
        <w:spacing w:after="0" w:line="169" w:lineRule="exact"/>
        <w:rPr>
          <w:sz w:val="20"/>
          <w:szCs w:val="20"/>
          <w:color w:val="auto"/>
        </w:rPr>
      </w:pPr>
    </w:p>
    <w:p>
      <w:pPr>
        <w:ind w:left="1360" w:hanging="987"/>
        <w:spacing w:after="0" w:line="258" w:lineRule="auto"/>
        <w:tabs>
          <w:tab w:leader="none" w:pos="134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159">
        <w:r>
          <w:rPr>
            <w:rFonts w:ascii="Arial" w:cs="Arial" w:eastAsia="Arial" w:hAnsi="Arial"/>
            <w:sz w:val="17"/>
            <w:szCs w:val="17"/>
            <w:u w:val="single" w:color="auto"/>
            <w:color w:val="0000FF"/>
          </w:rPr>
          <w:t>Form of RSU Award Notice and Agreement for all Participants for use in connection with Itron, Inc.'s Amended and Restated 2010</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Stock Incentive Plan. (Filed as Exhibit 10.3 to Itron, Inc.'s Quarterly Report on Form 10-Q, filed on May 4, 2017)</w:t>
        </w:r>
      </w:hyperlink>
    </w:p>
    <w:p>
      <w:pPr>
        <w:spacing w:after="0" w:line="160" w:lineRule="exact"/>
        <w:rPr>
          <w:sz w:val="20"/>
          <w:szCs w:val="20"/>
          <w:color w:val="auto"/>
        </w:rPr>
      </w:pPr>
    </w:p>
    <w:p>
      <w:pPr>
        <w:jc w:val="right"/>
        <w:ind w:left="38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10.22*      </w:t>
      </w:r>
      <w:hyperlink r:id="rId160">
        <w:r>
          <w:rPr>
            <w:rFonts w:ascii="Arial" w:cs="Arial" w:eastAsia="Arial" w:hAnsi="Arial"/>
            <w:sz w:val="17"/>
            <w:szCs w:val="17"/>
            <w:u w:val="single" w:color="auto"/>
            <w:color w:val="0000FF"/>
          </w:rPr>
          <w:t>Form of Stock Option Grant Notice and Agreement for use in connection with both incentive and non-qualified stock options granted</w:t>
        </w:r>
      </w:hyperlink>
      <w:r>
        <w:rPr>
          <w:rFonts w:ascii="Arial" w:cs="Arial" w:eastAsia="Arial" w:hAnsi="Arial"/>
          <w:sz w:val="17"/>
          <w:szCs w:val="17"/>
          <w:color w:val="auto"/>
        </w:rPr>
        <w:t xml:space="preserve"> </w:t>
      </w:r>
      <w:hyperlink r:id="rId160">
        <w:r>
          <w:rPr>
            <w:rFonts w:ascii="Arial" w:cs="Arial" w:eastAsia="Arial" w:hAnsi="Arial"/>
            <w:sz w:val="17"/>
            <w:szCs w:val="17"/>
            <w:u w:val="single" w:color="auto"/>
            <w:color w:val="0000FF"/>
          </w:rPr>
          <w:t>under Itron, Inc.'s Amended and Restated 2010 Stock Incentive Plan. (Filed as Exhibit 10.32 to Itron, Inc.'s Annual Report on Form 10-</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K, filed on February 28, 2019)</w:t>
        </w:r>
      </w:hyperlink>
    </w:p>
    <w:p>
      <w:pPr>
        <w:spacing w:after="0" w:line="169" w:lineRule="exact"/>
        <w:rPr>
          <w:sz w:val="20"/>
          <w:szCs w:val="20"/>
          <w:color w:val="auto"/>
        </w:rPr>
      </w:pPr>
    </w:p>
    <w:p>
      <w:pPr>
        <w:jc w:val="right"/>
        <w:ind w:left="380"/>
        <w:spacing w:after="0" w:line="220"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161">
        <w:r>
          <w:rPr>
            <w:rFonts w:ascii="Arial" w:cs="Arial" w:eastAsia="Arial" w:hAnsi="Arial"/>
            <w:sz w:val="18"/>
            <w:szCs w:val="18"/>
            <w:u w:val="single" w:color="auto"/>
            <w:color w:val="0000FF"/>
          </w:rPr>
          <w:t>Form of Long-Term Performance RSU Award Notice and Agreement for U.S. Participants for use in connection with Itron, Inc.'s</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Amended and Restated 2010 Stock Incentive Plan. (Filed as Exhibit 10.33 to Itron, Inc.'s Annual Report on Form 10-K, filed on</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February 28, 2019)</w:t>
        </w:r>
      </w:hyperlink>
    </w:p>
    <w:p>
      <w:pPr>
        <w:spacing w:after="0" w:line="169" w:lineRule="exact"/>
        <w:rPr>
          <w:sz w:val="20"/>
          <w:szCs w:val="20"/>
          <w:color w:val="auto"/>
        </w:rPr>
      </w:pPr>
    </w:p>
    <w:p>
      <w:pPr>
        <w:jc w:val="right"/>
        <w:ind w:left="380"/>
        <w:spacing w:after="0" w:line="220"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162">
        <w:r>
          <w:rPr>
            <w:rFonts w:ascii="Arial" w:cs="Arial" w:eastAsia="Arial" w:hAnsi="Arial"/>
            <w:sz w:val="18"/>
            <w:szCs w:val="18"/>
            <w:u w:val="single" w:color="auto"/>
            <w:color w:val="0000FF"/>
          </w:rPr>
          <w:t>Form of RSU Award Notice for awards with 1 year vesting and Agreement for all Participants for use in connection with Itron, Inc.'s</w:t>
        </w:r>
      </w:hyperlink>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FF"/>
          </w:rPr>
          <w:t>Amended and Restated 2010 Stock Incentive Plan. (Filed as Exhibit 10.34 to Itron, Inc.'s Annual Report on Form 10-K, filed on</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February 28, 2019)</w:t>
        </w:r>
      </w:hyperlink>
    </w:p>
    <w:p>
      <w:pPr>
        <w:spacing w:after="0" w:line="169" w:lineRule="exact"/>
        <w:rPr>
          <w:sz w:val="20"/>
          <w:szCs w:val="20"/>
          <w:color w:val="auto"/>
        </w:rPr>
      </w:pPr>
    </w:p>
    <w:p>
      <w:pPr>
        <w:jc w:val="right"/>
        <w:ind w:left="380"/>
        <w:spacing w:after="0" w:line="220"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163">
        <w:r>
          <w:rPr>
            <w:rFonts w:ascii="Arial" w:cs="Arial" w:eastAsia="Arial" w:hAnsi="Arial"/>
            <w:sz w:val="18"/>
            <w:szCs w:val="18"/>
            <w:u w:val="single" w:color="auto"/>
            <w:color w:val="0000FF"/>
          </w:rPr>
          <w:t>Form of RSU Award Notice for awards with 2 year vesting and Agreement for all Participants for use in connection with Itron, Inc.'s</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FF"/>
          </w:rPr>
          <w:t>Amended and Restated 2010 Stock Incentive Plan. (Filed as Exhibit 10.35 to Itron, Inc.'s Annual Report on Form 10-K, filed on</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February 28,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Arial" w:cs="Arial" w:eastAsia="Arial" w:hAnsi="Arial"/>
                <w:sz w:val="18"/>
                <w:szCs w:val="18"/>
                <w:color w:val="0000FF"/>
                <w:w w:val="92"/>
              </w:rPr>
              <w:t>Table of Contents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7"/>
        </w:trPr>
        <w:tc>
          <w:tcPr>
            <w:tcW w:w="1280" w:type="dxa"/>
            <w:vAlign w:val="bottom"/>
            <w:tcBorders>
              <w:top w:val="single" w:sz="8" w:color="0000FF"/>
            </w:tcBorders>
            <w:gridSpan w:val="2"/>
          </w:tcPr>
          <w:p>
            <w:pPr>
              <w:jc w:val="center"/>
              <w:ind w:right="40"/>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11"/>
          </w:tcPr>
          <w:p>
            <w:pPr>
              <w:ind w:left="560"/>
              <w:spacing w:after="0"/>
              <w:rPr>
                <w:sz w:val="20"/>
                <w:szCs w:val="20"/>
                <w:color w:val="auto"/>
              </w:rPr>
            </w:pPr>
            <w:r>
              <w:rPr>
                <w:rFonts w:ascii="Arial" w:cs="Arial" w:eastAsia="Arial" w:hAnsi="Arial"/>
                <w:sz w:val="18"/>
                <w:szCs w:val="18"/>
                <w:b w:val="1"/>
                <w:bCs w:val="1"/>
                <w:color w:val="auto"/>
              </w:rPr>
              <w:t>Description of Exhibits</w:t>
            </w:r>
          </w:p>
        </w:tc>
      </w:tr>
      <w:tr>
        <w:trPr>
          <w:trHeight w:val="183"/>
        </w:trPr>
        <w:tc>
          <w:tcPr>
            <w:tcW w:w="1240" w:type="dxa"/>
            <w:vAlign w:val="bottom"/>
            <w:tcBorders>
              <w:top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10.26*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60" w:type="dxa"/>
            <w:vAlign w:val="bottom"/>
            <w:tcBorders>
              <w:top w:val="single" w:sz="8" w:color="auto"/>
            </w:tcBorders>
            <w:gridSpan w:val="15"/>
          </w:tcPr>
          <w:p>
            <w:pPr>
              <w:spacing w:after="0" w:line="182"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Form of RSU Award Notice for awards with 3 year vesting and Agreement for all Participants for use in connection with Itron, Inc.'s</w:t>
              </w:r>
            </w:hyperlink>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4"/>
          </w:tcPr>
          <w:p>
            <w:pPr>
              <w:spacing w:after="0" w:line="156" w:lineRule="exact"/>
              <w:rPr>
                <w:rFonts w:ascii="Arial" w:cs="Arial" w:eastAsia="Arial" w:hAnsi="Arial"/>
                <w:sz w:val="18"/>
                <w:szCs w:val="18"/>
                <w:color w:val="0000FF"/>
                <w:w w:val="98"/>
              </w:rPr>
            </w:pPr>
            <w:hyperlink r:id="rId165">
              <w:r>
                <w:rPr>
                  <w:rFonts w:ascii="Arial" w:cs="Arial" w:eastAsia="Arial" w:hAnsi="Arial"/>
                  <w:sz w:val="18"/>
                  <w:szCs w:val="18"/>
                  <w:color w:val="0000FF"/>
                  <w:w w:val="98"/>
                </w:rPr>
                <w:t>Amended and Restated 2010 Stock Incentive Plan. (Filed as Exhibit 10.36 to Itron, Inc.'s Annual Report on Form 10-K, filed on</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65">
              <w:r>
                <w:rPr>
                  <w:rFonts w:ascii="Arial" w:cs="Arial" w:eastAsia="Arial" w:hAnsi="Arial"/>
                  <w:sz w:val="18"/>
                  <w:szCs w:val="18"/>
                  <w:color w:val="0000FF"/>
                </w:rPr>
                <w:t>February 28, 2019)</w:t>
              </w:r>
            </w:hyperlink>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10.27*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FF"/>
                <w:w w:val="93"/>
              </w:rPr>
            </w:pPr>
            <w:hyperlink r:id="rId166">
              <w:r>
                <w:rPr>
                  <w:rFonts w:ascii="Arial" w:cs="Arial" w:eastAsia="Arial" w:hAnsi="Arial"/>
                  <w:sz w:val="18"/>
                  <w:szCs w:val="18"/>
                  <w:color w:val="0000FF"/>
                  <w:w w:val="93"/>
                </w:rPr>
                <w:t>Employment Agreement between Itron, Inc. and Thomas L. Deitrich, dated July 16, 2019. (Filed as Exhibit 10.1 to Itron, Inc.'s Current</w:t>
              </w:r>
            </w:hyperlink>
          </w:p>
        </w:tc>
      </w:tr>
      <w:tr>
        <w:trPr>
          <w:trHeight w:val="156"/>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Report on Form 8-K, filed on July 22, 2019)</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5"/>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FF"/>
                <w:w w:val="92"/>
              </w:rPr>
            </w:pPr>
            <w:hyperlink r:id="rId167">
              <w:r>
                <w:rPr>
                  <w:rFonts w:ascii="Arial" w:cs="Arial" w:eastAsia="Arial" w:hAnsi="Arial"/>
                  <w:sz w:val="18"/>
                  <w:szCs w:val="18"/>
                  <w:color w:val="0000FF"/>
                  <w:w w:val="92"/>
                </w:rPr>
                <w:t>Form of Long-Term Performance RSU Award Notice and Agreement for U.S Participants for use in connection with Itron, Inc.'s Second</w:t>
              </w:r>
            </w:hyperlink>
          </w:p>
        </w:tc>
      </w:tr>
      <w:tr>
        <w:trPr>
          <w:trHeight w:val="156"/>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Amended and Restated 2010 Stock Incentive Plan. (Filed as Exhibit 10.39 to Itron, Inc's Annual report on Form 10-K, filed on February</w:t>
              </w:r>
            </w:hyperlink>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26, 2020)</w:t>
              </w:r>
            </w:hyperlink>
          </w:p>
        </w:tc>
        <w:tc>
          <w:tcPr>
            <w:tcW w:w="68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1"/>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10.29*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FF"/>
                <w:w w:val="94"/>
              </w:rPr>
            </w:pPr>
            <w:hyperlink r:id="rId168">
              <w:r>
                <w:rPr>
                  <w:rFonts w:ascii="Arial" w:cs="Arial" w:eastAsia="Arial" w:hAnsi="Arial"/>
                  <w:sz w:val="18"/>
                  <w:szCs w:val="18"/>
                  <w:color w:val="0000FF"/>
                  <w:w w:val="94"/>
                </w:rPr>
                <w:t>Form of RSU Award Notice and Agreement for all Participants for use in connection with Itron, Inc.'s Second Amended and Restated</w:t>
              </w:r>
            </w:hyperlink>
          </w:p>
        </w:tc>
      </w:tr>
      <w:tr>
        <w:trPr>
          <w:trHeight w:val="156"/>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2010 Stock Incentive Plan. (Filed as Exhibit 10.36 to Itron. Inc.'s Annual Report on Form 10-K, filed on February 24, 2021)</w:t>
              </w:r>
            </w:hyperlink>
          </w:p>
        </w:tc>
        <w:tc>
          <w:tcPr>
            <w:tcW w:w="920" w:type="dxa"/>
            <w:vAlign w:val="bottom"/>
            <w:tcBorders>
              <w:top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493"/>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FF"/>
              </w:rPr>
            </w:pPr>
            <w:hyperlink r:id="rId169">
              <w:r>
                <w:rPr>
                  <w:rFonts w:ascii="Arial" w:cs="Arial" w:eastAsia="Arial" w:hAnsi="Arial"/>
                  <w:sz w:val="18"/>
                  <w:szCs w:val="18"/>
                  <w:color w:val="0000FF"/>
                </w:rPr>
                <w:t>2022 Itron Incentive Plan (Filed as Exhibit 10.36 to Itron Inc.'s Annual Report on Form 10-K, filed on February 28, 2022)</w:t>
              </w:r>
            </w:hyperlink>
          </w:p>
        </w:tc>
      </w:tr>
      <w:tr>
        <w:trPr>
          <w:trHeight w:val="479"/>
        </w:trPr>
        <w:tc>
          <w:tcPr>
            <w:tcW w:w="1240" w:type="dxa"/>
            <w:vAlign w:val="bottom"/>
          </w:tcPr>
          <w:p>
            <w:pPr>
              <w:jc w:val="right"/>
              <w:ind w:right="37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3"/>
              </w:rPr>
              <w:t>Subsidiaries of Itron, Inc. (filed with this report)</w:t>
            </w:r>
          </w:p>
        </w:tc>
        <w:tc>
          <w:tcPr>
            <w:tcW w:w="5300" w:type="dxa"/>
            <w:vAlign w:val="bottom"/>
            <w:tcBorders>
              <w:top w:val="single" w:sz="8" w:color="0000FF"/>
            </w:tcBorders>
            <w:gridSpan w:val="4"/>
          </w:tcPr>
          <w:p>
            <w:pPr>
              <w:spacing w:after="0"/>
              <w:rPr>
                <w:sz w:val="24"/>
                <w:szCs w:val="24"/>
                <w:color w:val="auto"/>
              </w:rPr>
            </w:pPr>
          </w:p>
        </w:tc>
        <w:tc>
          <w:tcPr>
            <w:tcW w:w="1180" w:type="dxa"/>
            <w:vAlign w:val="bottom"/>
            <w:gridSpan w:val="7"/>
          </w:tcPr>
          <w:p>
            <w:pPr>
              <w:spacing w:after="0"/>
              <w:rPr>
                <w:sz w:val="24"/>
                <w:szCs w:val="24"/>
                <w:color w:val="auto"/>
              </w:rPr>
            </w:pPr>
          </w:p>
        </w:tc>
      </w:tr>
      <w:tr>
        <w:trPr>
          <w:trHeight w:val="372"/>
        </w:trPr>
        <w:tc>
          <w:tcPr>
            <w:tcW w:w="1240" w:type="dxa"/>
            <w:vAlign w:val="bottom"/>
          </w:tcPr>
          <w:p>
            <w:pPr>
              <w:jc w:val="right"/>
              <w:ind w:right="37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Consent of Deloitte &amp; Touche LLP Independent Registered Public Accounting Firm. (filed with this report)</w:t>
            </w:r>
          </w:p>
        </w:tc>
        <w:tc>
          <w:tcPr>
            <w:tcW w:w="2200" w:type="dxa"/>
            <w:vAlign w:val="bottom"/>
            <w:gridSpan w:val="8"/>
          </w:tcPr>
          <w:p>
            <w:pPr>
              <w:spacing w:after="0"/>
              <w:rPr>
                <w:sz w:val="24"/>
                <w:szCs w:val="24"/>
                <w:color w:val="auto"/>
              </w:rPr>
            </w:pPr>
          </w:p>
        </w:tc>
      </w:tr>
      <w:tr>
        <w:trPr>
          <w:trHeight w:val="372"/>
        </w:trPr>
        <w:tc>
          <w:tcPr>
            <w:tcW w:w="1240" w:type="dxa"/>
            <w:vAlign w:val="bottom"/>
          </w:tcPr>
          <w:p>
            <w:pPr>
              <w:jc w:val="right"/>
              <w:ind w:right="37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Pursuant to Section 302 of the Sarbanes-Oxley Act of 2002. (filed with this report)</w:t>
            </w:r>
          </w:p>
        </w:tc>
        <w:tc>
          <w:tcPr>
            <w:tcW w:w="3040" w:type="dxa"/>
            <w:vAlign w:val="bottom"/>
            <w:gridSpan w:val="10"/>
          </w:tcPr>
          <w:p>
            <w:pPr>
              <w:spacing w:after="0"/>
              <w:rPr>
                <w:sz w:val="24"/>
                <w:szCs w:val="24"/>
                <w:color w:val="auto"/>
              </w:rPr>
            </w:pPr>
          </w:p>
        </w:tc>
      </w:tr>
      <w:tr>
        <w:trPr>
          <w:trHeight w:val="371"/>
        </w:trPr>
        <w:tc>
          <w:tcPr>
            <w:tcW w:w="124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Pursuant to Section 302 of the Sarbanes-Oxley Act of 2002. (filed with this report)</w:t>
            </w:r>
          </w:p>
        </w:tc>
        <w:tc>
          <w:tcPr>
            <w:tcW w:w="3040" w:type="dxa"/>
            <w:vAlign w:val="bottom"/>
            <w:gridSpan w:val="10"/>
          </w:tcPr>
          <w:p>
            <w:pPr>
              <w:spacing w:after="0"/>
              <w:rPr>
                <w:sz w:val="24"/>
                <w:szCs w:val="24"/>
                <w:color w:val="auto"/>
              </w:rPr>
            </w:pPr>
          </w:p>
        </w:tc>
      </w:tr>
      <w:tr>
        <w:trPr>
          <w:trHeight w:val="372"/>
        </w:trPr>
        <w:tc>
          <w:tcPr>
            <w:tcW w:w="1240" w:type="dxa"/>
            <w:vAlign w:val="bottom"/>
          </w:tcPr>
          <w:p>
            <w:pPr>
              <w:jc w:val="right"/>
              <w:ind w:right="37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Certification Pursuant to Section 906 of the Sarbanes-Oxley Act of 2002. (furnished with this report)</w:t>
            </w: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360" w:right="20" w:hanging="873"/>
        <w:spacing w:after="0" w:line="236" w:lineRule="auto"/>
        <w:tabs>
          <w:tab w:leader="none" w:pos="1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Annual Report on Form 10-K for the year ended December 31, 2022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63"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185" w:lineRule="exact"/>
        <w:rPr>
          <w:sz w:val="20"/>
          <w:szCs w:val="20"/>
          <w:color w:val="auto"/>
        </w:rPr>
      </w:pPr>
    </w:p>
    <w:p>
      <w:pPr>
        <w:ind w:left="1360" w:hanging="783"/>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27th day of February, 2023.</w:t>
      </w:r>
    </w:p>
    <w:p>
      <w:pPr>
        <w:spacing w:after="0" w:line="15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ITRON, INC.</w:t>
      </w:r>
    </w:p>
    <w:p>
      <w:pPr>
        <w:spacing w:after="0" w:line="293" w:lineRule="exact"/>
        <w:rPr>
          <w:sz w:val="20"/>
          <w:szCs w:val="20"/>
          <w:color w:val="auto"/>
        </w:rPr>
      </w:pPr>
    </w:p>
    <w:p>
      <w:pPr>
        <w:ind w:left="382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14605</wp:posOffset>
            </wp:positionV>
            <wp:extent cx="45091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2"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27th day of February,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center"/>
              <w:ind w:right="1247"/>
              <w:spacing w:after="0"/>
              <w:rPr>
                <w:sz w:val="20"/>
                <w:szCs w:val="20"/>
                <w:color w:val="auto"/>
              </w:rPr>
            </w:pPr>
            <w:r>
              <w:rPr>
                <w:rFonts w:ascii="Arial" w:cs="Arial" w:eastAsia="Arial" w:hAnsi="Arial"/>
                <w:sz w:val="16"/>
                <w:szCs w:val="16"/>
                <w:b w:val="1"/>
                <w:bCs w:val="1"/>
                <w:color w:val="auto"/>
                <w:w w:val="89"/>
              </w:rPr>
              <w:t>Signatures</w:t>
            </w:r>
          </w:p>
        </w:tc>
        <w:tc>
          <w:tcPr>
            <w:tcW w:w="220" w:type="dxa"/>
            <w:vAlign w:val="bottom"/>
          </w:tcPr>
          <w:p>
            <w:pPr>
              <w:spacing w:after="0"/>
              <w:rPr>
                <w:sz w:val="18"/>
                <w:szCs w:val="18"/>
                <w:color w:val="auto"/>
              </w:rPr>
            </w:pPr>
          </w:p>
        </w:tc>
        <w:tc>
          <w:tcPr>
            <w:tcW w:w="7100" w:type="dxa"/>
            <w:vAlign w:val="bottom"/>
            <w:tcBorders>
              <w:bottom w:val="single" w:sz="8" w:color="auto"/>
            </w:tcBorders>
          </w:tcPr>
          <w:p>
            <w:pPr>
              <w:ind w:left="338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376"/>
        </w:trPr>
        <w:tc>
          <w:tcPr>
            <w:tcW w:w="1340" w:type="dxa"/>
            <w:vAlign w:val="bottom"/>
          </w:tcPr>
          <w:p>
            <w:pPr>
              <w:ind w:left="1060"/>
              <w:spacing w:after="0"/>
              <w:rPr>
                <w:sz w:val="20"/>
                <w:szCs w:val="20"/>
                <w:color w:val="auto"/>
              </w:rPr>
            </w:pPr>
            <w:r>
              <w:rPr>
                <w:rFonts w:ascii="Arial" w:cs="Arial" w:eastAsia="Arial" w:hAnsi="Arial"/>
                <w:sz w:val="14"/>
                <w:szCs w:val="14"/>
                <w:color w:val="auto"/>
              </w:rPr>
              <w:t>/s/</w:t>
            </w:r>
          </w:p>
        </w:tc>
        <w:tc>
          <w:tcPr>
            <w:tcW w:w="2540" w:type="dxa"/>
            <w:vAlign w:val="bottom"/>
          </w:tcPr>
          <w:p>
            <w:pPr>
              <w:jc w:val="center"/>
              <w:ind w:right="987"/>
              <w:spacing w:after="0"/>
              <w:rPr>
                <w:sz w:val="20"/>
                <w:szCs w:val="20"/>
                <w:color w:val="auto"/>
              </w:rPr>
            </w:pPr>
            <w:r>
              <w:rPr>
                <w:rFonts w:ascii="Arial" w:cs="Arial" w:eastAsia="Arial" w:hAnsi="Arial"/>
                <w:sz w:val="14"/>
                <w:szCs w:val="14"/>
                <w:color w:val="auto"/>
              </w:rPr>
              <w:t>THOMAS L. DEITRICH</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President and Chief Executive Officer (Principal Executive Officer), Director</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2540" w:type="dxa"/>
            <w:vAlign w:val="bottom"/>
          </w:tcPr>
          <w:p>
            <w:pPr>
              <w:jc w:val="center"/>
              <w:ind w:right="1267"/>
              <w:spacing w:after="0"/>
              <w:rPr>
                <w:sz w:val="20"/>
                <w:szCs w:val="20"/>
                <w:color w:val="auto"/>
              </w:rPr>
            </w:pPr>
            <w:r>
              <w:rPr>
                <w:rFonts w:ascii="Arial" w:cs="Arial" w:eastAsia="Arial" w:hAnsi="Arial"/>
                <w:sz w:val="14"/>
                <w:szCs w:val="14"/>
                <w:b w:val="1"/>
                <w:bCs w:val="1"/>
                <w:color w:val="auto"/>
                <w:w w:val="95"/>
              </w:rPr>
              <w:t>Thomas L. Deitrich</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880" w:type="dxa"/>
            <w:vAlign w:val="bottom"/>
            <w:gridSpan w:val="2"/>
          </w:tcPr>
          <w:p>
            <w:pPr>
              <w:jc w:val="center"/>
              <w:spacing w:after="0"/>
              <w:rPr>
                <w:sz w:val="20"/>
                <w:szCs w:val="20"/>
                <w:color w:val="auto"/>
              </w:rPr>
            </w:pPr>
            <w:r>
              <w:rPr>
                <w:rFonts w:ascii="Arial" w:cs="Arial" w:eastAsia="Arial" w:hAnsi="Arial"/>
                <w:sz w:val="14"/>
                <w:szCs w:val="14"/>
                <w:color w:val="auto"/>
              </w:rPr>
              <w:t>/s/  JOAN S. HOOPER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Senior Vice President and Chief Financial Officer</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Arial" w:cs="Arial" w:eastAsia="Arial" w:hAnsi="Arial"/>
                <w:sz w:val="14"/>
                <w:szCs w:val="14"/>
                <w:b w:val="1"/>
                <w:bCs w:val="1"/>
                <w:color w:val="auto"/>
                <w:w w:val="91"/>
              </w:rPr>
              <w:t>Joan S. Hooper</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880" w:type="dxa"/>
            <w:vAlign w:val="bottom"/>
            <w:gridSpan w:val="2"/>
          </w:tcPr>
          <w:p>
            <w:pPr>
              <w:jc w:val="center"/>
              <w:spacing w:after="0"/>
              <w:rPr>
                <w:sz w:val="20"/>
                <w:szCs w:val="20"/>
                <w:color w:val="auto"/>
              </w:rPr>
            </w:pPr>
            <w:r>
              <w:rPr>
                <w:rFonts w:ascii="Arial" w:cs="Arial" w:eastAsia="Arial" w:hAnsi="Arial"/>
                <w:sz w:val="14"/>
                <w:szCs w:val="14"/>
                <w:color w:val="auto"/>
              </w:rPr>
              <w:t>/s/  MARY C. HEMMINGSEN</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8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0"/>
        </w:trPr>
        <w:tc>
          <w:tcPr>
            <w:tcW w:w="3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Mary C. Hemmingsen</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340" w:type="dxa"/>
            <w:vAlign w:val="bottom"/>
          </w:tcPr>
          <w:p>
            <w:pPr>
              <w:ind w:left="1080"/>
              <w:spacing w:after="0"/>
              <w:rPr>
                <w:sz w:val="20"/>
                <w:szCs w:val="20"/>
                <w:color w:val="auto"/>
              </w:rPr>
            </w:pPr>
            <w:r>
              <w:rPr>
                <w:rFonts w:ascii="Arial" w:cs="Arial" w:eastAsia="Arial" w:hAnsi="Arial"/>
                <w:sz w:val="14"/>
                <w:szCs w:val="14"/>
                <w:color w:val="auto"/>
              </w:rPr>
              <w:t>/s/</w:t>
            </w:r>
          </w:p>
        </w:tc>
        <w:tc>
          <w:tcPr>
            <w:tcW w:w="2540" w:type="dxa"/>
            <w:vAlign w:val="bottom"/>
          </w:tcPr>
          <w:p>
            <w:pPr>
              <w:jc w:val="center"/>
              <w:ind w:right="987"/>
              <w:spacing w:after="0"/>
              <w:rPr>
                <w:sz w:val="20"/>
                <w:szCs w:val="20"/>
                <w:color w:val="auto"/>
              </w:rPr>
            </w:pPr>
            <w:r>
              <w:rPr>
                <w:rFonts w:ascii="Arial" w:cs="Arial" w:eastAsia="Arial" w:hAnsi="Arial"/>
                <w:sz w:val="14"/>
                <w:szCs w:val="14"/>
                <w:color w:val="auto"/>
                <w:w w:val="99"/>
              </w:rPr>
              <w:t>FRANK M. JAEHNERT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Arial" w:cs="Arial" w:eastAsia="Arial" w:hAnsi="Arial"/>
                <w:sz w:val="14"/>
                <w:szCs w:val="14"/>
                <w:b w:val="1"/>
                <w:bCs w:val="1"/>
                <w:color w:val="auto"/>
                <w:w w:val="98"/>
              </w:rPr>
              <w:t>Frank M. Jaehnert</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340" w:type="dxa"/>
            <w:vAlign w:val="bottom"/>
          </w:tcPr>
          <w:p>
            <w:pPr>
              <w:ind w:left="1200"/>
              <w:spacing w:after="0"/>
              <w:rPr>
                <w:sz w:val="20"/>
                <w:szCs w:val="20"/>
                <w:color w:val="auto"/>
              </w:rPr>
            </w:pPr>
            <w:r>
              <w:rPr>
                <w:rFonts w:ascii="Arial" w:cs="Arial" w:eastAsia="Arial" w:hAnsi="Arial"/>
                <w:sz w:val="14"/>
                <w:szCs w:val="14"/>
                <w:color w:val="auto"/>
                <w:w w:val="80"/>
              </w:rPr>
              <w:t>/s/</w:t>
            </w:r>
          </w:p>
        </w:tc>
        <w:tc>
          <w:tcPr>
            <w:tcW w:w="2540" w:type="dxa"/>
            <w:vAlign w:val="bottom"/>
          </w:tcPr>
          <w:p>
            <w:pPr>
              <w:jc w:val="center"/>
              <w:ind w:right="967"/>
              <w:spacing w:after="0"/>
              <w:rPr>
                <w:sz w:val="20"/>
                <w:szCs w:val="20"/>
                <w:color w:val="auto"/>
              </w:rPr>
            </w:pPr>
            <w:r>
              <w:rPr>
                <w:rFonts w:ascii="Arial" w:cs="Arial" w:eastAsia="Arial" w:hAnsi="Arial"/>
                <w:sz w:val="14"/>
                <w:szCs w:val="14"/>
                <w:color w:val="auto"/>
                <w:w w:val="98"/>
              </w:rPr>
              <w:t>JEROME J. LANDE</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Arial" w:cs="Arial" w:eastAsia="Arial" w:hAnsi="Arial"/>
                <w:sz w:val="14"/>
                <w:szCs w:val="14"/>
                <w:b w:val="1"/>
                <w:bCs w:val="1"/>
                <w:color w:val="auto"/>
                <w:w w:val="92"/>
              </w:rPr>
              <w:t>Jerome J. Lande</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340" w:type="dxa"/>
            <w:vAlign w:val="bottom"/>
          </w:tcPr>
          <w:p>
            <w:pPr>
              <w:ind w:left="1060"/>
              <w:spacing w:after="0"/>
              <w:rPr>
                <w:sz w:val="20"/>
                <w:szCs w:val="20"/>
                <w:color w:val="auto"/>
              </w:rPr>
            </w:pPr>
            <w:r>
              <w:rPr>
                <w:rFonts w:ascii="Arial" w:cs="Arial" w:eastAsia="Arial" w:hAnsi="Arial"/>
                <w:sz w:val="14"/>
                <w:szCs w:val="14"/>
                <w:color w:val="auto"/>
              </w:rPr>
              <w:t>/s/</w:t>
            </w:r>
          </w:p>
        </w:tc>
        <w:tc>
          <w:tcPr>
            <w:tcW w:w="2540" w:type="dxa"/>
            <w:vAlign w:val="bottom"/>
          </w:tcPr>
          <w:p>
            <w:pPr>
              <w:jc w:val="center"/>
              <w:ind w:right="987"/>
              <w:spacing w:after="0"/>
              <w:rPr>
                <w:sz w:val="20"/>
                <w:szCs w:val="20"/>
                <w:color w:val="auto"/>
              </w:rPr>
            </w:pPr>
            <w:r>
              <w:rPr>
                <w:rFonts w:ascii="Arial" w:cs="Arial" w:eastAsia="Arial" w:hAnsi="Arial"/>
                <w:sz w:val="14"/>
                <w:szCs w:val="14"/>
                <w:color w:val="auto"/>
              </w:rPr>
              <w:t>TIMOTHY M. LEYDEN</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8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0"/>
        </w:trPr>
        <w:tc>
          <w:tcPr>
            <w:tcW w:w="3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Timothy M. Leyden</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340" w:type="dxa"/>
            <w:vAlign w:val="bottom"/>
          </w:tcPr>
          <w:p>
            <w:pPr>
              <w:ind w:left="1200"/>
              <w:spacing w:after="0"/>
              <w:rPr>
                <w:sz w:val="20"/>
                <w:szCs w:val="20"/>
                <w:color w:val="auto"/>
              </w:rPr>
            </w:pPr>
            <w:r>
              <w:rPr>
                <w:rFonts w:ascii="Arial" w:cs="Arial" w:eastAsia="Arial" w:hAnsi="Arial"/>
                <w:sz w:val="14"/>
                <w:szCs w:val="14"/>
                <w:color w:val="auto"/>
                <w:w w:val="80"/>
              </w:rPr>
              <w:t>/s/</w:t>
            </w:r>
          </w:p>
        </w:tc>
        <w:tc>
          <w:tcPr>
            <w:tcW w:w="2540" w:type="dxa"/>
            <w:vAlign w:val="bottom"/>
          </w:tcPr>
          <w:p>
            <w:pPr>
              <w:jc w:val="center"/>
              <w:ind w:right="967"/>
              <w:spacing w:after="0"/>
              <w:rPr>
                <w:sz w:val="20"/>
                <w:szCs w:val="20"/>
                <w:color w:val="auto"/>
              </w:rPr>
            </w:pPr>
            <w:r>
              <w:rPr>
                <w:rFonts w:ascii="Arial" w:cs="Arial" w:eastAsia="Arial" w:hAnsi="Arial"/>
                <w:sz w:val="14"/>
                <w:szCs w:val="14"/>
                <w:color w:val="auto"/>
                <w:w w:val="99"/>
              </w:rPr>
              <w:t>SANTIAGO PEREZ</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2540" w:type="dxa"/>
            <w:vAlign w:val="bottom"/>
          </w:tcPr>
          <w:p>
            <w:pPr>
              <w:jc w:val="center"/>
              <w:ind w:right="1267"/>
              <w:spacing w:after="0"/>
              <w:rPr>
                <w:sz w:val="20"/>
                <w:szCs w:val="20"/>
                <w:color w:val="auto"/>
              </w:rPr>
            </w:pPr>
            <w:r>
              <w:rPr>
                <w:rFonts w:ascii="Arial" w:cs="Arial" w:eastAsia="Arial" w:hAnsi="Arial"/>
                <w:sz w:val="14"/>
                <w:szCs w:val="14"/>
                <w:b w:val="1"/>
                <w:bCs w:val="1"/>
                <w:color w:val="auto"/>
                <w:w w:val="91"/>
              </w:rPr>
              <w:t>Santiago Perez</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880" w:type="dxa"/>
            <w:vAlign w:val="bottom"/>
            <w:gridSpan w:val="2"/>
          </w:tcPr>
          <w:p>
            <w:pPr>
              <w:jc w:val="center"/>
              <w:spacing w:after="0"/>
              <w:rPr>
                <w:sz w:val="20"/>
                <w:szCs w:val="20"/>
                <w:color w:val="auto"/>
              </w:rPr>
            </w:pPr>
            <w:r>
              <w:rPr>
                <w:rFonts w:ascii="Arial" w:cs="Arial" w:eastAsia="Arial" w:hAnsi="Arial"/>
                <w:sz w:val="14"/>
                <w:szCs w:val="14"/>
                <w:color w:val="auto"/>
              </w:rPr>
              <w:t>/s/  GARY E. PRUITT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Arial" w:cs="Arial" w:eastAsia="Arial" w:hAnsi="Arial"/>
                <w:sz w:val="14"/>
                <w:szCs w:val="14"/>
                <w:b w:val="1"/>
                <w:bCs w:val="1"/>
                <w:color w:val="auto"/>
              </w:rPr>
              <w:t>Gary E. Pruitt</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340" w:type="dxa"/>
            <w:vAlign w:val="bottom"/>
          </w:tcPr>
          <w:p>
            <w:pPr>
              <w:ind w:left="1080"/>
              <w:spacing w:after="0"/>
              <w:rPr>
                <w:sz w:val="20"/>
                <w:szCs w:val="20"/>
                <w:color w:val="auto"/>
              </w:rPr>
            </w:pPr>
            <w:r>
              <w:rPr>
                <w:rFonts w:ascii="Arial" w:cs="Arial" w:eastAsia="Arial" w:hAnsi="Arial"/>
                <w:sz w:val="14"/>
                <w:szCs w:val="14"/>
                <w:color w:val="auto"/>
              </w:rPr>
              <w:t>/s/</w:t>
            </w:r>
          </w:p>
        </w:tc>
        <w:tc>
          <w:tcPr>
            <w:tcW w:w="2540" w:type="dxa"/>
            <w:vAlign w:val="bottom"/>
          </w:tcPr>
          <w:p>
            <w:pPr>
              <w:jc w:val="center"/>
              <w:ind w:right="967"/>
              <w:spacing w:after="0"/>
              <w:rPr>
                <w:sz w:val="20"/>
                <w:szCs w:val="20"/>
                <w:color w:val="auto"/>
              </w:rPr>
            </w:pPr>
            <w:r>
              <w:rPr>
                <w:rFonts w:ascii="Arial" w:cs="Arial" w:eastAsia="Arial" w:hAnsi="Arial"/>
                <w:sz w:val="14"/>
                <w:szCs w:val="14"/>
                <w:color w:val="auto"/>
              </w:rPr>
              <w:t>DIANA D. TREMBLAY</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Chair of the Board</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Arial" w:cs="Arial" w:eastAsia="Arial" w:hAnsi="Arial"/>
                <w:sz w:val="14"/>
                <w:szCs w:val="14"/>
                <w:b w:val="1"/>
                <w:bCs w:val="1"/>
                <w:color w:val="auto"/>
                <w:w w:val="96"/>
              </w:rPr>
              <w:t>Diana D. Tremblay</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340" w:type="dxa"/>
            <w:vAlign w:val="bottom"/>
          </w:tcPr>
          <w:p>
            <w:pPr>
              <w:ind w:left="1160"/>
              <w:spacing w:after="0"/>
              <w:rPr>
                <w:sz w:val="20"/>
                <w:szCs w:val="20"/>
                <w:color w:val="auto"/>
              </w:rPr>
            </w:pPr>
            <w:r>
              <w:rPr>
                <w:rFonts w:ascii="Arial" w:cs="Arial" w:eastAsia="Arial" w:hAnsi="Arial"/>
                <w:sz w:val="14"/>
                <w:szCs w:val="14"/>
                <w:color w:val="auto"/>
              </w:rPr>
              <w:t>/s/</w:t>
            </w:r>
          </w:p>
        </w:tc>
        <w:tc>
          <w:tcPr>
            <w:tcW w:w="2540" w:type="dxa"/>
            <w:vAlign w:val="bottom"/>
          </w:tcPr>
          <w:p>
            <w:pPr>
              <w:jc w:val="center"/>
              <w:ind w:right="987"/>
              <w:spacing w:after="0"/>
              <w:rPr>
                <w:sz w:val="20"/>
                <w:szCs w:val="20"/>
                <w:color w:val="auto"/>
              </w:rPr>
            </w:pPr>
            <w:r>
              <w:rPr>
                <w:rFonts w:ascii="Arial" w:cs="Arial" w:eastAsia="Arial" w:hAnsi="Arial"/>
                <w:sz w:val="14"/>
                <w:szCs w:val="14"/>
                <w:color w:val="auto"/>
              </w:rPr>
              <w:t>LYNDA L. ZIEGLER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2540" w:type="dxa"/>
            <w:vAlign w:val="bottom"/>
          </w:tcPr>
          <w:p>
            <w:pPr>
              <w:jc w:val="center"/>
              <w:ind w:right="1267"/>
              <w:spacing w:after="0"/>
              <w:rPr>
                <w:sz w:val="20"/>
                <w:szCs w:val="20"/>
                <w:color w:val="auto"/>
              </w:rPr>
            </w:pPr>
            <w:r>
              <w:rPr>
                <w:rFonts w:ascii="Arial" w:cs="Arial" w:eastAsia="Arial" w:hAnsi="Arial"/>
                <w:sz w:val="14"/>
                <w:szCs w:val="14"/>
                <w:b w:val="1"/>
                <w:bCs w:val="1"/>
                <w:color w:val="auto"/>
                <w:w w:val="96"/>
              </w:rPr>
              <w:t>Lynda L. Ziegler</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25"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43" w:lineRule="exact"/>
        <w:rPr>
          <w:sz w:val="20"/>
          <w:szCs w:val="20"/>
          <w:color w:val="auto"/>
        </w:rPr>
      </w:pPr>
    </w:p>
    <w:p>
      <w:pPr>
        <w:jc w:val="both"/>
        <w:ind w:firstLine="648"/>
        <w:spacing w:after="0" w:line="213" w:lineRule="exact"/>
        <w:rPr>
          <w:sz w:val="20"/>
          <w:szCs w:val="20"/>
          <w:color w:val="auto"/>
        </w:rPr>
      </w:pPr>
      <w:r>
        <w:rPr>
          <w:rFonts w:ascii="Arial" w:cs="Arial" w:eastAsia="Arial" w:hAnsi="Arial"/>
          <w:sz w:val="18"/>
          <w:szCs w:val="18"/>
          <w:color w:val="auto"/>
        </w:rPr>
        <w:t>The following description of the Company’s common stock is based upon the Company’s Amended and Restated Articles of Incorporation (“Articles”), the Company’s Amended and Restated Bylaws (“Bylaws”) and applicable provisions of law. We have summarized certain portions of the Articles and Bylaws below. The summary is not complete and is subject to, and is qualified in its entirety by express reference to, the provisions of our Articles and Bylaws, each of which is filed as an exhibit on Form 8</w:t>
      </w:r>
      <w:r>
        <w:rPr>
          <w:rFonts w:ascii="MS PGothic" w:cs="MS PGothic" w:eastAsia="MS PGothic" w:hAnsi="MS PGothic"/>
          <w:sz w:val="18"/>
          <w:szCs w:val="18"/>
          <w:color w:val="auto"/>
        </w:rPr>
        <w:t>‑</w:t>
      </w:r>
      <w:r>
        <w:rPr>
          <w:rFonts w:ascii="Arial" w:cs="Arial" w:eastAsia="Arial" w:hAnsi="Arial"/>
          <w:sz w:val="18"/>
          <w:szCs w:val="18"/>
          <w:color w:val="auto"/>
        </w:rPr>
        <w:t>K of which this Exhibit 4.12 is a part.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Articles, the Company’s authorized capital stock consists of 75,000,000 shares of common stock, without par value, and 10,000,000 shares of preferred stock, without par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i w:val="1"/>
          <w:iCs w:val="1"/>
          <w:color w:val="auto"/>
        </w:rPr>
        <w:t>Common Stock Outstanding</w:t>
      </w:r>
      <w:r>
        <w:rPr>
          <w:rFonts w:ascii="Arial" w:cs="Arial" w:eastAsia="Arial" w:hAnsi="Arial"/>
          <w:sz w:val="17"/>
          <w:szCs w:val="17"/>
          <w:color w:val="auto"/>
        </w:rPr>
        <w:t>. The outstanding shares of the Company’s common stock are duly authorized, validly issued, fully paid and</w:t>
      </w:r>
      <w:r>
        <w:rPr>
          <w:rFonts w:ascii="Arial" w:cs="Arial" w:eastAsia="Arial" w:hAnsi="Arial"/>
          <w:sz w:val="17"/>
          <w:szCs w:val="17"/>
          <w:i w:val="1"/>
          <w:iCs w:val="1"/>
          <w:color w:val="auto"/>
        </w:rPr>
        <w:t xml:space="preserve"> </w:t>
      </w:r>
      <w:r>
        <w:rPr>
          <w:rFonts w:ascii="Arial" w:cs="Arial" w:eastAsia="Arial" w:hAnsi="Arial"/>
          <w:sz w:val="17"/>
          <w:szCs w:val="17"/>
          <w:color w:val="auto"/>
        </w:rPr>
        <w:t>nonassessable. The Company’s common stock is listed and principally traded on the Nasdaq Global Select Market under the ticker symbol “ITRI.”</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the prior or preferential rights of holders of our preferred stock outstanding at the time, holders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are entitled to receive dividends, if any, as may be declared from time to time by our Board of Directors out of legally available funds.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share of our common stock entitles its holder to one vote on all matters voted on by the shareholders, including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have not provided for cumulative voting for the election of directors in our Articles.</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Right to Receive Liquidation Distributions</w:t>
      </w:r>
      <w:r>
        <w:rPr>
          <w:rFonts w:ascii="Arial" w:cs="Arial" w:eastAsia="Arial" w:hAnsi="Arial"/>
          <w:sz w:val="18"/>
          <w:szCs w:val="18"/>
          <w:color w:val="auto"/>
        </w:rPr>
        <w:t>. Subject to the prior or preferential rights of holders of our preferred stock outstanding at the time,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our liquidation, dissolution, or winding up, holders of our common stock will be entitled to share ratably in the net assets legally available for distribution to shareholders.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Rights and Preferences</w:t>
      </w:r>
      <w:r>
        <w:rPr>
          <w:rFonts w:ascii="Arial" w:cs="Arial" w:eastAsia="Arial" w:hAnsi="Arial"/>
          <w:sz w:val="18"/>
          <w:szCs w:val="18"/>
          <w:color w:val="auto"/>
        </w:rPr>
        <w:t>. Holders of our common stock have no preemptive or conversion rights, and there are no redemption or sinking fund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applicable to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Our Board of Directors has the authority, without further action by our shareholders,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by us could adversely affect the voting power of holders of common stock and the likelihood that such holders will receive dividend payments and payments upon liquidation. In addition, the issuance of preferred stock by us could have the effect of delaying, deferring, or preventing a change in control of our company or other corporate action. No shares of preferred stock are outstanding, and we have no present plan to issue any shares of preferred stock.</w:t>
      </w:r>
    </w:p>
    <w:p>
      <w:pPr>
        <w:sectPr>
          <w:pgSz w:w="11900" w:h="16838" w:orient="portrait"/>
          <w:cols w:equalWidth="0" w:num="1">
            <w:col w:w="11240"/>
          </w:cols>
          <w:pgMar w:left="320" w:top="125"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Anti-Takeover Provisions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provisions of our Articles and Bylaws could have the effect of delaying, deferring or preventing a change of control of our company without further action by our shareholders and may adversely affect the voting and other rights of the holders of common stock. For example, our Articles and Bylaws include provisions that:</w:t>
      </w:r>
    </w:p>
    <w:p>
      <w:pPr>
        <w:spacing w:after="0" w:line="80" w:lineRule="exact"/>
        <w:rPr>
          <w:sz w:val="20"/>
          <w:szCs w:val="20"/>
          <w:color w:val="auto"/>
        </w:rPr>
      </w:pPr>
    </w:p>
    <w:p>
      <w:pPr>
        <w:jc w:val="both"/>
        <w:ind w:left="660" w:hanging="328"/>
        <w:spacing w:after="0" w:line="253" w:lineRule="auto"/>
        <w:tabs>
          <w:tab w:leader="none" w:pos="655" w:val="left"/>
        </w:tabs>
        <w:numPr>
          <w:ilvl w:val="0"/>
          <w:numId w:val="22"/>
        </w:numPr>
        <w:rPr>
          <w:rFonts w:ascii="Arial" w:cs="Arial" w:eastAsia="Arial" w:hAnsi="Arial"/>
          <w:sz w:val="19"/>
          <w:szCs w:val="19"/>
          <w:color w:val="auto"/>
        </w:rPr>
      </w:pPr>
      <w:r>
        <w:rPr>
          <w:rFonts w:ascii="Arial" w:cs="Arial" w:eastAsia="Arial" w:hAnsi="Arial"/>
          <w:sz w:val="16"/>
          <w:szCs w:val="16"/>
          <w:color w:val="auto"/>
        </w:rPr>
        <w:t>authorize our Board of Directors to issue up to 10,000,000 shares of preferred stock and to determine the price, rights, preferences, privileges and restrictions, including voting rights, of those shares without any further vote or action by the shareholders. The rights of the holders of common stock may be subject to, and may be adversely affected by, the rights of the holders of any preferred stock that may be issued in the future;</w:t>
      </w:r>
    </w:p>
    <w:p>
      <w:pPr>
        <w:spacing w:after="0" w:line="47" w:lineRule="exact"/>
        <w:rPr>
          <w:rFonts w:ascii="Arial" w:cs="Arial" w:eastAsia="Arial" w:hAnsi="Arial"/>
          <w:sz w:val="19"/>
          <w:szCs w:val="19"/>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limit the ability of shareholders to raise matters at a meeting of shareholders without giving advance notice;</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provide that directors may only be removed for cause;</w:t>
      </w:r>
    </w:p>
    <w:p>
      <w:pPr>
        <w:spacing w:after="0" w:line="93" w:lineRule="exact"/>
        <w:rPr>
          <w:rFonts w:ascii="Arial" w:cs="Arial" w:eastAsia="Arial" w:hAnsi="Arial"/>
          <w:sz w:val="22"/>
          <w:szCs w:val="22"/>
          <w:color w:val="auto"/>
        </w:rPr>
      </w:pPr>
    </w:p>
    <w:p>
      <w:pPr>
        <w:jc w:val="both"/>
        <w:ind w:left="660" w:hanging="328"/>
        <w:spacing w:after="0" w:line="213"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set the Superior Court of Spokane County of the State of Washington as the sole and exclusive forum for (a) any derivative action or proceeding brought on behalf of the Company, (b) any action asserting a claim of breach of a fiduciary duty owed by any of our directors or officers to the Company or the Company’s shareholders, (c) any action asserting a claim against the Company arising under or pursuant to, or based on, any provision of the Washington Business Corporation Act or our Articles or Bylaws, or (d) any action asserting a claim against the Company governed by the internal affairs doctrine; and</w:t>
      </w:r>
    </w:p>
    <w:p>
      <w:pPr>
        <w:spacing w:after="0" w:line="80"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provide for a classified Board of Directors, which will generally make it more difficult for shareholders to replace a majority of our Board of Directors.</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Washington law, our Articles and Bylaws limit the ability of shareholders from acting by written consent by requiring unanimous written consent for shareholder action to be effective. Similarly, state anti-takeover laws in the State of Washington related to corporate takeovers may prevent or delay a change of control of our Company.</w:t>
      </w:r>
    </w:p>
    <w:p>
      <w:pPr>
        <w:sectPr>
          <w:pgSz w:w="11900" w:h="16838" w:orient="portrait"/>
          <w:cols w:equalWidth="0" w:num="1">
            <w:col w:w="11240"/>
          </w:cols>
          <w:pgMar w:left="320" w:top="141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SUBSIDIARIES OF THE REGISTRANT AT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Itron, Inc. Domestic Subsidiaries</w:t>
            </w:r>
          </w:p>
        </w:tc>
        <w:tc>
          <w:tcPr>
            <w:tcW w:w="1720" w:type="dxa"/>
            <w:vAlign w:val="bottom"/>
          </w:tcPr>
          <w:p>
            <w:pPr>
              <w:spacing w:after="0"/>
              <w:rPr>
                <w:sz w:val="20"/>
                <w:szCs w:val="20"/>
                <w:color w:val="auto"/>
              </w:rPr>
            </w:pPr>
            <w:r>
              <w:rPr>
                <w:rFonts w:ascii="Arial" w:cs="Arial" w:eastAsia="Arial" w:hAnsi="Arial"/>
                <w:sz w:val="18"/>
                <w:szCs w:val="18"/>
                <w:b w:val="1"/>
                <w:bCs w:val="1"/>
                <w:color w:val="auto"/>
                <w:w w:val="90"/>
              </w:rPr>
              <w:t>State of Incorporation</w:t>
            </w:r>
          </w:p>
        </w:tc>
      </w:tr>
      <w:tr>
        <w:trPr>
          <w:trHeight w:val="249"/>
        </w:trPr>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Itron International, LLC</w:t>
            </w:r>
          </w:p>
        </w:tc>
        <w:tc>
          <w:tcPr>
            <w:tcW w:w="416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Networked Solutions, Inc.</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SSN Holdings, LLC</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Global LLC dba Itron Global Trading</w:t>
            </w:r>
          </w:p>
        </w:tc>
        <w:tc>
          <w:tcPr>
            <w:tcW w:w="172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Royal Cautivo Insurance, Inc.</w:t>
            </w:r>
          </w:p>
        </w:tc>
        <w:tc>
          <w:tcPr>
            <w:tcW w:w="1720" w:type="dxa"/>
            <w:vAlign w:val="bottom"/>
          </w:tcPr>
          <w:p>
            <w:pPr>
              <w:spacing w:after="0"/>
              <w:rPr>
                <w:sz w:val="20"/>
                <w:szCs w:val="20"/>
                <w:color w:val="auto"/>
              </w:rPr>
            </w:pPr>
            <w:r>
              <w:rPr>
                <w:rFonts w:ascii="Arial" w:cs="Arial" w:eastAsia="Arial" w:hAnsi="Arial"/>
                <w:sz w:val="18"/>
                <w:szCs w:val="18"/>
                <w:color w:val="auto"/>
              </w:rPr>
              <w:t>Utah</w:t>
            </w: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Itron, Inc. International Subsidiaries</w:t>
            </w:r>
          </w:p>
        </w:tc>
        <w:tc>
          <w:tcPr>
            <w:tcW w:w="38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49"/>
        </w:trPr>
        <w:tc>
          <w:tcPr>
            <w:tcW w:w="6680" w:type="dxa"/>
            <w:vAlign w:val="bottom"/>
            <w:gridSpan w:val="2"/>
          </w:tcPr>
          <w:p>
            <w:pPr>
              <w:spacing w:after="0"/>
              <w:rPr>
                <w:sz w:val="20"/>
                <w:szCs w:val="20"/>
                <w:color w:val="auto"/>
              </w:rPr>
            </w:pPr>
            <w:r>
              <w:rPr>
                <w:rFonts w:ascii="Arial" w:cs="Arial" w:eastAsia="Arial" w:hAnsi="Arial"/>
                <w:sz w:val="18"/>
                <w:szCs w:val="18"/>
                <w:color w:val="auto"/>
              </w:rPr>
              <w:t>Itron Australasia Pty Limited</w:t>
            </w:r>
          </w:p>
        </w:tc>
        <w:tc>
          <w:tcPr>
            <w:tcW w:w="3520" w:type="dxa"/>
            <w:vAlign w:val="bottom"/>
          </w:tcPr>
          <w:p>
            <w:pPr>
              <w:spacing w:after="0"/>
              <w:rPr>
                <w:sz w:val="20"/>
                <w:szCs w:val="20"/>
                <w:color w:val="auto"/>
              </w:rPr>
            </w:pPr>
            <w:r>
              <w:rPr>
                <w:rFonts w:ascii="Arial" w:cs="Arial" w:eastAsia="Arial" w:hAnsi="Arial"/>
                <w:sz w:val="18"/>
                <w:szCs w:val="18"/>
                <w:color w:val="auto"/>
              </w:rPr>
              <w:t>Australia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Austria GmbH</w:t>
            </w:r>
          </w:p>
        </w:tc>
        <w:tc>
          <w:tcPr>
            <w:tcW w:w="3520" w:type="dxa"/>
            <w:vAlign w:val="bottom"/>
          </w:tcPr>
          <w:p>
            <w:pPr>
              <w:spacing w:after="0"/>
              <w:rPr>
                <w:sz w:val="20"/>
                <w:szCs w:val="20"/>
                <w:color w:val="auto"/>
              </w:rPr>
            </w:pPr>
            <w:r>
              <w:rPr>
                <w:rFonts w:ascii="Arial" w:cs="Arial" w:eastAsia="Arial" w:hAnsi="Arial"/>
                <w:sz w:val="18"/>
                <w:szCs w:val="18"/>
                <w:color w:val="auto"/>
              </w:rPr>
              <w:t>Austria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Belgium SA</w:t>
            </w:r>
          </w:p>
        </w:tc>
        <w:tc>
          <w:tcPr>
            <w:tcW w:w="3520" w:type="dxa"/>
            <w:vAlign w:val="bottom"/>
          </w:tcPr>
          <w:p>
            <w:pPr>
              <w:spacing w:after="0"/>
              <w:rPr>
                <w:sz w:val="20"/>
                <w:szCs w:val="20"/>
                <w:color w:val="auto"/>
              </w:rPr>
            </w:pPr>
            <w:r>
              <w:rPr>
                <w:rFonts w:ascii="Arial" w:cs="Arial" w:eastAsia="Arial" w:hAnsi="Arial"/>
                <w:sz w:val="18"/>
                <w:szCs w:val="18"/>
                <w:color w:val="auto"/>
              </w:rPr>
              <w:t>Belgium</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Canada, Inc.</w:t>
            </w:r>
          </w:p>
        </w:tc>
        <w:tc>
          <w:tcPr>
            <w:tcW w:w="3520" w:type="dxa"/>
            <w:vAlign w:val="bottom"/>
          </w:tcPr>
          <w:p>
            <w:pPr>
              <w:spacing w:after="0"/>
              <w:rPr>
                <w:sz w:val="20"/>
                <w:szCs w:val="20"/>
                <w:color w:val="auto"/>
              </w:rPr>
            </w:pPr>
            <w:r>
              <w:rPr>
                <w:rFonts w:ascii="Arial" w:cs="Arial" w:eastAsia="Arial" w:hAnsi="Arial"/>
                <w:sz w:val="18"/>
                <w:szCs w:val="18"/>
                <w:color w:val="auto"/>
              </w:rPr>
              <w:t>Canada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Silver Spring Networks International Limited</w:t>
            </w:r>
          </w:p>
        </w:tc>
        <w:tc>
          <w:tcPr>
            <w:tcW w:w="3520" w:type="dxa"/>
            <w:vAlign w:val="bottom"/>
          </w:tcPr>
          <w:p>
            <w:pPr>
              <w:spacing w:after="0"/>
              <w:rPr>
                <w:sz w:val="20"/>
                <w:szCs w:val="20"/>
                <w:color w:val="auto"/>
              </w:rPr>
            </w:pPr>
            <w:r>
              <w:rPr>
                <w:rFonts w:ascii="Arial" w:cs="Arial" w:eastAsia="Arial" w:hAnsi="Arial"/>
                <w:sz w:val="18"/>
                <w:szCs w:val="18"/>
                <w:color w:val="auto"/>
              </w:rPr>
              <w:t>Cayman Island</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(Suzhou) Co., Ltd.</w:t>
            </w:r>
          </w:p>
        </w:tc>
        <w:tc>
          <w:tcPr>
            <w:tcW w:w="352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Systems (Suzhou) Co., Ltd.</w:t>
            </w:r>
          </w:p>
        </w:tc>
        <w:tc>
          <w:tcPr>
            <w:tcW w:w="3520" w:type="dxa"/>
            <w:vAlign w:val="bottom"/>
          </w:tcPr>
          <w:p>
            <w:pPr>
              <w:spacing w:after="0"/>
              <w:rPr>
                <w:sz w:val="20"/>
                <w:szCs w:val="20"/>
                <w:color w:val="auto"/>
              </w:rPr>
            </w:pPr>
            <w:r>
              <w:rPr>
                <w:rFonts w:ascii="Arial" w:cs="Arial" w:eastAsia="Arial" w:hAnsi="Arial"/>
                <w:sz w:val="18"/>
                <w:szCs w:val="18"/>
                <w:color w:val="auto"/>
              </w:rPr>
              <w:t>China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Czech Republic s.r.o.</w:t>
            </w:r>
          </w:p>
        </w:tc>
        <w:tc>
          <w:tcPr>
            <w:tcW w:w="352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France S.A.S – Dubai U.A.E. Branch Office</w:t>
            </w:r>
          </w:p>
        </w:tc>
        <w:tc>
          <w:tcPr>
            <w:tcW w:w="3520" w:type="dxa"/>
            <w:vAlign w:val="bottom"/>
          </w:tcPr>
          <w:p>
            <w:pPr>
              <w:spacing w:after="0"/>
              <w:rPr>
                <w:sz w:val="20"/>
                <w:szCs w:val="20"/>
                <w:color w:val="auto"/>
              </w:rPr>
            </w:pPr>
            <w:r>
              <w:rPr>
                <w:rFonts w:ascii="Arial" w:cs="Arial" w:eastAsia="Arial" w:hAnsi="Arial"/>
                <w:sz w:val="18"/>
                <w:szCs w:val="18"/>
                <w:color w:val="auto"/>
              </w:rPr>
              <w:t>Dubai</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Asais S.A.S</w:t>
            </w:r>
          </w:p>
        </w:tc>
        <w:tc>
          <w:tcPr>
            <w:tcW w:w="3520" w:type="dxa"/>
            <w:vAlign w:val="bottom"/>
          </w:tcPr>
          <w:p>
            <w:pPr>
              <w:spacing w:after="0"/>
              <w:rPr>
                <w:sz w:val="20"/>
                <w:szCs w:val="20"/>
                <w:color w:val="auto"/>
              </w:rPr>
            </w:pPr>
            <w:r>
              <w:rPr>
                <w:rFonts w:ascii="Arial" w:cs="Arial" w:eastAsia="Arial" w:hAnsi="Arial"/>
                <w:sz w:val="18"/>
                <w:szCs w:val="18"/>
                <w:color w:val="auto"/>
              </w:rPr>
              <w:t>France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Asais Conseil S.A.S.</w:t>
            </w:r>
          </w:p>
        </w:tc>
        <w:tc>
          <w:tcPr>
            <w:tcW w:w="3520" w:type="dxa"/>
            <w:vAlign w:val="bottom"/>
          </w:tcPr>
          <w:p>
            <w:pPr>
              <w:spacing w:after="0"/>
              <w:rPr>
                <w:sz w:val="20"/>
                <w:szCs w:val="20"/>
                <w:color w:val="auto"/>
              </w:rPr>
            </w:pPr>
            <w:r>
              <w:rPr>
                <w:rFonts w:ascii="Arial" w:cs="Arial" w:eastAsia="Arial" w:hAnsi="Arial"/>
                <w:sz w:val="18"/>
                <w:szCs w:val="18"/>
                <w:color w:val="auto"/>
              </w:rPr>
              <w:t>France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France S.A.S.</w:t>
            </w:r>
          </w:p>
        </w:tc>
        <w:tc>
          <w:tcPr>
            <w:tcW w:w="3520" w:type="dxa"/>
            <w:vAlign w:val="bottom"/>
          </w:tcPr>
          <w:p>
            <w:pPr>
              <w:spacing w:after="0"/>
              <w:rPr>
                <w:sz w:val="20"/>
                <w:szCs w:val="20"/>
                <w:color w:val="auto"/>
              </w:rPr>
            </w:pPr>
            <w:r>
              <w:rPr>
                <w:rFonts w:ascii="Arial" w:cs="Arial" w:eastAsia="Arial" w:hAnsi="Arial"/>
                <w:sz w:val="18"/>
                <w:szCs w:val="18"/>
                <w:color w:val="auto"/>
              </w:rPr>
              <w:t>France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Holding France S.A.S.</w:t>
            </w:r>
          </w:p>
        </w:tc>
        <w:tc>
          <w:tcPr>
            <w:tcW w:w="3520" w:type="dxa"/>
            <w:vAlign w:val="bottom"/>
          </w:tcPr>
          <w:p>
            <w:pPr>
              <w:spacing w:after="0"/>
              <w:rPr>
                <w:sz w:val="20"/>
                <w:szCs w:val="20"/>
                <w:color w:val="auto"/>
              </w:rPr>
            </w:pPr>
            <w:r>
              <w:rPr>
                <w:rFonts w:ascii="Arial" w:cs="Arial" w:eastAsia="Arial" w:hAnsi="Arial"/>
                <w:sz w:val="18"/>
                <w:szCs w:val="18"/>
                <w:color w:val="auto"/>
              </w:rPr>
              <w:t>France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Holding Germany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Zähler &amp; Systemtechnik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Unterstutzungskasse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Allmess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Unterstutzungseinrichtung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SEWA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Labs Kft</w:t>
            </w:r>
          </w:p>
        </w:tc>
        <w:tc>
          <w:tcPr>
            <w:tcW w:w="3520" w:type="dxa"/>
            <w:vAlign w:val="bottom"/>
          </w:tcPr>
          <w:p>
            <w:pPr>
              <w:spacing w:after="0"/>
              <w:rPr>
                <w:sz w:val="20"/>
                <w:szCs w:val="20"/>
                <w:color w:val="auto"/>
              </w:rPr>
            </w:pPr>
            <w:r>
              <w:rPr>
                <w:rFonts w:ascii="Arial" w:cs="Arial" w:eastAsia="Arial" w:hAnsi="Arial"/>
                <w:sz w:val="18"/>
                <w:szCs w:val="18"/>
                <w:color w:val="auto"/>
              </w:rPr>
              <w:t>Hungary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India Private Limited</w:t>
            </w:r>
          </w:p>
        </w:tc>
        <w:tc>
          <w:tcPr>
            <w:tcW w:w="3520" w:type="dxa"/>
            <w:vAlign w:val="bottom"/>
          </w:tcPr>
          <w:p>
            <w:pPr>
              <w:spacing w:after="0"/>
              <w:rPr>
                <w:sz w:val="20"/>
                <w:szCs w:val="20"/>
                <w:color w:val="auto"/>
              </w:rPr>
            </w:pPr>
            <w:r>
              <w:rPr>
                <w:rFonts w:ascii="Arial" w:cs="Arial" w:eastAsia="Arial" w:hAnsi="Arial"/>
                <w:sz w:val="18"/>
                <w:szCs w:val="18"/>
                <w:color w:val="auto"/>
              </w:rPr>
              <w:t>India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India Private Limited</w:t>
            </w:r>
          </w:p>
        </w:tc>
        <w:tc>
          <w:tcPr>
            <w:tcW w:w="3520" w:type="dxa"/>
            <w:vAlign w:val="bottom"/>
          </w:tcPr>
          <w:p>
            <w:pPr>
              <w:spacing w:after="0"/>
              <w:rPr>
                <w:sz w:val="20"/>
                <w:szCs w:val="20"/>
                <w:color w:val="auto"/>
              </w:rPr>
            </w:pPr>
            <w:r>
              <w:rPr>
                <w:rFonts w:ascii="Arial" w:cs="Arial" w:eastAsia="Arial" w:hAnsi="Arial"/>
                <w:sz w:val="18"/>
                <w:szCs w:val="18"/>
                <w:color w:val="auto"/>
              </w:rPr>
              <w:t>India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Silver Spring Networks India LLP</w:t>
            </w:r>
          </w:p>
        </w:tc>
        <w:tc>
          <w:tcPr>
            <w:tcW w:w="3520" w:type="dxa"/>
            <w:vAlign w:val="bottom"/>
          </w:tcPr>
          <w:p>
            <w:pPr>
              <w:spacing w:after="0"/>
              <w:rPr>
                <w:sz w:val="20"/>
                <w:szCs w:val="20"/>
                <w:color w:val="auto"/>
              </w:rPr>
            </w:pPr>
            <w:r>
              <w:rPr>
                <w:rFonts w:ascii="Arial" w:cs="Arial" w:eastAsia="Arial" w:hAnsi="Arial"/>
                <w:sz w:val="18"/>
                <w:szCs w:val="18"/>
                <w:color w:val="auto"/>
              </w:rPr>
              <w:t>India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PT Mecoindo (J.V.)</w:t>
            </w:r>
          </w:p>
        </w:tc>
        <w:tc>
          <w:tcPr>
            <w:tcW w:w="3520" w:type="dxa"/>
            <w:vAlign w:val="bottom"/>
          </w:tcPr>
          <w:p>
            <w:pPr>
              <w:spacing w:after="0"/>
              <w:rPr>
                <w:sz w:val="20"/>
                <w:szCs w:val="20"/>
                <w:color w:val="auto"/>
              </w:rPr>
            </w:pPr>
            <w:r>
              <w:rPr>
                <w:rFonts w:ascii="Arial" w:cs="Arial" w:eastAsia="Arial" w:hAnsi="Arial"/>
                <w:sz w:val="18"/>
                <w:szCs w:val="18"/>
                <w:color w:val="auto"/>
              </w:rPr>
              <w:t>Indonesia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Management Services Ireland, Limited</w:t>
            </w:r>
          </w:p>
        </w:tc>
        <w:tc>
          <w:tcPr>
            <w:tcW w:w="3520" w:type="dxa"/>
            <w:vAlign w:val="bottom"/>
          </w:tcPr>
          <w:p>
            <w:pPr>
              <w:spacing w:after="0"/>
              <w:rPr>
                <w:sz w:val="20"/>
                <w:szCs w:val="20"/>
                <w:color w:val="auto"/>
              </w:rPr>
            </w:pPr>
            <w:r>
              <w:rPr>
                <w:rFonts w:ascii="Arial" w:cs="Arial" w:eastAsia="Arial" w:hAnsi="Arial"/>
                <w:sz w:val="18"/>
                <w:szCs w:val="18"/>
                <w:color w:val="auto"/>
              </w:rPr>
              <w:t>Ireland</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Temetra Limited</w:t>
            </w:r>
          </w:p>
        </w:tc>
        <w:tc>
          <w:tcPr>
            <w:tcW w:w="3520" w:type="dxa"/>
            <w:vAlign w:val="bottom"/>
          </w:tcPr>
          <w:p>
            <w:pPr>
              <w:spacing w:after="0"/>
              <w:rPr>
                <w:sz w:val="20"/>
                <w:szCs w:val="20"/>
                <w:color w:val="auto"/>
              </w:rPr>
            </w:pPr>
            <w:r>
              <w:rPr>
                <w:rFonts w:ascii="Arial" w:cs="Arial" w:eastAsia="Arial" w:hAnsi="Arial"/>
                <w:sz w:val="18"/>
                <w:szCs w:val="18"/>
                <w:color w:val="auto"/>
              </w:rPr>
              <w:t>Ireland</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Italia SpA</w:t>
            </w:r>
          </w:p>
        </w:tc>
        <w:tc>
          <w:tcPr>
            <w:tcW w:w="3520" w:type="dxa"/>
            <w:vAlign w:val="bottom"/>
          </w:tcPr>
          <w:p>
            <w:pPr>
              <w:spacing w:after="0"/>
              <w:rPr>
                <w:sz w:val="20"/>
                <w:szCs w:val="20"/>
                <w:color w:val="auto"/>
              </w:rPr>
            </w:pPr>
            <w:r>
              <w:rPr>
                <w:rFonts w:ascii="Arial" w:cs="Arial" w:eastAsia="Arial" w:hAnsi="Arial"/>
                <w:sz w:val="18"/>
                <w:szCs w:val="18"/>
                <w:color w:val="auto"/>
              </w:rPr>
              <w:t>Italy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Japan Co., Ltd.</w:t>
            </w:r>
          </w:p>
        </w:tc>
        <w:tc>
          <w:tcPr>
            <w:tcW w:w="3520" w:type="dxa"/>
            <w:vAlign w:val="bottom"/>
          </w:tcPr>
          <w:p>
            <w:pPr>
              <w:spacing w:after="0"/>
              <w:rPr>
                <w:sz w:val="20"/>
                <w:szCs w:val="20"/>
                <w:color w:val="auto"/>
              </w:rPr>
            </w:pPr>
            <w:r>
              <w:rPr>
                <w:rFonts w:ascii="Arial" w:cs="Arial" w:eastAsia="Arial" w:hAnsi="Arial"/>
                <w:sz w:val="18"/>
                <w:szCs w:val="18"/>
                <w:color w:val="auto"/>
              </w:rPr>
              <w:t>Japan</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Luxembourg SARL</w:t>
            </w:r>
          </w:p>
        </w:tc>
        <w:tc>
          <w:tcPr>
            <w:tcW w:w="3520" w:type="dxa"/>
            <w:vAlign w:val="bottom"/>
          </w:tcPr>
          <w:p>
            <w:pPr>
              <w:spacing w:after="0"/>
              <w:rPr>
                <w:sz w:val="20"/>
                <w:szCs w:val="20"/>
                <w:color w:val="auto"/>
              </w:rPr>
            </w:pPr>
            <w:r>
              <w:rPr>
                <w:rFonts w:ascii="Arial" w:cs="Arial" w:eastAsia="Arial" w:hAnsi="Arial"/>
                <w:sz w:val="18"/>
                <w:szCs w:val="18"/>
                <w:color w:val="auto"/>
              </w:rPr>
              <w:t>Luxembourg</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Global SARL</w:t>
            </w:r>
          </w:p>
        </w:tc>
        <w:tc>
          <w:tcPr>
            <w:tcW w:w="3520" w:type="dxa"/>
            <w:vAlign w:val="bottom"/>
          </w:tcPr>
          <w:p>
            <w:pPr>
              <w:spacing w:after="0"/>
              <w:rPr>
                <w:sz w:val="20"/>
                <w:szCs w:val="20"/>
                <w:color w:val="auto"/>
              </w:rPr>
            </w:pPr>
            <w:r>
              <w:rPr>
                <w:rFonts w:ascii="Arial" w:cs="Arial" w:eastAsia="Arial" w:hAnsi="Arial"/>
                <w:sz w:val="18"/>
                <w:szCs w:val="18"/>
                <w:color w:val="auto"/>
              </w:rPr>
              <w:t>Luxembourg</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Metertek Sdn Bhd (J.V. 100% indirectly owned)</w:t>
            </w:r>
          </w:p>
        </w:tc>
        <w:tc>
          <w:tcPr>
            <w:tcW w:w="3520" w:type="dxa"/>
            <w:vAlign w:val="bottom"/>
          </w:tcPr>
          <w:p>
            <w:pPr>
              <w:spacing w:after="0"/>
              <w:rPr>
                <w:sz w:val="20"/>
                <w:szCs w:val="20"/>
                <w:color w:val="auto"/>
              </w:rPr>
            </w:pPr>
            <w:r>
              <w:rPr>
                <w:rFonts w:ascii="Arial" w:cs="Arial" w:eastAsia="Arial" w:hAnsi="Arial"/>
                <w:sz w:val="18"/>
                <w:szCs w:val="18"/>
                <w:color w:val="auto"/>
              </w:rPr>
              <w:t>Malaysia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Servicios, S.A. de C.V.</w:t>
            </w:r>
          </w:p>
        </w:tc>
        <w:tc>
          <w:tcPr>
            <w:tcW w:w="3520" w:type="dxa"/>
            <w:vAlign w:val="bottom"/>
          </w:tcPr>
          <w:p>
            <w:pPr>
              <w:spacing w:after="0"/>
              <w:rPr>
                <w:sz w:val="20"/>
                <w:szCs w:val="20"/>
                <w:color w:val="auto"/>
              </w:rPr>
            </w:pPr>
            <w:r>
              <w:rPr>
                <w:rFonts w:ascii="Arial" w:cs="Arial" w:eastAsia="Arial" w:hAnsi="Arial"/>
                <w:sz w:val="18"/>
                <w:szCs w:val="18"/>
                <w:color w:val="auto"/>
              </w:rPr>
              <w:t>Mexico</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352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New Zealand Limited</w:t>
            </w:r>
          </w:p>
        </w:tc>
        <w:tc>
          <w:tcPr>
            <w:tcW w:w="3520" w:type="dxa"/>
            <w:vAlign w:val="bottom"/>
          </w:tcPr>
          <w:p>
            <w:pPr>
              <w:spacing w:after="0"/>
              <w:rPr>
                <w:sz w:val="20"/>
                <w:szCs w:val="20"/>
                <w:color w:val="auto"/>
              </w:rPr>
            </w:pPr>
            <w:r>
              <w:rPr>
                <w:rFonts w:ascii="Arial" w:cs="Arial" w:eastAsia="Arial" w:hAnsi="Arial"/>
                <w:sz w:val="18"/>
                <w:szCs w:val="18"/>
                <w:color w:val="auto"/>
              </w:rPr>
              <w:t>New Zealand</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3520" w:type="dxa"/>
            <w:vAlign w:val="bottom"/>
          </w:tcPr>
          <w:p>
            <w:pPr>
              <w:spacing w:after="0"/>
              <w:rPr>
                <w:sz w:val="20"/>
                <w:szCs w:val="20"/>
                <w:color w:val="auto"/>
              </w:rPr>
            </w:pPr>
            <w:r>
              <w:rPr>
                <w:rFonts w:ascii="Arial" w:cs="Arial" w:eastAsia="Arial" w:hAnsi="Arial"/>
                <w:sz w:val="18"/>
                <w:szCs w:val="18"/>
                <w:color w:val="auto"/>
              </w:rPr>
              <w:t>Poland</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3520" w:type="dxa"/>
            <w:vAlign w:val="bottom"/>
          </w:tcPr>
          <w:p>
            <w:pPr>
              <w:spacing w:after="0"/>
              <w:rPr>
                <w:sz w:val="20"/>
                <w:szCs w:val="20"/>
                <w:color w:val="auto"/>
              </w:rPr>
            </w:pPr>
            <w:r>
              <w:rPr>
                <w:rFonts w:ascii="Arial" w:cs="Arial" w:eastAsia="Arial" w:hAnsi="Arial"/>
                <w:sz w:val="18"/>
                <w:szCs w:val="18"/>
                <w:color w:val="auto"/>
              </w:rPr>
              <w:t>Portugal</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3520" w:type="dxa"/>
            <w:vAlign w:val="bottom"/>
          </w:tcPr>
          <w:p>
            <w:pPr>
              <w:spacing w:after="0"/>
              <w:rPr>
                <w:sz w:val="20"/>
                <w:szCs w:val="20"/>
                <w:color w:val="auto"/>
              </w:rPr>
            </w:pPr>
            <w:r>
              <w:rPr>
                <w:rFonts w:ascii="Arial" w:cs="Arial" w:eastAsia="Arial" w:hAnsi="Arial"/>
                <w:sz w:val="18"/>
                <w:szCs w:val="18"/>
                <w:color w:val="auto"/>
              </w:rPr>
              <w:t>Portugal</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3520" w:type="dxa"/>
            <w:vAlign w:val="bottom"/>
          </w:tcPr>
          <w:p>
            <w:pPr>
              <w:spacing w:after="0"/>
              <w:rPr>
                <w:sz w:val="20"/>
                <w:szCs w:val="20"/>
                <w:color w:val="auto"/>
              </w:rPr>
            </w:pPr>
            <w:r>
              <w:rPr>
                <w:rFonts w:ascii="Arial" w:cs="Arial" w:eastAsia="Arial" w:hAnsi="Arial"/>
                <w:sz w:val="18"/>
                <w:szCs w:val="18"/>
                <w:color w:val="auto"/>
              </w:rPr>
              <w:t>Portugal</w:t>
            </w:r>
          </w:p>
        </w:tc>
      </w:tr>
    </w:tbl>
    <w:p>
      <w:pPr>
        <w:sectPr>
          <w:pgSz w:w="11900" w:h="16838" w:orient="portrait"/>
          <w:cols w:equalWidth="0" w:num="1">
            <w:col w:w="11200"/>
          </w:cols>
          <w:pgMar w:left="360" w:top="121"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Itron, Inc. International Subsidiaries</w:t>
            </w:r>
          </w:p>
        </w:tc>
        <w:tc>
          <w:tcPr>
            <w:tcW w:w="38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49"/>
        </w:trPr>
        <w:tc>
          <w:tcPr>
            <w:tcW w:w="668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3520" w:type="dxa"/>
            <w:vAlign w:val="bottom"/>
          </w:tcPr>
          <w:p>
            <w:pPr>
              <w:spacing w:after="0"/>
              <w:rPr>
                <w:sz w:val="20"/>
                <w:szCs w:val="20"/>
                <w:color w:val="auto"/>
              </w:rPr>
            </w:pPr>
            <w:r>
              <w:rPr>
                <w:rFonts w:ascii="Arial" w:cs="Arial" w:eastAsia="Arial" w:hAnsi="Arial"/>
                <w:sz w:val="18"/>
                <w:szCs w:val="18"/>
                <w:color w:val="auto"/>
              </w:rPr>
              <w:t>Republic of South Africa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3520" w:type="dxa"/>
            <w:vAlign w:val="bottom"/>
          </w:tcPr>
          <w:p>
            <w:pPr>
              <w:spacing w:after="0"/>
              <w:rPr>
                <w:sz w:val="20"/>
                <w:szCs w:val="20"/>
                <w:color w:val="auto"/>
              </w:rPr>
            </w:pPr>
            <w:r>
              <w:rPr>
                <w:rFonts w:ascii="Arial" w:cs="Arial" w:eastAsia="Arial" w:hAnsi="Arial"/>
                <w:sz w:val="18"/>
                <w:szCs w:val="18"/>
                <w:color w:val="auto"/>
              </w:rPr>
              <w:t>Russia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Belgium (Rwandan Branch Office)</w:t>
            </w:r>
          </w:p>
        </w:tc>
        <w:tc>
          <w:tcPr>
            <w:tcW w:w="3520" w:type="dxa"/>
            <w:vAlign w:val="bottom"/>
          </w:tcPr>
          <w:p>
            <w:pPr>
              <w:spacing w:after="0"/>
              <w:rPr>
                <w:sz w:val="20"/>
                <w:szCs w:val="20"/>
                <w:color w:val="auto"/>
              </w:rPr>
            </w:pPr>
            <w:r>
              <w:rPr>
                <w:rFonts w:ascii="Arial" w:cs="Arial" w:eastAsia="Arial" w:hAnsi="Arial"/>
                <w:sz w:val="18"/>
                <w:szCs w:val="18"/>
                <w:color w:val="auto"/>
              </w:rPr>
              <w:t>Rwanda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3520" w:type="dxa"/>
            <w:vAlign w:val="bottom"/>
          </w:tcPr>
          <w:p>
            <w:pPr>
              <w:spacing w:after="0"/>
              <w:rPr>
                <w:sz w:val="20"/>
                <w:szCs w:val="20"/>
                <w:color w:val="auto"/>
              </w:rPr>
            </w:pPr>
            <w:r>
              <w:rPr>
                <w:rFonts w:ascii="Arial" w:cs="Arial" w:eastAsia="Arial" w:hAnsi="Arial"/>
                <w:sz w:val="18"/>
                <w:szCs w:val="18"/>
                <w:color w:val="auto"/>
              </w:rPr>
              <w:t>Singapore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3520" w:type="dxa"/>
            <w:vAlign w:val="bottom"/>
          </w:tcPr>
          <w:p>
            <w:pPr>
              <w:spacing w:after="0"/>
              <w:rPr>
                <w:sz w:val="20"/>
                <w:szCs w:val="20"/>
                <w:color w:val="auto"/>
              </w:rPr>
            </w:pPr>
            <w:r>
              <w:rPr>
                <w:rFonts w:ascii="Arial" w:cs="Arial" w:eastAsia="Arial" w:hAnsi="Arial"/>
                <w:sz w:val="18"/>
                <w:szCs w:val="18"/>
                <w:color w:val="auto"/>
              </w:rPr>
              <w:t>Spain</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3520" w:type="dxa"/>
            <w:vAlign w:val="bottom"/>
          </w:tcPr>
          <w:p>
            <w:pPr>
              <w:spacing w:after="0"/>
              <w:rPr>
                <w:sz w:val="20"/>
                <w:szCs w:val="20"/>
                <w:color w:val="auto"/>
              </w:rPr>
            </w:pPr>
            <w:r>
              <w:rPr>
                <w:rFonts w:ascii="Arial" w:cs="Arial" w:eastAsia="Arial" w:hAnsi="Arial"/>
                <w:sz w:val="18"/>
                <w:szCs w:val="18"/>
                <w:color w:val="auto"/>
              </w:rPr>
              <w:t>Sweden</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(Thailand) Co. Ltd.</w:t>
            </w:r>
          </w:p>
        </w:tc>
        <w:tc>
          <w:tcPr>
            <w:tcW w:w="3520" w:type="dxa"/>
            <w:vAlign w:val="bottom"/>
          </w:tcPr>
          <w:p>
            <w:pPr>
              <w:spacing w:after="0"/>
              <w:rPr>
                <w:sz w:val="20"/>
                <w:szCs w:val="20"/>
                <w:color w:val="auto"/>
              </w:rPr>
            </w:pPr>
            <w:r>
              <w:rPr>
                <w:rFonts w:ascii="Arial" w:cs="Arial" w:eastAsia="Arial" w:hAnsi="Arial"/>
                <w:sz w:val="18"/>
                <w:szCs w:val="18"/>
                <w:color w:val="auto"/>
              </w:rPr>
              <w:t>Thailand</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3520" w:type="dxa"/>
            <w:vAlign w:val="bottom"/>
          </w:tcPr>
          <w:p>
            <w:pPr>
              <w:spacing w:after="0"/>
              <w:rPr>
                <w:sz w:val="20"/>
                <w:szCs w:val="20"/>
                <w:color w:val="auto"/>
              </w:rPr>
            </w:pPr>
            <w:r>
              <w:rPr>
                <w:rFonts w:ascii="Arial" w:cs="Arial" w:eastAsia="Arial" w:hAnsi="Arial"/>
                <w:sz w:val="18"/>
                <w:szCs w:val="18"/>
                <w:color w:val="auto"/>
              </w:rPr>
              <w:t>Ukraine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3520" w:type="dxa"/>
            <w:vAlign w:val="bottom"/>
          </w:tcPr>
          <w:p>
            <w:pPr>
              <w:spacing w:after="0"/>
              <w:rPr>
                <w:sz w:val="20"/>
                <w:szCs w:val="20"/>
                <w:color w:val="auto"/>
              </w:rPr>
            </w:pPr>
            <w:r>
              <w:rPr>
                <w:rFonts w:ascii="Arial" w:cs="Arial" w:eastAsia="Arial" w:hAnsi="Arial"/>
                <w:sz w:val="18"/>
                <w:szCs w:val="18"/>
                <w:color w:val="auto"/>
              </w:rPr>
              <w:t>Ukraine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00"/>
          </w:cols>
          <w:pgMar w:left="360" w:top="918" w:right="1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consent to the incorporation by reference in Registration Statement No. 333-253986 on Form S-3, and Nos. 333-40356, 333-89966, 333-97571, 333-110703, 333-115987, 333-125461, 333-134749, 333-143048, 333-166601, 333-181685, 333-193970, 333-195633, 333-218086, 333-222480, and 333-226020 on Form S-8 of our reports dated February 27, 2023, relating to the financial statements of Itron, Inc. and the effectiveness of the Itron, Inc.'s internal control over financial reporting appearing in this Annual Report on Form 10-K for the year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3" w:lineRule="auto"/>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 w:lineRule="exact"/>
        <w:rPr>
          <w:sz w:val="20"/>
          <w:szCs w:val="20"/>
          <w:color w:val="auto"/>
        </w:rPr>
      </w:pPr>
    </w:p>
    <w:p>
      <w:pPr>
        <w:jc w:val="center"/>
        <w:ind w:right="6340"/>
        <w:spacing w:after="0"/>
        <w:rPr>
          <w:sz w:val="20"/>
          <w:szCs w:val="20"/>
          <w:color w:val="auto"/>
        </w:rPr>
      </w:pPr>
      <w:r>
        <w:rPr>
          <w:rFonts w:ascii="Arial" w:cs="Arial" w:eastAsia="Arial" w:hAnsi="Arial"/>
          <w:sz w:val="18"/>
          <w:szCs w:val="18"/>
          <w:b w:val="1"/>
          <w:bCs w:val="1"/>
          <w:color w:val="auto"/>
        </w:rPr>
        <w:t>Thomas L. Deitrich</w:t>
      </w:r>
    </w:p>
    <w:p>
      <w:pPr>
        <w:jc w:val="center"/>
        <w:ind w:right="63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60"/>
        <w:spacing w:after="0"/>
        <w:tabs>
          <w:tab w:leader="none" w:pos="2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32404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2" w:lineRule="exact"/>
        <w:rPr>
          <w:sz w:val="20"/>
          <w:szCs w:val="20"/>
          <w:color w:val="auto"/>
        </w:rPr>
      </w:pPr>
    </w:p>
    <w:p>
      <w:pPr>
        <w:jc w:val="center"/>
        <w:ind w:right="4760"/>
        <w:spacing w:after="0"/>
        <w:rPr>
          <w:sz w:val="20"/>
          <w:szCs w:val="20"/>
          <w:color w:val="auto"/>
        </w:rPr>
      </w:pPr>
      <w:r>
        <w:rPr>
          <w:rFonts w:ascii="Arial" w:cs="Arial" w:eastAsia="Arial" w:hAnsi="Arial"/>
          <w:sz w:val="18"/>
          <w:szCs w:val="18"/>
          <w:b w:val="1"/>
          <w:bCs w:val="1"/>
          <w:color w:val="auto"/>
        </w:rPr>
        <w:t>Joan S. Hooper</w:t>
      </w:r>
    </w:p>
    <w:p>
      <w:pPr>
        <w:spacing w:after="0" w:line="2" w:lineRule="exact"/>
        <w:rPr>
          <w:sz w:val="20"/>
          <w:szCs w:val="20"/>
          <w:color w:val="auto"/>
        </w:rPr>
      </w:pPr>
    </w:p>
    <w:p>
      <w:pPr>
        <w:jc w:val="center"/>
        <w:ind w:right="47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2022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326"/>
        <w:spacing w:after="0" w:line="277"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2486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Thomas L. Deitrich</w:t>
      </w:r>
    </w:p>
    <w:p>
      <w:pPr>
        <w:jc w:val="center"/>
        <w:ind w:righ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6" w:lineRule="exact"/>
        <w:rPr>
          <w:sz w:val="20"/>
          <w:szCs w:val="20"/>
          <w:color w:val="auto"/>
        </w:rPr>
      </w:pPr>
    </w:p>
    <w:p>
      <w:pPr>
        <w:jc w:val="center"/>
        <w:ind w:right="6020"/>
        <w:spacing w:after="0"/>
        <w:rPr>
          <w:sz w:val="20"/>
          <w:szCs w:val="20"/>
          <w:color w:val="auto"/>
        </w:rPr>
      </w:pPr>
      <w:r>
        <w:rPr>
          <w:rFonts w:ascii="Arial" w:cs="Arial" w:eastAsia="Arial" w:hAnsi="Arial"/>
          <w:sz w:val="18"/>
          <w:szCs w:val="18"/>
          <w:b w:val="1"/>
          <w:bCs w:val="1"/>
          <w:color w:val="auto"/>
        </w:rPr>
        <w:t>February 27, 2023</w:t>
      </w:r>
    </w:p>
    <w:p>
      <w:pPr>
        <w:spacing w:after="0" w:line="22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2486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jc w:val="center"/>
        <w:ind w:right="60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6" w:lineRule="exact"/>
        <w:rPr>
          <w:sz w:val="20"/>
          <w:szCs w:val="20"/>
          <w:color w:val="auto"/>
        </w:rPr>
      </w:pPr>
    </w:p>
    <w:p>
      <w:pPr>
        <w:jc w:val="center"/>
        <w:ind w:right="6020"/>
        <w:spacing w:after="0"/>
        <w:rPr>
          <w:sz w:val="20"/>
          <w:szCs w:val="20"/>
          <w:color w:val="auto"/>
        </w:rPr>
      </w:pPr>
      <w:r>
        <w:rPr>
          <w:rFonts w:ascii="Arial" w:cs="Arial" w:eastAsia="Arial" w:hAnsi="Arial"/>
          <w:sz w:val="18"/>
          <w:szCs w:val="18"/>
          <w:b w:val="1"/>
          <w:bCs w:val="1"/>
          <w:color w:val="auto"/>
        </w:rPr>
        <w:t>February 27,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upperLetter"/>
      <w:start w:val="15"/>
    </w:lvl>
  </w:abstractNum>
  <w:abstractNum w:abstractNumId="7">
    <w:nsid w:val="4E6AFB66"/>
    <w:multiLevelType w:val="hybridMultilevel"/>
    <w:lvl w:ilvl="0">
      <w:lvlJc w:val="left"/>
      <w:lvlText w:val="(%1)"/>
      <w:numFmt w:val="upperLetter"/>
      <w:start w:val="12"/>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64"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18" Type="http://schemas.openxmlformats.org/officeDocument/2006/relationships/hyperlink" Target="http://www.sec.gov/Archives/edgar/data/780571/000119312517286810/d457477dex21.htm" TargetMode="External"/><Relationship Id="rId119" Type="http://schemas.openxmlformats.org/officeDocument/2006/relationships/hyperlink" Target="http://www.sec.gov/Archives/edgar/data/780571/000103221003000460/dex31.txt" TargetMode="External"/><Relationship Id="rId120" Type="http://schemas.openxmlformats.org/officeDocument/2006/relationships/hyperlink" Target="https://www.sec.gov/Archives/edgar/data/780571/000119312522055079/d315685dex32.htm" TargetMode="External"/><Relationship Id="rId121" Type="http://schemas.openxmlformats.org/officeDocument/2006/relationships/hyperlink" Target="http://www.sec.gov/Archives/edgar/data/780571/000078057111000007/itriex-428811.htm" TargetMode="External"/><Relationship Id="rId122" Type="http://schemas.openxmlformats.org/officeDocument/2006/relationships/hyperlink" Target="http://www.sec.gov/Archives/edgar/data/780571/000078057115000024/itriex-426232015.htm" TargetMode="External"/><Relationship Id="rId123" Type="http://schemas.openxmlformats.org/officeDocument/2006/relationships/hyperlink" Target="http://www.sec.gov/Archives/edgar/data/780571/000119312517377716/d455839dex41.htm" TargetMode="External"/><Relationship Id="rId124" Type="http://schemas.openxmlformats.org/officeDocument/2006/relationships/hyperlink" Target="http://www.sec.gov/Archives/edgar/data/780571/000078057118000004/ex41secondamendedandrestat.htm" TargetMode="External"/><Relationship Id="rId125" Type="http://schemas.openxmlformats.org/officeDocument/2006/relationships/hyperlink" Target="http://www.sec.gov/Archives/edgar/data/780571/000115752319002091/a52116724ex4_1.htm" TargetMode="External"/><Relationship Id="rId126" Type="http://schemas.openxmlformats.org/officeDocument/2006/relationships/hyperlink" Target="http://www.sec.gov/Archives/edgar/data/780571/000078057120000025/itriex-4109302020.htm" TargetMode="External"/><Relationship Id="rId127" Type="http://schemas.openxmlformats.org/officeDocument/2006/relationships/hyperlink" Target="https://www.sec.gov/Archives/edgar/data/780571/000119312521079864/d143502dex103.htm" TargetMode="External"/><Relationship Id="rId128" Type="http://schemas.openxmlformats.org/officeDocument/2006/relationships/hyperlink" Target="https://www.sec.gov/Archives/edgar/data/780571/000119312521079864/d143502dex41.htm" TargetMode="External"/><Relationship Id="rId132" Type="http://schemas.openxmlformats.org/officeDocument/2006/relationships/hyperlink" Target="https://www.sec.gov/Archives/edgar/data/780571/000119312521079864/d143502dex101.htm" TargetMode="External"/><Relationship Id="rId133" Type="http://schemas.openxmlformats.org/officeDocument/2006/relationships/hyperlink" Target="http://www.sec.gov/Archives/edgar/data/780571/000119312521079864/d143502dex102.htm" TargetMode="External"/><Relationship Id="rId134" Type="http://schemas.openxmlformats.org/officeDocument/2006/relationships/hyperlink" Target="https://www.sec.gov/Archives/edgar/data/780571/000078057122000004/itriex-41312312021creditam.htm" TargetMode="External"/><Relationship Id="rId135" Type="http://schemas.openxmlformats.org/officeDocument/2006/relationships/hyperlink" Target="https://www.sec.gov/Archives/edgar/data/780571/000115752323000359/a53346520ex10_1.htm" TargetMode="External"/><Relationship Id="rId136" Type="http://schemas.openxmlformats.org/officeDocument/2006/relationships/hyperlink" Target="https://www.sec.gov/Archives/edgar/data/780571/000078057122000020/itriex-101itronsecondamend.htm" TargetMode="External"/><Relationship Id="rId137" Type="http://schemas.openxmlformats.org/officeDocument/2006/relationships/hyperlink" Target="https://www.sec.gov/Archives/edgar/data/780571/000078057122000020/itriex-102deitrichthomasci.htm" TargetMode="External"/><Relationship Id="rId138" Type="http://schemas.openxmlformats.org/officeDocument/2006/relationships/hyperlink" Target="http://www.sec.gov/Archives/edgar/data/780571/000078057100000013/0000780571-00-000013.txt" TargetMode="External"/><Relationship Id="rId139" Type="http://schemas.openxmlformats.org/officeDocument/2006/relationships/hyperlink" Target="http://www.sec.gov/Archives/edgar/data/780571/000119312514097231/d658410ddef14a.htm" TargetMode="External"/><Relationship Id="rId140" Type="http://schemas.openxmlformats.org/officeDocument/2006/relationships/hyperlink" Target="http://www.sec.gov/Archives/edgar/data/780571/000119312517095570/d291730ddef14a.htm" TargetMode="External"/><Relationship Id="rId141" Type="http://schemas.openxmlformats.org/officeDocument/2006/relationships/hyperlink" Target="http://www.sec.gov/Archives/edgar/data/780571/000078057108000042/ex_10-4.htm" TargetMode="External"/><Relationship Id="rId142" Type="http://schemas.openxmlformats.org/officeDocument/2006/relationships/hyperlink" Target="http://www.sec.gov/Archives/edgar/data/780571/000078057110000002/exhibit_10-6.htm" TargetMode="External"/><Relationship Id="rId143" Type="http://schemas.openxmlformats.org/officeDocument/2006/relationships/hyperlink" Target="http://www.sec.gov/Archives/edgar/data/780571/000078057110000002/exhibit_10-4.htm" TargetMode="External"/><Relationship Id="rId144" Type="http://schemas.openxmlformats.org/officeDocument/2006/relationships/hyperlink" Target="http://www.sec.gov/Archives/edgar/data/780571/000078057114000027/itriex-10463014.htm" TargetMode="External"/><Relationship Id="rId145" Type="http://schemas.openxmlformats.org/officeDocument/2006/relationships/hyperlink" Target="http://www.sec.gov/Archives/edgar/data/780571/000119312511045950/dex1019.htm" TargetMode="External"/><Relationship Id="rId149" Type="http://schemas.openxmlformats.org/officeDocument/2006/relationships/hyperlink" Target="http://www.sec.gov/Archives/edgar/data/780571/000078057114000027/itriex-10263014.htm" TargetMode="External"/><Relationship Id="rId150" Type="http://schemas.openxmlformats.org/officeDocument/2006/relationships/hyperlink" Target="http://www.sec.gov/Archives/edgar/data/780571/000078057113000017/itriex-10333113.htm" TargetMode="External"/><Relationship Id="rId151" Type="http://schemas.openxmlformats.org/officeDocument/2006/relationships/hyperlink" Target="http://www.sec.gov/Archives/edgar/data/780571/000078057114000027/itriex-10163014.htm" TargetMode="External"/><Relationship Id="rId152" Type="http://schemas.openxmlformats.org/officeDocument/2006/relationships/hyperlink" Target="http://www.sec.gov/Archives/edgar/data/780571/000078057116000072/itriex-10109302016.htm" TargetMode="External"/><Relationship Id="rId153" Type="http://schemas.openxmlformats.org/officeDocument/2006/relationships/hyperlink" Target="http://www.sec.gov/Archives/edgar/data/780571/000078057121000009/itriex-102120201231exespp.htm" TargetMode="External"/><Relationship Id="rId154" Type="http://schemas.openxmlformats.org/officeDocument/2006/relationships/hyperlink" Target="http://www.sec.gov/Archives/edgar/data/780571/000078057115000037/itriex101cooperationagreem.htm" TargetMode="External"/><Relationship Id="rId155" Type="http://schemas.openxmlformats.org/officeDocument/2006/relationships/hyperlink" Target="http://www.sec.gov/Archives/edgar/data/780571/000078057116000072/itriex-10209302016.htm" TargetMode="External"/><Relationship Id="rId156" Type="http://schemas.openxmlformats.org/officeDocument/2006/relationships/hyperlink" Target="http://www.sec.gov/Archives/edgar/data/780571/000078057117000031/itriex-1011112017.htm" TargetMode="External"/><Relationship Id="rId157" Type="http://schemas.openxmlformats.org/officeDocument/2006/relationships/hyperlink" Target="http://www.sec.gov/Archives/edgar/data/780571/000078057117000010/itriex-10103312017isonsoop.htm" TargetMode="External"/><Relationship Id="rId158" Type="http://schemas.openxmlformats.org/officeDocument/2006/relationships/hyperlink" Target="http://www.sec.gov/Archives/edgar/data/780571/000078057117000010/itriex-10203312017ltprsuag.htm" TargetMode="External"/><Relationship Id="rId159" Type="http://schemas.openxmlformats.org/officeDocument/2006/relationships/hyperlink" Target="http://www.sec.gov/Archives/edgar/data/780571/000078057117000010/itriex-10303312017rsuagree.htm" TargetMode="External"/><Relationship Id="rId160" Type="http://schemas.openxmlformats.org/officeDocument/2006/relationships/hyperlink" Target="http://www.sec.gov/Archives/edgar/data/780571/000078057119000007/itriex-1032f2018stocko.htm" TargetMode="External"/><Relationship Id="rId161" Type="http://schemas.openxmlformats.org/officeDocument/2006/relationships/hyperlink" Target="http://www.sec.gov/Archives/edgar/data/780571/000078057119000007/itriex-1033f2018psu.htm" TargetMode="External"/><Relationship Id="rId162" Type="http://schemas.openxmlformats.org/officeDocument/2006/relationships/hyperlink" Target="http://www.sec.gov/Archives/edgar/data/780571/000078057119000007/itriex-1034f20181xyear.htm" TargetMode="External"/><Relationship Id="rId163" Type="http://schemas.openxmlformats.org/officeDocument/2006/relationships/hyperlink" Target="http://www.sec.gov/Archives/edgar/data/780571/000078057119000007/itriex-1035f20182xyear.htm" TargetMode="External"/><Relationship Id="rId165" Type="http://schemas.openxmlformats.org/officeDocument/2006/relationships/hyperlink" Target="http://www.sec.gov/Archives/edgar/data/780571/000078057119000007/itriex-1036f20183xyear.htm" TargetMode="External"/><Relationship Id="rId166" Type="http://schemas.openxmlformats.org/officeDocument/2006/relationships/hyperlink" Target="http://www.sec.gov/Archives/edgar/data/780571/000115752319001549/a52016210ex10_1.htm" TargetMode="External"/><Relationship Id="rId167" Type="http://schemas.openxmlformats.org/officeDocument/2006/relationships/hyperlink" Target="http://www.sec.gov/Archives/edgar/data/780571/000078057120000004/itriex-103912312019.htm" TargetMode="External"/><Relationship Id="rId168" Type="http://schemas.openxmlformats.org/officeDocument/2006/relationships/hyperlink" Target="http://www.sec.gov/Archives/edgar/data/780571/000078057121000009/itriex-103620201231exrsuaw.htm" TargetMode="External"/><Relationship Id="rId169" Type="http://schemas.openxmlformats.org/officeDocument/2006/relationships/hyperlink" Target="https://www.sec.gov/Archives/edgar/data/780571/000078057122000004/itriex-10362022iipsummary_.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2023-02-27T19:39:06Z</dcterms:created>
  <dcterms:modified xsi:type="dcterms:W3CDTF">2023-02-27T19:39:06Z</dcterms:modified>
</cp:coreProperties>
</file>