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Itron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465741106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04-3276558</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2,326,800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2,326,800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3,015,500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7.7%</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Inc.</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04-3276549</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w w:val="87"/>
              </w:rPr>
              <w:t>2,326,800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2,326,800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3,015,500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7.7%</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3" w:name="page4"/>
    <w:bookmarkEnd w:id="3"/>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256"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Itron</w:t>
      </w:r>
    </w:p>
    <w:p>
      <w:pPr>
        <w:spacing w:after="0" w:line="8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Associates L.P. ("Harris")</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Harris Associates Inc. ("General Partner")</w:t>
      </w:r>
    </w:p>
    <w:p>
      <w:pPr>
        <w:spacing w:after="0" w:line="10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780" w:right="338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Both Harris and the General Partner maintain their principal offices at: 111 S. Wacker Drive, Suite 4600, Chicago IL 60606</w:t>
      </w:r>
    </w:p>
    <w:p>
      <w:pPr>
        <w:spacing w:after="0" w:line="97"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is a Delaware limited partnership.</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The General Partner is a Delaware corporation.</w:t>
      </w:r>
    </w:p>
    <w:p>
      <w:pPr>
        <w:spacing w:after="0" w:line="101"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465741106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ectPr>
          <w:pgSz w:w="11900" w:h="16867" w:orient="portrait"/>
          <w:cols w:equalWidth="0" w:num="1">
            <w:col w:w="11260"/>
          </w:cols>
          <w:pgMar w:left="320" w:top="423" w:right="319" w:bottom="0" w:gutter="0" w:footer="0" w:header="0"/>
        </w:sectPr>
      </w:pP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8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67" w:orient="portrait"/>
          <w:cols w:equalWidth="0" w:num="2">
            <w:col w:w="2080" w:space="160"/>
            <w:col w:w="9020"/>
          </w:cols>
          <w:pgMar w:left="320" w:top="423" w:right="319" w:bottom="0" w:gutter="0" w:footer="0" w:header="0"/>
          <w:type w:val="continuous"/>
        </w:sect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line="251" w:lineRule="auto"/>
        <w:rPr>
          <w:rFonts w:ascii="Arial" w:cs="Arial" w:eastAsia="Arial" w:hAnsi="Arial"/>
          <w:sz w:val="22"/>
          <w:szCs w:val="22"/>
          <w:color w:val="auto"/>
        </w:rPr>
      </w:pPr>
      <w:r>
        <w:rPr>
          <w:rFonts w:ascii="Arial" w:cs="Arial" w:eastAsia="Arial" w:hAnsi="Arial"/>
          <w:sz w:val="22"/>
          <w:szCs w:val="22"/>
          <w:color w:val="auto"/>
        </w:rPr>
        <w:t>By reason of advisory and other relationships with the person who owns the Shares, Harris may be deemed to be the beneficial owner of the following shares: 3,015,500</w:t>
      </w:r>
    </w:p>
    <w:p>
      <w:pPr>
        <w:spacing w:after="0" w:line="200" w:lineRule="exact"/>
        <w:rPr>
          <w:rFonts w:ascii="Arial" w:cs="Arial" w:eastAsia="Arial" w:hAnsi="Arial"/>
          <w:sz w:val="22"/>
          <w:szCs w:val="22"/>
          <w:color w:val="auto"/>
        </w:rPr>
      </w:pPr>
    </w:p>
    <w:p>
      <w:pPr>
        <w:ind w:left="1780" w:right="300"/>
        <w:spacing w:after="0" w:line="238" w:lineRule="auto"/>
        <w:rPr>
          <w:rFonts w:ascii="Arial" w:cs="Arial" w:eastAsia="Arial" w:hAnsi="Arial"/>
          <w:sz w:val="22"/>
          <w:szCs w:val="22"/>
          <w:color w:val="auto"/>
        </w:rPr>
      </w:pPr>
      <w:r>
        <w:rPr>
          <w:rFonts w:ascii="Arial" w:cs="Arial" w:eastAsia="Arial" w:hAnsi="Arial"/>
          <w:sz w:val="22"/>
          <w:szCs w:val="22"/>
          <w:color w:val="auto"/>
        </w:rPr>
        <w:t>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103"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7.7%</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2,326,800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20" w:type="dxa"/>
            <w:vAlign w:val="bottom"/>
          </w:tcPr>
          <w:p>
            <w:pPr>
              <w:ind w:left="146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w w:val="85"/>
              </w:rPr>
              <w:t>2,326,800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20" w:type="dxa"/>
            <w:vAlign w:val="bottom"/>
          </w:tcPr>
          <w:p>
            <w:pPr>
              <w:ind w:left="1460"/>
              <w:spacing w:after="0"/>
              <w:rPr>
                <w:sz w:val="20"/>
                <w:szCs w:val="20"/>
                <w:color w:val="auto"/>
              </w:rPr>
            </w:pPr>
            <w:r>
              <w:rPr>
                <w:rFonts w:ascii="Arial" w:cs="Arial" w:eastAsia="Arial" w:hAnsi="Arial"/>
                <w:sz w:val="22"/>
                <w:szCs w:val="22"/>
                <w:color w:val="auto"/>
              </w:rPr>
              <w:t>0</w:t>
            </w:r>
          </w:p>
        </w:tc>
      </w:tr>
    </w:tbl>
    <w:p>
      <w:pPr>
        <w:sectPr>
          <w:pgSz w:w="11900" w:h="16867" w:orient="portrait"/>
          <w:cols w:equalWidth="0" w:num="1">
            <w:col w:w="11260"/>
          </w:cols>
          <w:pgMar w:left="320" w:top="423" w:right="319" w:bottom="0" w:gutter="0" w:footer="0" w:header="0"/>
          <w:type w:val="continuous"/>
        </w:sectPr>
      </w:pPr>
    </w:p>
    <w:bookmarkStart w:id="4" w:name="page5"/>
    <w:bookmarkEnd w:id="4"/>
    <w:p>
      <w:pPr>
        <w:spacing w:after="0"/>
        <w:rPr>
          <w:sz w:val="20"/>
          <w:szCs w:val="20"/>
          <w:color w:val="auto"/>
        </w:rPr>
      </w:pPr>
      <w:r>
        <w:rPr>
          <w:rFonts w:ascii="Arial" w:cs="Arial" w:eastAsia="Arial" w:hAnsi="Arial"/>
          <w:sz w:val="19"/>
          <w:szCs w:val="19"/>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Ownership of Five Percent or Less of Class.</w:t>
      </w:r>
    </w:p>
    <w:p>
      <w:pPr>
        <w:spacing w:after="0" w:line="166" w:lineRule="exact"/>
        <w:rPr>
          <w:sz w:val="20"/>
          <w:szCs w:val="20"/>
          <w:color w:val="auto"/>
        </w:rPr>
      </w:pPr>
    </w:p>
    <w:p>
      <w:pPr>
        <w:sectPr>
          <w:pgSz w:w="11900" w:h="16838" w:orient="portrait"/>
          <w:cols w:equalWidth="0" w:num="2">
            <w:col w:w="660" w:space="720"/>
            <w:col w:w="9820"/>
          </w:cols>
          <w:pgMar w:left="320" w:top="193" w:right="379" w:bottom="1440" w:gutter="0" w:footer="0" w:header="0"/>
        </w:sectPr>
      </w:pPr>
    </w:p>
    <w:p>
      <w:pPr>
        <w:ind w:left="1380" w:right="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00"/>
          </w:cols>
          <w:pgMar w:left="320" w:top="193" w:right="37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20"/>
          </w:cols>
          <w:pgMar w:left="320" w:top="193" w:right="37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193" w:right="3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sectPr>
          <w:pgSz w:w="11900" w:h="16838" w:orient="portrait"/>
          <w:cols w:equalWidth="0" w:num="2">
            <w:col w:w="660" w:space="720"/>
            <w:col w:w="9820"/>
          </w:cols>
          <w:pgMar w:left="320" w:top="193" w:right="37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193" w:right="3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Identification and Classification of Members of the Group.</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Not Applicable. This schedule is not being filed pursuant to Rule 13d-1(b)(1)(ii)(J) or Rule 13d-1(d).</w:t>
      </w:r>
    </w:p>
    <w:p>
      <w:pPr>
        <w:spacing w:after="0" w:line="136" w:lineRule="exact"/>
        <w:rPr>
          <w:sz w:val="20"/>
          <w:szCs w:val="20"/>
          <w:color w:val="auto"/>
        </w:rPr>
      </w:pPr>
    </w:p>
    <w:p>
      <w:pPr>
        <w:sectPr>
          <w:pgSz w:w="11900" w:h="16838" w:orient="portrait"/>
          <w:cols w:equalWidth="0" w:num="2">
            <w:col w:w="660" w:space="720"/>
            <w:col w:w="9820"/>
          </w:cols>
          <w:pgMar w:left="320" w:top="193"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62" w:lineRule="exact"/>
        <w:rPr>
          <w:sz w:val="20"/>
          <w:szCs w:val="20"/>
          <w:color w:val="auto"/>
        </w:rPr>
      </w:pPr>
    </w:p>
    <w:p>
      <w:pPr>
        <w:sectPr>
          <w:pgSz w:w="11900" w:h="16838" w:orient="portrait"/>
          <w:cols w:equalWidth="0" w:num="2">
            <w:col w:w="660" w:space="720"/>
            <w:col w:w="9820"/>
          </w:cols>
          <w:pgMar w:left="320" w:top="193" w:right="37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193" w:right="37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20"/>
          </w:cols>
          <w:pgMar w:left="320" w:top="193" w:right="379" w:bottom="1440" w:gutter="0" w:footer="0" w:header="0"/>
          <w:type w:val="continuous"/>
        </w:sectPr>
      </w:pPr>
    </w:p>
    <w:p>
      <w:pPr>
        <w:spacing w:after="0" w:line="74"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93" w:right="379" w:bottom="1440" w:gutter="0" w:footer="0" w:header="0"/>
          <w:type w:val="continuous"/>
        </w:sectPr>
      </w:pPr>
    </w:p>
    <w:bookmarkStart w:id="5" w:name="page6"/>
    <w:bookmarkEnd w:id="5"/>
    <w:p>
      <w:pPr>
        <w:jc w:val="center"/>
        <w:ind w:right="-2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left="240"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/s/ Janet L. Reali</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Date: February 12, 2015</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Name: Janet L. Reali</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Title: General Counsel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 General partner of Harris Associates L.P.</w:t>
      </w:r>
    </w:p>
    <w:sectPr>
      <w:pgSz w:w="11900" w:h="16838" w:orient="portrait"/>
      <w:cols w:equalWidth="0" w:num="1">
        <w:col w:w="9259"/>
      </w:cols>
      <w:pgMar w:left="120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2019-12-05T23:08:02Z</dcterms:created>
  <dcterms:modified xsi:type="dcterms:W3CDTF">2019-12-05T23:08:02Z</dcterms:modified>
</cp:coreProperties>
</file>