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PROSPECTUS SUPPLEMENT</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FILED PURSUANT TO RULE</w:t>
            </w: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w w:val="93"/>
              </w:rPr>
              <w:t>424(B)(3)</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TO PROSPECTUS DATED JUNE 13, 1997</w:t>
            </w: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REGISTRATION NO.</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3"/>
              </w:rPr>
              <w:t>333-28451</w:t>
            </w:r>
          </w:p>
        </w:tc>
      </w:tr>
    </w:tbl>
    <w:p>
      <w:pPr>
        <w:spacing w:after="0" w:line="335"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$63,400,000</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ITRON, INC.</w:t>
      </w:r>
    </w:p>
    <w:p>
      <w:pPr>
        <w:ind w:left="1500"/>
        <w:spacing w:after="0" w:line="237" w:lineRule="auto"/>
        <w:rPr>
          <w:sz w:val="20"/>
          <w:szCs w:val="20"/>
          <w:color w:val="auto"/>
        </w:rPr>
      </w:pPr>
      <w:r>
        <w:rPr>
          <w:rFonts w:ascii="Courier New" w:cs="Courier New" w:eastAsia="Courier New" w:hAnsi="Courier New"/>
          <w:sz w:val="15"/>
          <w:szCs w:val="15"/>
          <w:color w:val="auto"/>
        </w:rPr>
        <w:t>6-3/4% Convertible Subordinated Notes Due 2004</w:t>
      </w:r>
    </w:p>
    <w:p>
      <w:pPr>
        <w:ind w:left="3420"/>
        <w:spacing w:after="0" w:line="238" w:lineRule="auto"/>
        <w:rPr>
          <w:sz w:val="20"/>
          <w:szCs w:val="20"/>
          <w:color w:val="auto"/>
        </w:rPr>
      </w:pPr>
      <w:r>
        <w:rPr>
          <w:rFonts w:ascii="Courier New" w:cs="Courier New" w:eastAsia="Courier New" w:hAnsi="Courier New"/>
          <w:sz w:val="15"/>
          <w:szCs w:val="15"/>
          <w:color w:val="auto"/>
        </w:rPr>
        <w:t>and</w:t>
      </w:r>
    </w:p>
    <w:p>
      <w:pPr>
        <w:ind w:left="2540"/>
        <w:spacing w:after="0" w:line="237" w:lineRule="auto"/>
        <w:rPr>
          <w:sz w:val="20"/>
          <w:szCs w:val="20"/>
          <w:color w:val="auto"/>
        </w:rPr>
      </w:pPr>
      <w:r>
        <w:rPr>
          <w:rFonts w:ascii="Courier New" w:cs="Courier New" w:eastAsia="Courier New" w:hAnsi="Courier New"/>
          <w:sz w:val="15"/>
          <w:szCs w:val="15"/>
          <w:color w:val="auto"/>
        </w:rPr>
        <w:t>Shares of Common Stock</w:t>
      </w:r>
    </w:p>
    <w:p>
      <w:pPr>
        <w:ind w:left="2100"/>
        <w:spacing w:after="0" w:line="238" w:lineRule="auto"/>
        <w:rPr>
          <w:sz w:val="20"/>
          <w:szCs w:val="20"/>
          <w:color w:val="auto"/>
        </w:rPr>
      </w:pPr>
      <w:r>
        <w:rPr>
          <w:rFonts w:ascii="Courier New" w:cs="Courier New" w:eastAsia="Courier New" w:hAnsi="Courier New"/>
          <w:sz w:val="15"/>
          <w:szCs w:val="15"/>
          <w:color w:val="auto"/>
        </w:rPr>
        <w:t>Issuable Upon Conversion Thereof</w:t>
      </w:r>
    </w:p>
    <w:p>
      <w:pPr>
        <w:ind w:left="3420"/>
        <w:spacing w:after="0" w:line="237" w:lineRule="auto"/>
        <w:rPr>
          <w:sz w:val="20"/>
          <w:szCs w:val="20"/>
          <w:color w:val="auto"/>
        </w:rPr>
      </w:pPr>
      <w:r>
        <w:rPr>
          <w:rFonts w:ascii="Courier New" w:cs="Courier New" w:eastAsia="Courier New" w:hAnsi="Courier New"/>
          <w:sz w:val="15"/>
          <w:szCs w:val="15"/>
          <w:color w:val="auto"/>
        </w:rPr>
        <w:t>and</w:t>
      </w:r>
    </w:p>
    <w:p>
      <w:pPr>
        <w:ind w:left="2100"/>
        <w:spacing w:after="0" w:line="238" w:lineRule="auto"/>
        <w:rPr>
          <w:sz w:val="20"/>
          <w:szCs w:val="20"/>
          <w:color w:val="auto"/>
        </w:rPr>
      </w:pPr>
      <w:r>
        <w:rPr>
          <w:rFonts w:ascii="Courier New" w:cs="Courier New" w:eastAsia="Courier New" w:hAnsi="Courier New"/>
          <w:sz w:val="15"/>
          <w:szCs w:val="15"/>
          <w:color w:val="auto"/>
        </w:rPr>
        <w:t>2,638,600 Shares of Common Stock</w:t>
      </w:r>
    </w:p>
    <w:p>
      <w:pPr>
        <w:spacing w:after="0" w:line="341" w:lineRule="exact"/>
        <w:rPr>
          <w:sz w:val="24"/>
          <w:szCs w:val="24"/>
          <w:color w:val="auto"/>
        </w:rPr>
      </w:pPr>
    </w:p>
    <w:p>
      <w:pPr>
        <w:jc w:val="both"/>
        <w:ind w:right="4540" w:firstLine="787"/>
        <w:spacing w:after="0" w:line="236" w:lineRule="auto"/>
        <w:rPr>
          <w:sz w:val="20"/>
          <w:szCs w:val="20"/>
          <w:color w:val="auto"/>
        </w:rPr>
      </w:pPr>
      <w:r>
        <w:rPr>
          <w:rFonts w:ascii="Courier New" w:cs="Courier New" w:eastAsia="Courier New" w:hAnsi="Courier New"/>
          <w:sz w:val="15"/>
          <w:szCs w:val="15"/>
          <w:color w:val="auto"/>
        </w:rPr>
        <w:t>This Prospectus Supplement relates to the resale by the holders (the "Selling Securityholders") of 6 3/4% Convertible Subordinated Notes Due 2004 (the "Notes") of Itron, Inc. (the "Company") and the shares of Common Stock, no par value (the "Common Stock"), of the Company issuable upon the conversion thereof (the "Conversion Shares").</w:t>
      </w:r>
    </w:p>
    <w:p>
      <w:pPr>
        <w:spacing w:after="0" w:line="174" w:lineRule="exact"/>
        <w:rPr>
          <w:sz w:val="24"/>
          <w:szCs w:val="24"/>
          <w:color w:val="auto"/>
        </w:rPr>
      </w:pPr>
    </w:p>
    <w:p>
      <w:pPr>
        <w:jc w:val="both"/>
        <w:ind w:right="4540" w:firstLine="787"/>
        <w:spacing w:after="0" w:line="256" w:lineRule="auto"/>
        <w:rPr>
          <w:sz w:val="20"/>
          <w:szCs w:val="20"/>
          <w:color w:val="auto"/>
        </w:rPr>
      </w:pPr>
      <w:r>
        <w:rPr>
          <w:rFonts w:ascii="Courier New" w:cs="Courier New" w:eastAsia="Courier New" w:hAnsi="Courier New"/>
          <w:sz w:val="14"/>
          <w:szCs w:val="14"/>
          <w:color w:val="auto"/>
        </w:rPr>
        <w:t>This Prospectus Supplement should be read in conjunction with the Prospectus dated June 13, 1997 (the "Prospectus"), which is to be delivered with this Prospectus Supplement. All capitalized terms used but not defined in this Prospectus Supplement shall have the meanings given them in the Prospectus.</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2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8"/>
              </w:rPr>
              <w:t>The  information</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in the table</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appearing</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under the</w:t>
            </w:r>
          </w:p>
        </w:tc>
        <w:tc>
          <w:tcPr>
            <w:tcW w:w="25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heading  "Selling</w:t>
            </w: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Securityholders"</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the</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Prospectus is</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superseded</w:t>
            </w:r>
          </w:p>
        </w:tc>
        <w:tc>
          <w:tcPr>
            <w:tcW w:w="3360" w:type="dxa"/>
            <w:vAlign w:val="bottom"/>
            <w:gridSpan w:val="3"/>
          </w:tcPr>
          <w:p>
            <w:pPr>
              <w:jc w:val="right"/>
              <w:ind w:right="807"/>
              <w:spacing w:after="0" w:line="168" w:lineRule="exact"/>
              <w:rPr>
                <w:sz w:val="20"/>
                <w:szCs w:val="20"/>
                <w:color w:val="auto"/>
              </w:rPr>
            </w:pPr>
            <w:r>
              <w:rPr>
                <w:rFonts w:ascii="Courier New" w:cs="Courier New" w:eastAsia="Courier New" w:hAnsi="Courier New"/>
                <w:sz w:val="15"/>
                <w:szCs w:val="15"/>
                <w:color w:val="auto"/>
              </w:rPr>
              <w:t>in part by the  information</w:t>
            </w: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appearing in the table below:</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05"/>
        </w:trPr>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Securities Beneficially</w:t>
            </w:r>
          </w:p>
        </w:tc>
      </w:tr>
      <w:tr>
        <w:trPr>
          <w:trHeight w:val="168"/>
        </w:trPr>
        <w:tc>
          <w:tcPr>
            <w:tcW w:w="1400" w:type="dxa"/>
            <w:vAlign w:val="bottom"/>
          </w:tcPr>
          <w:p>
            <w:pPr>
              <w:spacing w:after="0"/>
              <w:rPr>
                <w:sz w:val="14"/>
                <w:szCs w:val="14"/>
                <w:color w:val="auto"/>
              </w:rPr>
            </w:pPr>
          </w:p>
        </w:tc>
        <w:tc>
          <w:tcPr>
            <w:tcW w:w="31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Notes and Conversion Shares</w:t>
            </w:r>
          </w:p>
        </w:tc>
        <w:tc>
          <w:tcPr>
            <w:tcW w:w="860" w:type="dxa"/>
            <w:vAlign w:val="bottom"/>
          </w:tcPr>
          <w:p>
            <w:pPr>
              <w:spacing w:after="0"/>
              <w:rPr>
                <w:sz w:val="14"/>
                <w:szCs w:val="14"/>
                <w:color w:val="auto"/>
              </w:rPr>
            </w:pPr>
          </w:p>
        </w:tc>
        <w:tc>
          <w:tcPr>
            <w:tcW w:w="2500" w:type="dxa"/>
            <w:vAlign w:val="bottom"/>
            <w:gridSpan w:val="2"/>
          </w:tcPr>
          <w:p>
            <w:pPr>
              <w:jc w:val="right"/>
              <w:ind w:right="1067"/>
              <w:spacing w:after="0" w:line="168" w:lineRule="exact"/>
              <w:rPr>
                <w:sz w:val="20"/>
                <w:szCs w:val="20"/>
                <w:color w:val="auto"/>
              </w:rPr>
            </w:pPr>
            <w:r>
              <w:rPr>
                <w:rFonts w:ascii="Courier New" w:cs="Courier New" w:eastAsia="Courier New" w:hAnsi="Courier New"/>
                <w:sz w:val="15"/>
                <w:szCs w:val="15"/>
                <w:color w:val="auto"/>
              </w:rPr>
              <w:t>Shares</w:t>
            </w:r>
          </w:p>
        </w:tc>
        <w:tc>
          <w:tcPr>
            <w:tcW w:w="1580" w:type="dxa"/>
            <w:vAlign w:val="bottom"/>
          </w:tcPr>
          <w:p>
            <w:pPr>
              <w:spacing w:after="0"/>
              <w:rPr>
                <w:sz w:val="14"/>
                <w:szCs w:val="14"/>
                <w:color w:val="auto"/>
              </w:rPr>
            </w:pPr>
          </w:p>
        </w:tc>
        <w:tc>
          <w:tcPr>
            <w:tcW w:w="2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Owned After Offering</w:t>
            </w:r>
          </w:p>
        </w:tc>
      </w:tr>
      <w:tr>
        <w:trPr>
          <w:trHeight w:val="168"/>
        </w:trPr>
        <w:tc>
          <w:tcPr>
            <w:tcW w:w="1400" w:type="dxa"/>
            <w:vAlign w:val="bottom"/>
          </w:tcPr>
          <w:p>
            <w:pPr>
              <w:spacing w:after="0"/>
              <w:rPr>
                <w:sz w:val="14"/>
                <w:szCs w:val="14"/>
                <w:color w:val="auto"/>
              </w:rPr>
            </w:pPr>
          </w:p>
        </w:tc>
        <w:tc>
          <w:tcPr>
            <w:tcW w:w="10140" w:type="dxa"/>
            <w:vAlign w:val="bottom"/>
            <w:gridSpan w:val="11"/>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400" w:type="dxa"/>
            <w:vAlign w:val="bottom"/>
          </w:tcPr>
          <w:p>
            <w:pPr>
              <w:spacing w:after="0"/>
              <w:rPr>
                <w:sz w:val="14"/>
                <w:szCs w:val="14"/>
                <w:color w:val="auto"/>
              </w:rPr>
            </w:pPr>
          </w:p>
        </w:tc>
        <w:tc>
          <w:tcPr>
            <w:tcW w:w="128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Principal</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128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Amount of</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84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Notes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Number of</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Shares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Number of</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Securities to be</w:t>
            </w:r>
          </w:p>
        </w:tc>
        <w:tc>
          <w:tcPr>
            <w:tcW w:w="88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Percentage of</w:t>
            </w:r>
          </w:p>
        </w:tc>
      </w:tr>
      <w:tr>
        <w:trPr>
          <w:trHeight w:val="168"/>
        </w:trPr>
        <w:tc>
          <w:tcPr>
            <w:tcW w:w="140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Beneficially</w:t>
            </w:r>
          </w:p>
        </w:tc>
        <w:tc>
          <w:tcPr>
            <w:tcW w:w="1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Percentage</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Conversion</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Beneficially</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 that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Sold--Percentage</w:t>
            </w:r>
          </w:p>
        </w:tc>
        <w:tc>
          <w:tcPr>
            <w:tcW w:w="880" w:type="dxa"/>
            <w:vAlign w:val="bottom"/>
          </w:tcPr>
          <w:p>
            <w:pPr>
              <w:spacing w:after="0"/>
              <w:rPr>
                <w:sz w:val="14"/>
                <w:szCs w:val="14"/>
                <w:color w:val="auto"/>
              </w:rPr>
            </w:pPr>
          </w:p>
        </w:tc>
        <w:tc>
          <w:tcPr>
            <w:tcW w:w="12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Common</w:t>
            </w:r>
          </w:p>
        </w:tc>
      </w:tr>
      <w:tr>
        <w:trPr>
          <w:trHeight w:val="168"/>
        </w:trPr>
        <w:tc>
          <w:tcPr>
            <w:tcW w:w="140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Owned that</w:t>
            </w:r>
          </w:p>
        </w:tc>
        <w:tc>
          <w:tcPr>
            <w:tcW w:w="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Notes</w:t>
            </w:r>
          </w:p>
        </w:tc>
        <w:tc>
          <w:tcPr>
            <w:tcW w:w="300" w:type="dxa"/>
            <w:vAlign w:val="bottom"/>
          </w:tcPr>
          <w:p>
            <w:pPr>
              <w:spacing w:after="0"/>
              <w:rPr>
                <w:sz w:val="14"/>
                <w:szCs w:val="14"/>
                <w:color w:val="auto"/>
              </w:rPr>
            </w:pP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Shares that May</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Prior</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May Be</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Common Stock</w:t>
            </w:r>
          </w:p>
        </w:tc>
        <w:tc>
          <w:tcPr>
            <w:tcW w:w="880" w:type="dxa"/>
            <w:vAlign w:val="bottom"/>
          </w:tcPr>
          <w:p>
            <w:pPr>
              <w:spacing w:after="0"/>
              <w:rPr>
                <w:sz w:val="14"/>
                <w:szCs w:val="14"/>
                <w:color w:val="auto"/>
              </w:rPr>
            </w:pPr>
          </w:p>
        </w:tc>
        <w:tc>
          <w:tcPr>
            <w:tcW w:w="12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Stock</w:t>
            </w:r>
          </w:p>
        </w:tc>
      </w:tr>
      <w:tr>
        <w:trPr>
          <w:trHeight w:val="168"/>
        </w:trPr>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Name</w:t>
            </w:r>
          </w:p>
        </w:tc>
        <w:tc>
          <w:tcPr>
            <w:tcW w:w="128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May Be Sold</w:t>
            </w:r>
          </w:p>
        </w:tc>
        <w:tc>
          <w:tcPr>
            <w:tcW w:w="1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Outstanding</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Be Sold (1)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Offering</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Sold</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Outstanding (2)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Amount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Outstanding</w:t>
            </w:r>
          </w:p>
        </w:tc>
      </w:tr>
      <w:tr>
        <w:trPr>
          <w:trHeight w:val="505"/>
        </w:trPr>
        <w:tc>
          <w:tcPr>
            <w:tcW w:w="1400" w:type="dxa"/>
            <w:vAlign w:val="bottom"/>
          </w:tcPr>
          <w:p>
            <w:pPr>
              <w:spacing w:after="0"/>
              <w:rPr>
                <w:sz w:val="20"/>
                <w:szCs w:val="20"/>
                <w:color w:val="auto"/>
              </w:rPr>
            </w:pPr>
            <w:r>
              <w:rPr>
                <w:rFonts w:ascii="Courier New" w:cs="Courier New" w:eastAsia="Courier New" w:hAnsi="Courier New"/>
                <w:sz w:val="15"/>
                <w:szCs w:val="15"/>
                <w:color w:val="auto"/>
              </w:rPr>
              <w:t>Credit Suisse</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Boston</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12,075,000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w:t>
            </w:r>
          </w:p>
        </w:tc>
        <w:tc>
          <w:tcPr>
            <w:tcW w:w="300" w:type="dxa"/>
            <w:vAlign w:val="bottom"/>
          </w:tcPr>
          <w:p>
            <w:pPr>
              <w:spacing w:after="0"/>
              <w:rPr>
                <w:sz w:val="14"/>
                <w:szCs w:val="14"/>
                <w:color w:val="auto"/>
              </w:rPr>
            </w:pPr>
          </w:p>
        </w:tc>
        <w:tc>
          <w:tcPr>
            <w:tcW w:w="152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509,493</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 (3)</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McMahan</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300" w:type="dxa"/>
            <w:vAlign w:val="bottom"/>
          </w:tcPr>
          <w:p>
            <w:pPr>
              <w:spacing w:after="0"/>
              <w:rPr>
                <w:sz w:val="14"/>
                <w:szCs w:val="14"/>
                <w:color w:val="auto"/>
              </w:rPr>
            </w:pPr>
          </w:p>
        </w:tc>
        <w:tc>
          <w:tcPr>
            <w:tcW w:w="152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4,219</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L.P.</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Steven Hodges</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183,201</w:t>
            </w: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17,960</w:t>
            </w:r>
          </w:p>
        </w:tc>
        <w:tc>
          <w:tcPr>
            <w:tcW w:w="15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164,841</w:t>
            </w:r>
          </w:p>
        </w:tc>
        <w:tc>
          <w:tcPr>
            <w:tcW w:w="1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Julie Thomas</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w:t>
            </w: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400</w:t>
            </w:r>
          </w:p>
        </w:tc>
        <w:tc>
          <w:tcPr>
            <w:tcW w:w="15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Any other</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holder of</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or</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future</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transferee,</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4,075,000</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171,940</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pledgee, donee</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or successor</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of or from any</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such other</w:t>
      </w:r>
    </w:p>
    <w:p>
      <w:pPr>
        <w:spacing w:after="0" w:line="238" w:lineRule="auto"/>
        <w:rPr>
          <w:sz w:val="20"/>
          <w:szCs w:val="20"/>
          <w:color w:val="auto"/>
        </w:rPr>
      </w:pPr>
      <w:r>
        <w:rPr>
          <w:rFonts w:ascii="Courier New" w:cs="Courier New" w:eastAsia="Courier New" w:hAnsi="Courier New"/>
          <w:sz w:val="15"/>
          <w:szCs w:val="15"/>
          <w:color w:val="auto"/>
        </w:rPr>
        <w:t>holder.(5)(6)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 ---------------- ------------ ---------- ---------------- ------------ -------------</w:t>
      </w:r>
    </w:p>
    <w:p>
      <w:pPr>
        <w:spacing w:after="0" w:line="340" w:lineRule="exact"/>
        <w:rPr>
          <w:sz w:val="24"/>
          <w:szCs w:val="24"/>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w:t>
      </w:r>
    </w:p>
    <w:p>
      <w:pPr>
        <w:spacing w:after="0" w:line="173" w:lineRule="exact"/>
        <w:rPr>
          <w:sz w:val="24"/>
          <w:szCs w:val="24"/>
          <w:color w:val="auto"/>
        </w:rPr>
      </w:pPr>
    </w:p>
    <w:p>
      <w:pPr>
        <w:jc w:val="both"/>
        <w:ind w:right="4540" w:firstLine="10"/>
        <w:spacing w:after="0" w:line="255" w:lineRule="auto"/>
        <w:tabs>
          <w:tab w:leader="none" w:pos="43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conversion of the full amount of Notes held by such Selling Securityholder at the initial conversion price of $23.70 per share; such conversion price is subject to adjustment as described under "Description of Notes--Conversion." Accordingly, the number of shares of Common Stock issuable upon conversion of the Notes may increase or decrease from time to time. Under the terms of the Indenture, fractional shares will not be issued upon conversion of the Notes; cash will be paid in lieu of fractional shares, if any.</w:t>
      </w:r>
    </w:p>
    <w:p>
      <w:pPr>
        <w:spacing w:after="0" w:line="166" w:lineRule="exact"/>
        <w:rPr>
          <w:rFonts w:ascii="Courier New" w:cs="Courier New" w:eastAsia="Courier New" w:hAnsi="Courier New"/>
          <w:sz w:val="14"/>
          <w:szCs w:val="14"/>
          <w:color w:val="auto"/>
        </w:rPr>
      </w:pPr>
    </w:p>
    <w:p>
      <w:pPr>
        <w:jc w:val="both"/>
        <w:ind w:right="4540" w:firstLine="10"/>
        <w:spacing w:after="0" w:line="255" w:lineRule="auto"/>
        <w:tabs>
          <w:tab w:leader="none" w:pos="35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Computed in accordance with Rule 13d-3(d)(i) promulgated under the Exchange Act, and based upon 14,460,804 shares of Common Stock outstanding as of August 7, 1997, treating as outstanding the number of Conversion Shares issuable upon the assumed conversion by the named Selling Securityholder of the full amount of such Selling Securityholder's Notes, but not assuming the conversion of the Notes or the exercise of warrants of any other Selling Securityholder.</w:t>
      </w:r>
    </w:p>
    <w:p>
      <w:pPr>
        <w:spacing w:after="0" w:line="166" w:lineRule="exact"/>
        <w:rPr>
          <w:rFonts w:ascii="Courier New" w:cs="Courier New" w:eastAsia="Courier New" w:hAnsi="Courier New"/>
          <w:sz w:val="14"/>
          <w:szCs w:val="14"/>
          <w:color w:val="auto"/>
        </w:rPr>
      </w:pPr>
    </w:p>
    <w:p>
      <w:pPr>
        <w:ind w:right="4540" w:firstLine="10"/>
        <w:spacing w:after="0" w:line="234"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an additional $5,125,000 principal amount of Notes acquired after July 2, 1997.</w:t>
      </w:r>
    </w:p>
    <w:p>
      <w:pPr>
        <w:spacing w:after="0" w:line="5" w:lineRule="exact"/>
        <w:rPr>
          <w:rFonts w:ascii="Courier New" w:cs="Courier New" w:eastAsia="Courier New" w:hAnsi="Courier New"/>
          <w:sz w:val="15"/>
          <w:szCs w:val="15"/>
          <w:color w:val="auto"/>
        </w:rPr>
      </w:pPr>
    </w:p>
    <w:p>
      <w:pPr>
        <w:ind w:right="4540" w:firstLine="10"/>
        <w:spacing w:after="0" w:line="234"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Steven Hodges transferred, as a gift, 400 Shares to Julie Thomas on or about August 11, 1997.</w:t>
      </w:r>
    </w:p>
    <w:p>
      <w:pPr>
        <w:spacing w:after="0" w:line="5" w:lineRule="exact"/>
        <w:rPr>
          <w:rFonts w:ascii="Courier New" w:cs="Courier New" w:eastAsia="Courier New" w:hAnsi="Courier New"/>
          <w:sz w:val="15"/>
          <w:szCs w:val="15"/>
          <w:color w:val="auto"/>
        </w:rPr>
      </w:pPr>
    </w:p>
    <w:p>
      <w:pPr>
        <w:ind w:right="4540" w:firstLine="10"/>
        <w:spacing w:after="0" w:line="234"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concerning other Selling Securityholders will be set forth in supplements to this Prospectus from time to time, if required.</w:t>
      </w:r>
    </w:p>
    <w:p>
      <w:pPr>
        <w:spacing w:after="0" w:line="173" w:lineRule="exact"/>
        <w:rPr>
          <w:rFonts w:ascii="Courier New" w:cs="Courier New" w:eastAsia="Courier New" w:hAnsi="Courier New"/>
          <w:sz w:val="15"/>
          <w:szCs w:val="15"/>
          <w:color w:val="auto"/>
        </w:rPr>
      </w:pPr>
    </w:p>
    <w:p>
      <w:pPr>
        <w:jc w:val="both"/>
        <w:ind w:right="4540" w:firstLine="10"/>
        <w:spacing w:after="0" w:line="235" w:lineRule="auto"/>
        <w:tabs>
          <w:tab w:leader="none" w:pos="43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any other holders of Notes, or any further transferees, pledgees, donees or successors of or from any such other holders of Notes, do not beneficially own any Common Stock other than the Common Stock issuable upon conversion of the Notes at the initial conversion rate.</w:t>
      </w:r>
    </w:p>
    <w:p>
      <w:pPr>
        <w:sectPr>
          <w:pgSz w:w="11900" w:h="16838" w:orient="portrait"/>
          <w:cols w:equalWidth="0" w:num="1">
            <w:col w:w="11540"/>
          </w:cols>
          <w:pgMar w:left="220" w:top="225" w:right="139" w:bottom="0" w:gutter="0" w:footer="0" w:header="0"/>
        </w:sectPr>
      </w:pPr>
    </w:p>
    <w:bookmarkStart w:id="1" w:name="page2"/>
    <w:bookmarkEnd w:id="1"/>
    <w:p>
      <w:pPr>
        <w:ind w:left="46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 A DISCUSSION OF CERTAIN FACTORS THAT SHOULD BE</w:t>
      </w:r>
    </w:p>
    <w:p>
      <w:pPr>
        <w:ind w:left="1140"/>
        <w:spacing w:after="0" w:line="237" w:lineRule="auto"/>
        <w:rPr>
          <w:sz w:val="20"/>
          <w:szCs w:val="20"/>
          <w:color w:val="auto"/>
        </w:rPr>
      </w:pPr>
      <w:r>
        <w:rPr>
          <w:rFonts w:ascii="Courier New" w:cs="Courier New" w:eastAsia="Courier New" w:hAnsi="Courier New"/>
          <w:sz w:val="15"/>
          <w:szCs w:val="15"/>
          <w:color w:val="auto"/>
        </w:rPr>
        <w:t>CONSIDERED IN CONNECTION WITH AN INVESTMENT IN THE</w:t>
      </w:r>
    </w:p>
    <w:p>
      <w:pPr>
        <w:ind w:left="1400"/>
        <w:spacing w:after="0" w:line="238" w:lineRule="auto"/>
        <w:rPr>
          <w:sz w:val="20"/>
          <w:szCs w:val="20"/>
          <w:color w:val="auto"/>
        </w:rPr>
      </w:pPr>
      <w:r>
        <w:rPr>
          <w:rFonts w:ascii="Courier New" w:cs="Courier New" w:eastAsia="Courier New" w:hAnsi="Courier New"/>
          <w:sz w:val="15"/>
          <w:szCs w:val="15"/>
          <w:color w:val="auto"/>
        </w:rPr>
        <w:t>SECURITIES OFFERED HEREBY, SEE "RISK FACTORS"</w:t>
      </w:r>
    </w:p>
    <w:p>
      <w:pPr>
        <w:ind w:left="1660"/>
        <w:spacing w:after="0" w:line="237" w:lineRule="auto"/>
        <w:rPr>
          <w:sz w:val="20"/>
          <w:szCs w:val="20"/>
          <w:color w:val="auto"/>
        </w:rPr>
      </w:pPr>
      <w:r>
        <w:rPr>
          <w:rFonts w:ascii="Courier New" w:cs="Courier New" w:eastAsia="Courier New" w:hAnsi="Courier New"/>
          <w:sz w:val="15"/>
          <w:szCs w:val="15"/>
          <w:color w:val="auto"/>
        </w:rPr>
        <w:t>BEGINNING ON PAGE 6 OF THE PROSPECTUS.</w:t>
      </w:r>
    </w:p>
    <w:p>
      <w:pPr>
        <w:ind w:left="25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THESE SECURITIES HAVE NOT BEEN APPROVED OR DISAPPROVED BY THE</w:t>
      </w:r>
    </w:p>
    <w:p>
      <w:pPr>
        <w:spacing w:after="0" w:line="5" w:lineRule="exact"/>
        <w:rPr>
          <w:sz w:val="20"/>
          <w:szCs w:val="20"/>
          <w:color w:val="auto"/>
        </w:rPr>
      </w:pPr>
    </w:p>
    <w:p>
      <w:pPr>
        <w:jc w:val="center"/>
        <w:ind w:right="3319"/>
        <w:spacing w:after="0" w:line="235" w:lineRule="auto"/>
        <w:rPr>
          <w:sz w:val="20"/>
          <w:szCs w:val="20"/>
          <w:color w:val="auto"/>
        </w:rPr>
      </w:pPr>
      <w:r>
        <w:rPr>
          <w:rFonts w:ascii="Courier New" w:cs="Courier New" w:eastAsia="Courier New" w:hAnsi="Courier New"/>
          <w:sz w:val="15"/>
          <w:szCs w:val="15"/>
          <w:color w:val="auto"/>
        </w:rPr>
        <w:t>SECURITIES AND EXCHANGE COMMISSION OR ANY STATE SECURITIES COMMISSION NOR HAS THE SECURITIES AND EXCHANGE COMMISSION OR ANY STATE SECURITIES COMMISSION PASSED UPON</w:t>
      </w:r>
    </w:p>
    <w:p>
      <w:pPr>
        <w:jc w:val="center"/>
        <w:ind w:right="3399"/>
        <w:spacing w:after="0" w:line="238" w:lineRule="auto"/>
        <w:rPr>
          <w:sz w:val="20"/>
          <w:szCs w:val="20"/>
          <w:color w:val="auto"/>
        </w:rPr>
      </w:pPr>
      <w:r>
        <w:rPr>
          <w:rFonts w:ascii="Courier New" w:cs="Courier New" w:eastAsia="Courier New" w:hAnsi="Courier New"/>
          <w:sz w:val="15"/>
          <w:szCs w:val="15"/>
          <w:color w:val="auto"/>
        </w:rPr>
        <w:t>THE ACCURACY OR ADEQUACY OF THIS PROSPECTUS. ANY REPRESENTATION TO THE</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CONTRARY IS A CRIMINAL OFFENSE.</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date of this Prospectus Supplement is August 14, 1997</w:t>
      </w:r>
    </w:p>
    <w:sectPr>
      <w:pgSz w:w="11900" w:h="16838" w:orient="portrait"/>
      <w:cols w:equalWidth="0" w:num="1">
        <w:col w:w="10059"/>
      </w:cols>
      <w:pgMar w:left="40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2019-12-13T15:15:56Z</dcterms:created>
  <dcterms:modified xsi:type="dcterms:W3CDTF">2019-12-13T15:15:56Z</dcterms:modified>
</cp:coreProperties>
</file>