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0" w:lineRule="exact"/>
        <w:rPr>
          <w:sz w:val="24"/>
          <w:szCs w:val="24"/>
          <w:color w:val="auto"/>
        </w:rPr>
      </w:pPr>
    </w:p>
    <w:p>
      <w:pPr>
        <w:ind w:left="2340"/>
        <w:spacing w:after="0"/>
        <w:rPr>
          <w:sz w:val="20"/>
          <w:szCs w:val="20"/>
          <w:color w:val="auto"/>
        </w:rPr>
      </w:pPr>
      <w:r>
        <w:rPr>
          <w:rFonts w:ascii="Courier New" w:cs="Courier New" w:eastAsia="Courier New" w:hAnsi="Courier New"/>
          <w:sz w:val="15"/>
          <w:szCs w:val="15"/>
          <w:color w:val="auto"/>
        </w:rPr>
        <w:t>Part 1: Financial Information</w:t>
      </w:r>
    </w:p>
    <w:p>
      <w:pPr>
        <w:spacing w:after="0" w:line="177" w:lineRule="exact"/>
        <w:rPr>
          <w:sz w:val="24"/>
          <w:szCs w:val="24"/>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Financial Statements</w:t>
      </w:r>
    </w:p>
    <w:p>
      <w:pPr>
        <w:spacing w:after="0" w:line="177" w:lineRule="exact"/>
        <w:rPr>
          <w:sz w:val="24"/>
          <w:szCs w:val="24"/>
          <w:color w:val="auto"/>
        </w:rPr>
      </w:pPr>
    </w:p>
    <w:p>
      <w:pPr>
        <w:jc w:val="center"/>
        <w:ind w:right="3160"/>
        <w:spacing w:after="0"/>
        <w:rPr>
          <w:sz w:val="20"/>
          <w:szCs w:val="20"/>
          <w:color w:val="auto"/>
        </w:rPr>
      </w:pPr>
      <w:r>
        <w:rPr>
          <w:rFonts w:ascii="Courier New" w:cs="Courier New" w:eastAsia="Courier New" w:hAnsi="Courier New"/>
          <w:sz w:val="15"/>
          <w:szCs w:val="15"/>
          <w:color w:val="auto"/>
        </w:rPr>
        <w:t>ITRON, INC.</w:t>
      </w:r>
    </w:p>
    <w:p>
      <w:pPr>
        <w:spacing w:after="0" w:line="3" w:lineRule="exact"/>
        <w:rPr>
          <w:sz w:val="24"/>
          <w:szCs w:val="24"/>
          <w:color w:val="auto"/>
        </w:rPr>
      </w:pPr>
    </w:p>
    <w:p>
      <w:pPr>
        <w:jc w:val="center"/>
        <w:ind w:right="3160"/>
        <w:spacing w:after="0"/>
        <w:rPr>
          <w:sz w:val="20"/>
          <w:szCs w:val="20"/>
          <w:color w:val="auto"/>
        </w:rPr>
      </w:pPr>
      <w:r>
        <w:rPr>
          <w:rFonts w:ascii="Courier New" w:cs="Courier New" w:eastAsia="Courier New" w:hAnsi="Courier New"/>
          <w:sz w:val="15"/>
          <w:szCs w:val="15"/>
          <w:color w:val="auto"/>
        </w:rPr>
        <w:t>CONSOLIDATED STATEMENTS OF OPERATIONS</w:t>
      </w: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170"/>
        </w:trPr>
        <w:tc>
          <w:tcPr>
            <w:tcW w:w="7340" w:type="dxa"/>
            <w:vAlign w:val="bottom"/>
          </w:tcPr>
          <w:p>
            <w:pPr>
              <w:ind w:left="1440"/>
              <w:spacing w:after="0"/>
              <w:rPr>
                <w:sz w:val="20"/>
                <w:szCs w:val="20"/>
                <w:color w:val="auto"/>
              </w:rPr>
            </w:pPr>
            <w:r>
              <w:rPr>
                <w:rFonts w:ascii="Courier New" w:cs="Courier New" w:eastAsia="Courier New" w:hAnsi="Courier New"/>
                <w:sz w:val="15"/>
                <w:szCs w:val="15"/>
                <w:color w:val="auto"/>
              </w:rPr>
              <w:t>(Unaudited, in thousands, except per share data)</w:t>
            </w:r>
          </w:p>
        </w:tc>
        <w:tc>
          <w:tcPr>
            <w:tcW w:w="5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867"/>
        </w:trPr>
        <w:tc>
          <w:tcPr>
            <w:tcW w:w="7340" w:type="dxa"/>
            <w:vAlign w:val="bottom"/>
          </w:tcPr>
          <w:p>
            <w:pPr>
              <w:spacing w:after="0"/>
              <w:rPr>
                <w:sz w:val="24"/>
                <w:szCs w:val="24"/>
                <w:color w:val="auto"/>
              </w:rPr>
            </w:pPr>
          </w:p>
        </w:tc>
        <w:tc>
          <w:tcPr>
            <w:tcW w:w="3120" w:type="dxa"/>
            <w:vAlign w:val="bottom"/>
            <w:gridSpan w:val="4"/>
          </w:tcPr>
          <w:p>
            <w:pPr>
              <w:ind w:left="400"/>
              <w:spacing w:after="0"/>
              <w:rPr>
                <w:sz w:val="20"/>
                <w:szCs w:val="20"/>
                <w:color w:val="auto"/>
              </w:rPr>
            </w:pPr>
            <w:r>
              <w:rPr>
                <w:rFonts w:ascii="Courier New" w:cs="Courier New" w:eastAsia="Courier New" w:hAnsi="Courier New"/>
                <w:sz w:val="15"/>
                <w:szCs w:val="15"/>
                <w:color w:val="auto"/>
              </w:rPr>
              <w:t>Three months ended March 31,</w:t>
            </w:r>
          </w:p>
        </w:tc>
      </w:tr>
      <w:tr>
        <w:trPr>
          <w:trHeight w:val="347"/>
        </w:trPr>
        <w:tc>
          <w:tcPr>
            <w:tcW w:w="7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40" w:type="dxa"/>
            <w:vAlign w:val="bottom"/>
          </w:tcPr>
          <w:p>
            <w:pPr>
              <w:jc w:val="right"/>
              <w:ind w:right="705"/>
              <w:spacing w:after="0"/>
              <w:rPr>
                <w:sz w:val="20"/>
                <w:szCs w:val="20"/>
                <w:color w:val="auto"/>
              </w:rPr>
            </w:pPr>
            <w:r>
              <w:rPr>
                <w:rFonts w:ascii="Courier New" w:cs="Courier New" w:eastAsia="Courier New" w:hAnsi="Courier New"/>
                <w:sz w:val="15"/>
                <w:szCs w:val="15"/>
                <w:color w:val="auto"/>
                <w:w w:val="94"/>
              </w:rPr>
              <w:t>1998</w:t>
            </w:r>
          </w:p>
        </w:tc>
        <w:tc>
          <w:tcPr>
            <w:tcW w:w="300" w:type="dxa"/>
            <w:vAlign w:val="bottom"/>
          </w:tcPr>
          <w:p>
            <w:pPr>
              <w:spacing w:after="0"/>
              <w:rPr>
                <w:sz w:val="24"/>
                <w:szCs w:val="24"/>
                <w:color w:val="auto"/>
              </w:rPr>
            </w:pPr>
          </w:p>
        </w:tc>
        <w:tc>
          <w:tcPr>
            <w:tcW w:w="11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1997</w:t>
            </w:r>
          </w:p>
        </w:tc>
      </w:tr>
      <w:tr>
        <w:trPr>
          <w:trHeight w:val="173"/>
        </w:trPr>
        <w:tc>
          <w:tcPr>
            <w:tcW w:w="7340" w:type="dxa"/>
            <w:vAlign w:val="bottom"/>
          </w:tcPr>
          <w:p>
            <w:pPr>
              <w:spacing w:after="0"/>
              <w:rPr>
                <w:sz w:val="15"/>
                <w:szCs w:val="15"/>
                <w:color w:val="auto"/>
              </w:rPr>
            </w:pPr>
          </w:p>
        </w:tc>
        <w:tc>
          <w:tcPr>
            <w:tcW w:w="17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7"/>
        </w:trPr>
        <w:tc>
          <w:tcPr>
            <w:tcW w:w="7340" w:type="dxa"/>
            <w:vAlign w:val="bottom"/>
          </w:tcPr>
          <w:p>
            <w:pPr>
              <w:ind w:left="900"/>
              <w:spacing w:after="0"/>
              <w:rPr>
                <w:sz w:val="20"/>
                <w:szCs w:val="20"/>
                <w:color w:val="auto"/>
              </w:rPr>
            </w:pPr>
            <w:r>
              <w:rPr>
                <w:rFonts w:ascii="Courier New" w:cs="Courier New" w:eastAsia="Courier New" w:hAnsi="Courier New"/>
                <w:sz w:val="15"/>
                <w:szCs w:val="15"/>
                <w:color w:val="auto"/>
              </w:rPr>
              <w:t>Revenues</w:t>
            </w:r>
          </w:p>
        </w:tc>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3"/>
        </w:trPr>
        <w:tc>
          <w:tcPr>
            <w:tcW w:w="7340" w:type="dxa"/>
            <w:vAlign w:val="bottom"/>
          </w:tcPr>
          <w:p>
            <w:pPr>
              <w:ind w:left="1260"/>
              <w:spacing w:after="0"/>
              <w:rPr>
                <w:sz w:val="20"/>
                <w:szCs w:val="20"/>
                <w:color w:val="auto"/>
              </w:rPr>
            </w:pPr>
            <w:r>
              <w:rPr>
                <w:rFonts w:ascii="Courier New" w:cs="Courier New" w:eastAsia="Courier New" w:hAnsi="Courier New"/>
                <w:sz w:val="15"/>
                <w:szCs w:val="15"/>
                <w:color w:val="auto"/>
              </w:rPr>
              <w:t>AMR systems</w:t>
            </w:r>
          </w:p>
        </w:tc>
        <w:tc>
          <w:tcPr>
            <w:tcW w:w="580" w:type="dxa"/>
            <w:vAlign w:val="bottom"/>
          </w:tcPr>
          <w:p>
            <w:pPr>
              <w:spacing w:after="0"/>
              <w:rPr>
                <w:sz w:val="15"/>
                <w:szCs w:val="15"/>
                <w:color w:val="auto"/>
              </w:rPr>
            </w:pPr>
          </w:p>
        </w:tc>
        <w:tc>
          <w:tcPr>
            <w:tcW w:w="1140" w:type="dxa"/>
            <w:vAlign w:val="bottom"/>
          </w:tcPr>
          <w:p>
            <w:pPr>
              <w:jc w:val="right"/>
              <w:ind w:right="425"/>
              <w:spacing w:after="0"/>
              <w:rPr>
                <w:sz w:val="20"/>
                <w:szCs w:val="20"/>
                <w:color w:val="auto"/>
              </w:rPr>
            </w:pPr>
            <w:r>
              <w:rPr>
                <w:rFonts w:ascii="Courier New" w:cs="Courier New" w:eastAsia="Courier New" w:hAnsi="Courier New"/>
                <w:sz w:val="15"/>
                <w:szCs w:val="15"/>
                <w:color w:val="auto"/>
                <w:w w:val="98"/>
              </w:rPr>
              <w:t>$50,356</w:t>
            </w:r>
          </w:p>
        </w:tc>
        <w:tc>
          <w:tcPr>
            <w:tcW w:w="300" w:type="dxa"/>
            <w:vAlign w:val="bottom"/>
          </w:tcPr>
          <w:p>
            <w:pPr>
              <w:spacing w:after="0"/>
              <w:rPr>
                <w:sz w:val="15"/>
                <w:szCs w:val="15"/>
                <w:color w:val="auto"/>
              </w:rPr>
            </w:pPr>
          </w:p>
        </w:tc>
        <w:tc>
          <w:tcPr>
            <w:tcW w:w="1100" w:type="dxa"/>
            <w:vAlign w:val="bottom"/>
          </w:tcPr>
          <w:p>
            <w:pPr>
              <w:jc w:val="right"/>
              <w:ind w:right="385"/>
              <w:spacing w:after="0"/>
              <w:rPr>
                <w:sz w:val="20"/>
                <w:szCs w:val="20"/>
                <w:color w:val="auto"/>
              </w:rPr>
            </w:pPr>
            <w:r>
              <w:rPr>
                <w:rFonts w:ascii="Courier New" w:cs="Courier New" w:eastAsia="Courier New" w:hAnsi="Courier New"/>
                <w:sz w:val="15"/>
                <w:szCs w:val="15"/>
                <w:color w:val="auto"/>
                <w:w w:val="98"/>
              </w:rPr>
              <w:t>$25,260</w:t>
            </w:r>
          </w:p>
        </w:tc>
      </w:tr>
      <w:tr>
        <w:trPr>
          <w:trHeight w:val="173"/>
        </w:trPr>
        <w:tc>
          <w:tcPr>
            <w:tcW w:w="7340" w:type="dxa"/>
            <w:vAlign w:val="bottom"/>
          </w:tcPr>
          <w:p>
            <w:pPr>
              <w:ind w:left="1260"/>
              <w:spacing w:after="0"/>
              <w:rPr>
                <w:sz w:val="20"/>
                <w:szCs w:val="20"/>
                <w:color w:val="auto"/>
              </w:rPr>
            </w:pPr>
            <w:r>
              <w:rPr>
                <w:rFonts w:ascii="Courier New" w:cs="Courier New" w:eastAsia="Courier New" w:hAnsi="Courier New"/>
                <w:sz w:val="15"/>
                <w:szCs w:val="15"/>
                <w:color w:val="auto"/>
              </w:rPr>
              <w:t>Handheld systems</w:t>
            </w:r>
          </w:p>
        </w:tc>
        <w:tc>
          <w:tcPr>
            <w:tcW w:w="580" w:type="dxa"/>
            <w:vAlign w:val="bottom"/>
          </w:tcPr>
          <w:p>
            <w:pPr>
              <w:spacing w:after="0"/>
              <w:rPr>
                <w:sz w:val="15"/>
                <w:szCs w:val="15"/>
                <w:color w:val="auto"/>
              </w:rPr>
            </w:pPr>
          </w:p>
        </w:tc>
        <w:tc>
          <w:tcPr>
            <w:tcW w:w="11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9,680</w:t>
            </w:r>
          </w:p>
        </w:tc>
        <w:tc>
          <w:tcPr>
            <w:tcW w:w="300" w:type="dxa"/>
            <w:vAlign w:val="bottom"/>
          </w:tcPr>
          <w:p>
            <w:pPr>
              <w:spacing w:after="0"/>
              <w:rPr>
                <w:sz w:val="15"/>
                <w:szCs w:val="15"/>
                <w:color w:val="auto"/>
              </w:rPr>
            </w:pPr>
          </w:p>
        </w:tc>
        <w:tc>
          <w:tcPr>
            <w:tcW w:w="11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9,560</w:t>
            </w:r>
          </w:p>
        </w:tc>
      </w:tr>
      <w:tr>
        <w:trPr>
          <w:trHeight w:val="173"/>
        </w:trPr>
        <w:tc>
          <w:tcPr>
            <w:tcW w:w="7340" w:type="dxa"/>
            <w:vAlign w:val="bottom"/>
          </w:tcPr>
          <w:p>
            <w:pPr>
              <w:ind w:left="1260"/>
              <w:spacing w:after="0"/>
              <w:rPr>
                <w:sz w:val="20"/>
                <w:szCs w:val="20"/>
                <w:color w:val="auto"/>
              </w:rPr>
            </w:pPr>
            <w:r>
              <w:rPr>
                <w:rFonts w:ascii="Courier New" w:cs="Courier New" w:eastAsia="Courier New" w:hAnsi="Courier New"/>
                <w:sz w:val="15"/>
                <w:szCs w:val="15"/>
                <w:color w:val="auto"/>
              </w:rPr>
              <w:t>Outsourcing</w:t>
            </w:r>
          </w:p>
        </w:tc>
        <w:tc>
          <w:tcPr>
            <w:tcW w:w="580" w:type="dxa"/>
            <w:vAlign w:val="bottom"/>
          </w:tcPr>
          <w:p>
            <w:pPr>
              <w:spacing w:after="0"/>
              <w:rPr>
                <w:sz w:val="15"/>
                <w:szCs w:val="15"/>
                <w:color w:val="auto"/>
              </w:rPr>
            </w:pPr>
          </w:p>
        </w:tc>
        <w:tc>
          <w:tcPr>
            <w:tcW w:w="11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3,672</w:t>
            </w:r>
          </w:p>
        </w:tc>
        <w:tc>
          <w:tcPr>
            <w:tcW w:w="300" w:type="dxa"/>
            <w:vAlign w:val="bottom"/>
          </w:tcPr>
          <w:p>
            <w:pPr>
              <w:spacing w:after="0"/>
              <w:rPr>
                <w:sz w:val="15"/>
                <w:szCs w:val="15"/>
                <w:color w:val="auto"/>
              </w:rPr>
            </w:pPr>
          </w:p>
        </w:tc>
        <w:tc>
          <w:tcPr>
            <w:tcW w:w="11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5,763</w:t>
            </w:r>
          </w:p>
        </w:tc>
      </w:tr>
      <w:tr>
        <w:trPr>
          <w:trHeight w:val="173"/>
        </w:trPr>
        <w:tc>
          <w:tcPr>
            <w:tcW w:w="7340" w:type="dxa"/>
            <w:vAlign w:val="bottom"/>
          </w:tcPr>
          <w:p>
            <w:pPr>
              <w:spacing w:after="0"/>
              <w:rPr>
                <w:sz w:val="15"/>
                <w:szCs w:val="15"/>
                <w:color w:val="auto"/>
              </w:rPr>
            </w:pPr>
          </w:p>
        </w:tc>
        <w:tc>
          <w:tcPr>
            <w:tcW w:w="1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ind w:left="220"/>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7340" w:type="dxa"/>
            <w:vAlign w:val="bottom"/>
          </w:tcPr>
          <w:p>
            <w:pPr>
              <w:ind w:left="1260"/>
              <w:spacing w:after="0"/>
              <w:rPr>
                <w:sz w:val="20"/>
                <w:szCs w:val="20"/>
                <w:color w:val="auto"/>
              </w:rPr>
            </w:pPr>
            <w:r>
              <w:rPr>
                <w:rFonts w:ascii="Courier New" w:cs="Courier New" w:eastAsia="Courier New" w:hAnsi="Courier New"/>
                <w:sz w:val="15"/>
                <w:szCs w:val="15"/>
                <w:color w:val="auto"/>
              </w:rPr>
              <w:t>Total revenues</w:t>
            </w:r>
          </w:p>
        </w:tc>
        <w:tc>
          <w:tcPr>
            <w:tcW w:w="580" w:type="dxa"/>
            <w:vAlign w:val="bottom"/>
          </w:tcPr>
          <w:p>
            <w:pPr>
              <w:spacing w:after="0"/>
              <w:rPr>
                <w:sz w:val="15"/>
                <w:szCs w:val="15"/>
                <w:color w:val="auto"/>
              </w:rPr>
            </w:pPr>
          </w:p>
        </w:tc>
        <w:tc>
          <w:tcPr>
            <w:tcW w:w="11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63,708</w:t>
            </w:r>
          </w:p>
        </w:tc>
        <w:tc>
          <w:tcPr>
            <w:tcW w:w="300" w:type="dxa"/>
            <w:vAlign w:val="bottom"/>
          </w:tcPr>
          <w:p>
            <w:pPr>
              <w:spacing w:after="0"/>
              <w:rPr>
                <w:sz w:val="15"/>
                <w:szCs w:val="15"/>
                <w:color w:val="auto"/>
              </w:rPr>
            </w:pPr>
          </w:p>
        </w:tc>
        <w:tc>
          <w:tcPr>
            <w:tcW w:w="11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40,583</w:t>
            </w:r>
          </w:p>
        </w:tc>
      </w:tr>
      <w:tr>
        <w:trPr>
          <w:trHeight w:val="347"/>
        </w:trPr>
        <w:tc>
          <w:tcPr>
            <w:tcW w:w="7340" w:type="dxa"/>
            <w:vAlign w:val="bottom"/>
          </w:tcPr>
          <w:p>
            <w:pPr>
              <w:ind w:left="900"/>
              <w:spacing w:after="0"/>
              <w:rPr>
                <w:sz w:val="20"/>
                <w:szCs w:val="20"/>
                <w:color w:val="auto"/>
              </w:rPr>
            </w:pPr>
            <w:r>
              <w:rPr>
                <w:rFonts w:ascii="Courier New" w:cs="Courier New" w:eastAsia="Courier New" w:hAnsi="Courier New"/>
                <w:sz w:val="15"/>
                <w:szCs w:val="15"/>
                <w:color w:val="auto"/>
              </w:rPr>
              <w:t>Cost of revenues</w:t>
            </w:r>
          </w:p>
        </w:tc>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3"/>
        </w:trPr>
        <w:tc>
          <w:tcPr>
            <w:tcW w:w="7340" w:type="dxa"/>
            <w:vAlign w:val="bottom"/>
          </w:tcPr>
          <w:p>
            <w:pPr>
              <w:ind w:left="1260"/>
              <w:spacing w:after="0"/>
              <w:rPr>
                <w:sz w:val="20"/>
                <w:szCs w:val="20"/>
                <w:color w:val="auto"/>
              </w:rPr>
            </w:pPr>
            <w:r>
              <w:rPr>
                <w:rFonts w:ascii="Courier New" w:cs="Courier New" w:eastAsia="Courier New" w:hAnsi="Courier New"/>
                <w:sz w:val="15"/>
                <w:szCs w:val="15"/>
                <w:color w:val="auto"/>
              </w:rPr>
              <w:t>AMR systems</w:t>
            </w:r>
          </w:p>
        </w:tc>
        <w:tc>
          <w:tcPr>
            <w:tcW w:w="580" w:type="dxa"/>
            <w:vAlign w:val="bottom"/>
          </w:tcPr>
          <w:p>
            <w:pPr>
              <w:spacing w:after="0"/>
              <w:rPr>
                <w:sz w:val="15"/>
                <w:szCs w:val="15"/>
                <w:color w:val="auto"/>
              </w:rPr>
            </w:pPr>
          </w:p>
        </w:tc>
        <w:tc>
          <w:tcPr>
            <w:tcW w:w="11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34,768</w:t>
            </w:r>
          </w:p>
        </w:tc>
        <w:tc>
          <w:tcPr>
            <w:tcW w:w="300" w:type="dxa"/>
            <w:vAlign w:val="bottom"/>
          </w:tcPr>
          <w:p>
            <w:pPr>
              <w:spacing w:after="0"/>
              <w:rPr>
                <w:sz w:val="15"/>
                <w:szCs w:val="15"/>
                <w:color w:val="auto"/>
              </w:rPr>
            </w:pPr>
          </w:p>
        </w:tc>
        <w:tc>
          <w:tcPr>
            <w:tcW w:w="11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15,154</w:t>
            </w:r>
          </w:p>
        </w:tc>
      </w:tr>
      <w:tr>
        <w:trPr>
          <w:trHeight w:val="173"/>
        </w:trPr>
        <w:tc>
          <w:tcPr>
            <w:tcW w:w="7340" w:type="dxa"/>
            <w:vAlign w:val="bottom"/>
          </w:tcPr>
          <w:p>
            <w:pPr>
              <w:ind w:left="1260"/>
              <w:spacing w:after="0"/>
              <w:rPr>
                <w:sz w:val="20"/>
                <w:szCs w:val="20"/>
                <w:color w:val="auto"/>
              </w:rPr>
            </w:pPr>
            <w:r>
              <w:rPr>
                <w:rFonts w:ascii="Courier New" w:cs="Courier New" w:eastAsia="Courier New" w:hAnsi="Courier New"/>
                <w:sz w:val="15"/>
                <w:szCs w:val="15"/>
                <w:color w:val="auto"/>
              </w:rPr>
              <w:t>Handheld systems</w:t>
            </w:r>
          </w:p>
        </w:tc>
        <w:tc>
          <w:tcPr>
            <w:tcW w:w="580" w:type="dxa"/>
            <w:vAlign w:val="bottom"/>
          </w:tcPr>
          <w:p>
            <w:pPr>
              <w:spacing w:after="0"/>
              <w:rPr>
                <w:sz w:val="15"/>
                <w:szCs w:val="15"/>
                <w:color w:val="auto"/>
              </w:rPr>
            </w:pPr>
          </w:p>
        </w:tc>
        <w:tc>
          <w:tcPr>
            <w:tcW w:w="11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5,125</w:t>
            </w:r>
          </w:p>
        </w:tc>
        <w:tc>
          <w:tcPr>
            <w:tcW w:w="300" w:type="dxa"/>
            <w:vAlign w:val="bottom"/>
          </w:tcPr>
          <w:p>
            <w:pPr>
              <w:spacing w:after="0"/>
              <w:rPr>
                <w:sz w:val="15"/>
                <w:szCs w:val="15"/>
                <w:color w:val="auto"/>
              </w:rPr>
            </w:pPr>
          </w:p>
        </w:tc>
        <w:tc>
          <w:tcPr>
            <w:tcW w:w="11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6,969</w:t>
            </w:r>
          </w:p>
        </w:tc>
      </w:tr>
      <w:tr>
        <w:trPr>
          <w:trHeight w:val="173"/>
        </w:trPr>
        <w:tc>
          <w:tcPr>
            <w:tcW w:w="7340" w:type="dxa"/>
            <w:vAlign w:val="bottom"/>
          </w:tcPr>
          <w:p>
            <w:pPr>
              <w:ind w:left="1260"/>
              <w:spacing w:after="0"/>
              <w:rPr>
                <w:sz w:val="20"/>
                <w:szCs w:val="20"/>
                <w:color w:val="auto"/>
              </w:rPr>
            </w:pPr>
            <w:r>
              <w:rPr>
                <w:rFonts w:ascii="Courier New" w:cs="Courier New" w:eastAsia="Courier New" w:hAnsi="Courier New"/>
                <w:sz w:val="15"/>
                <w:szCs w:val="15"/>
                <w:color w:val="auto"/>
              </w:rPr>
              <w:t>Outsourcing</w:t>
            </w:r>
          </w:p>
        </w:tc>
        <w:tc>
          <w:tcPr>
            <w:tcW w:w="580" w:type="dxa"/>
            <w:vAlign w:val="bottom"/>
          </w:tcPr>
          <w:p>
            <w:pPr>
              <w:spacing w:after="0"/>
              <w:rPr>
                <w:sz w:val="15"/>
                <w:szCs w:val="15"/>
                <w:color w:val="auto"/>
              </w:rPr>
            </w:pPr>
          </w:p>
        </w:tc>
        <w:tc>
          <w:tcPr>
            <w:tcW w:w="11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3,020</w:t>
            </w:r>
          </w:p>
        </w:tc>
        <w:tc>
          <w:tcPr>
            <w:tcW w:w="300" w:type="dxa"/>
            <w:vAlign w:val="bottom"/>
          </w:tcPr>
          <w:p>
            <w:pPr>
              <w:spacing w:after="0"/>
              <w:rPr>
                <w:sz w:val="15"/>
                <w:szCs w:val="15"/>
                <w:color w:val="auto"/>
              </w:rPr>
            </w:pPr>
          </w:p>
        </w:tc>
        <w:tc>
          <w:tcPr>
            <w:tcW w:w="11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4,841</w:t>
            </w:r>
          </w:p>
        </w:tc>
      </w:tr>
      <w:tr>
        <w:trPr>
          <w:trHeight w:val="173"/>
        </w:trPr>
        <w:tc>
          <w:tcPr>
            <w:tcW w:w="7340" w:type="dxa"/>
            <w:vAlign w:val="bottom"/>
          </w:tcPr>
          <w:p>
            <w:pPr>
              <w:spacing w:after="0"/>
              <w:rPr>
                <w:sz w:val="15"/>
                <w:szCs w:val="15"/>
                <w:color w:val="auto"/>
              </w:rPr>
            </w:pPr>
          </w:p>
        </w:tc>
        <w:tc>
          <w:tcPr>
            <w:tcW w:w="17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7340" w:type="dxa"/>
            <w:vAlign w:val="bottom"/>
          </w:tcPr>
          <w:p>
            <w:pPr>
              <w:ind w:left="980"/>
              <w:spacing w:after="0"/>
              <w:rPr>
                <w:sz w:val="20"/>
                <w:szCs w:val="20"/>
                <w:color w:val="auto"/>
              </w:rPr>
            </w:pPr>
            <w:r>
              <w:rPr>
                <w:rFonts w:ascii="Courier New" w:cs="Courier New" w:eastAsia="Courier New" w:hAnsi="Courier New"/>
                <w:sz w:val="15"/>
                <w:szCs w:val="15"/>
                <w:color w:val="auto"/>
              </w:rPr>
              <w:t>Total cost of revenues</w:t>
            </w:r>
          </w:p>
        </w:tc>
        <w:tc>
          <w:tcPr>
            <w:tcW w:w="580" w:type="dxa"/>
            <w:vAlign w:val="bottom"/>
          </w:tcPr>
          <w:p>
            <w:pPr>
              <w:spacing w:after="0"/>
              <w:rPr>
                <w:sz w:val="15"/>
                <w:szCs w:val="15"/>
                <w:color w:val="auto"/>
              </w:rPr>
            </w:pPr>
          </w:p>
        </w:tc>
        <w:tc>
          <w:tcPr>
            <w:tcW w:w="11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42,913</w:t>
            </w:r>
          </w:p>
        </w:tc>
        <w:tc>
          <w:tcPr>
            <w:tcW w:w="300" w:type="dxa"/>
            <w:vAlign w:val="bottom"/>
          </w:tcPr>
          <w:p>
            <w:pPr>
              <w:spacing w:after="0"/>
              <w:rPr>
                <w:sz w:val="15"/>
                <w:szCs w:val="15"/>
                <w:color w:val="auto"/>
              </w:rPr>
            </w:pPr>
          </w:p>
        </w:tc>
        <w:tc>
          <w:tcPr>
            <w:tcW w:w="11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26,964</w:t>
            </w:r>
          </w:p>
        </w:tc>
      </w:tr>
      <w:tr>
        <w:trPr>
          <w:trHeight w:val="347"/>
        </w:trPr>
        <w:tc>
          <w:tcPr>
            <w:tcW w:w="7340" w:type="dxa"/>
            <w:vAlign w:val="bottom"/>
          </w:tcPr>
          <w:p>
            <w:pPr>
              <w:ind w:left="900"/>
              <w:spacing w:after="0"/>
              <w:rPr>
                <w:sz w:val="20"/>
                <w:szCs w:val="20"/>
                <w:color w:val="auto"/>
              </w:rPr>
            </w:pPr>
            <w:r>
              <w:rPr>
                <w:rFonts w:ascii="Courier New" w:cs="Courier New" w:eastAsia="Courier New" w:hAnsi="Courier New"/>
                <w:sz w:val="15"/>
                <w:szCs w:val="15"/>
                <w:color w:val="auto"/>
              </w:rPr>
              <w:t>Gross profit</w:t>
            </w:r>
          </w:p>
        </w:tc>
        <w:tc>
          <w:tcPr>
            <w:tcW w:w="580" w:type="dxa"/>
            <w:vAlign w:val="bottom"/>
          </w:tcPr>
          <w:p>
            <w:pPr>
              <w:spacing w:after="0"/>
              <w:rPr>
                <w:sz w:val="24"/>
                <w:szCs w:val="24"/>
                <w:color w:val="auto"/>
              </w:rPr>
            </w:pPr>
          </w:p>
        </w:tc>
        <w:tc>
          <w:tcPr>
            <w:tcW w:w="11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20,795</w:t>
            </w:r>
          </w:p>
        </w:tc>
        <w:tc>
          <w:tcPr>
            <w:tcW w:w="300" w:type="dxa"/>
            <w:vAlign w:val="bottom"/>
          </w:tcPr>
          <w:p>
            <w:pPr>
              <w:spacing w:after="0"/>
              <w:rPr>
                <w:sz w:val="24"/>
                <w:szCs w:val="24"/>
                <w:color w:val="auto"/>
              </w:rPr>
            </w:pPr>
          </w:p>
        </w:tc>
        <w:tc>
          <w:tcPr>
            <w:tcW w:w="11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13,619</w:t>
            </w:r>
          </w:p>
        </w:tc>
      </w:tr>
      <w:tr>
        <w:trPr>
          <w:trHeight w:val="347"/>
        </w:trPr>
        <w:tc>
          <w:tcPr>
            <w:tcW w:w="7340" w:type="dxa"/>
            <w:vAlign w:val="bottom"/>
          </w:tcPr>
          <w:p>
            <w:pPr>
              <w:ind w:left="900"/>
              <w:spacing w:after="0"/>
              <w:rPr>
                <w:sz w:val="20"/>
                <w:szCs w:val="20"/>
                <w:color w:val="auto"/>
              </w:rPr>
            </w:pPr>
            <w:r>
              <w:rPr>
                <w:rFonts w:ascii="Courier New" w:cs="Courier New" w:eastAsia="Courier New" w:hAnsi="Courier New"/>
                <w:sz w:val="15"/>
                <w:szCs w:val="15"/>
                <w:color w:val="auto"/>
              </w:rPr>
              <w:t>Operating expenses</w:t>
            </w:r>
          </w:p>
        </w:tc>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3"/>
        </w:trPr>
        <w:tc>
          <w:tcPr>
            <w:tcW w:w="7340" w:type="dxa"/>
            <w:vAlign w:val="bottom"/>
          </w:tcPr>
          <w:p>
            <w:pPr>
              <w:ind w:left="1260"/>
              <w:spacing w:after="0"/>
              <w:rPr>
                <w:sz w:val="20"/>
                <w:szCs w:val="20"/>
                <w:color w:val="auto"/>
              </w:rPr>
            </w:pPr>
            <w:r>
              <w:rPr>
                <w:rFonts w:ascii="Courier New" w:cs="Courier New" w:eastAsia="Courier New" w:hAnsi="Courier New"/>
                <w:sz w:val="15"/>
                <w:szCs w:val="15"/>
                <w:color w:val="auto"/>
              </w:rPr>
              <w:t>Sales and marketing</w:t>
            </w:r>
          </w:p>
        </w:tc>
        <w:tc>
          <w:tcPr>
            <w:tcW w:w="580" w:type="dxa"/>
            <w:vAlign w:val="bottom"/>
          </w:tcPr>
          <w:p>
            <w:pPr>
              <w:spacing w:after="0"/>
              <w:rPr>
                <w:sz w:val="15"/>
                <w:szCs w:val="15"/>
                <w:color w:val="auto"/>
              </w:rPr>
            </w:pPr>
          </w:p>
        </w:tc>
        <w:tc>
          <w:tcPr>
            <w:tcW w:w="114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6,594</w:t>
            </w:r>
          </w:p>
        </w:tc>
        <w:tc>
          <w:tcPr>
            <w:tcW w:w="300" w:type="dxa"/>
            <w:vAlign w:val="bottom"/>
          </w:tcPr>
          <w:p>
            <w:pPr>
              <w:spacing w:after="0"/>
              <w:rPr>
                <w:sz w:val="15"/>
                <w:szCs w:val="15"/>
                <w:color w:val="auto"/>
              </w:rPr>
            </w:pPr>
          </w:p>
        </w:tc>
        <w:tc>
          <w:tcPr>
            <w:tcW w:w="11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7,525</w:t>
            </w:r>
          </w:p>
        </w:tc>
      </w:tr>
      <w:tr>
        <w:trPr>
          <w:trHeight w:val="173"/>
        </w:trPr>
        <w:tc>
          <w:tcPr>
            <w:tcW w:w="7340" w:type="dxa"/>
            <w:vAlign w:val="bottom"/>
          </w:tcPr>
          <w:p>
            <w:pPr>
              <w:ind w:left="1260"/>
              <w:spacing w:after="0"/>
              <w:rPr>
                <w:sz w:val="20"/>
                <w:szCs w:val="20"/>
                <w:color w:val="auto"/>
              </w:rPr>
            </w:pPr>
            <w:r>
              <w:rPr>
                <w:rFonts w:ascii="Courier New" w:cs="Courier New" w:eastAsia="Courier New" w:hAnsi="Courier New"/>
                <w:sz w:val="15"/>
                <w:szCs w:val="15"/>
                <w:color w:val="auto"/>
              </w:rPr>
              <w:t>Product development</w:t>
            </w:r>
          </w:p>
        </w:tc>
        <w:tc>
          <w:tcPr>
            <w:tcW w:w="580" w:type="dxa"/>
            <w:vAlign w:val="bottom"/>
          </w:tcPr>
          <w:p>
            <w:pPr>
              <w:spacing w:after="0"/>
              <w:rPr>
                <w:sz w:val="15"/>
                <w:szCs w:val="15"/>
                <w:color w:val="auto"/>
              </w:rPr>
            </w:pPr>
          </w:p>
        </w:tc>
        <w:tc>
          <w:tcPr>
            <w:tcW w:w="114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8,923</w:t>
            </w:r>
          </w:p>
        </w:tc>
        <w:tc>
          <w:tcPr>
            <w:tcW w:w="300" w:type="dxa"/>
            <w:vAlign w:val="bottom"/>
          </w:tcPr>
          <w:p>
            <w:pPr>
              <w:spacing w:after="0"/>
              <w:rPr>
                <w:sz w:val="15"/>
                <w:szCs w:val="15"/>
                <w:color w:val="auto"/>
              </w:rPr>
            </w:pPr>
          </w:p>
        </w:tc>
        <w:tc>
          <w:tcPr>
            <w:tcW w:w="11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7,329</w:t>
            </w:r>
          </w:p>
        </w:tc>
      </w:tr>
      <w:tr>
        <w:trPr>
          <w:trHeight w:val="173"/>
        </w:trPr>
        <w:tc>
          <w:tcPr>
            <w:tcW w:w="7340" w:type="dxa"/>
            <w:vAlign w:val="bottom"/>
          </w:tcPr>
          <w:p>
            <w:pPr>
              <w:ind w:left="1260"/>
              <w:spacing w:after="0"/>
              <w:rPr>
                <w:sz w:val="20"/>
                <w:szCs w:val="20"/>
                <w:color w:val="auto"/>
              </w:rPr>
            </w:pPr>
            <w:r>
              <w:rPr>
                <w:rFonts w:ascii="Courier New" w:cs="Courier New" w:eastAsia="Courier New" w:hAnsi="Courier New"/>
                <w:sz w:val="15"/>
                <w:szCs w:val="15"/>
                <w:color w:val="auto"/>
              </w:rPr>
              <w:t>General and administrative</w:t>
            </w:r>
          </w:p>
        </w:tc>
        <w:tc>
          <w:tcPr>
            <w:tcW w:w="580" w:type="dxa"/>
            <w:vAlign w:val="bottom"/>
          </w:tcPr>
          <w:p>
            <w:pPr>
              <w:spacing w:after="0"/>
              <w:rPr>
                <w:sz w:val="15"/>
                <w:szCs w:val="15"/>
                <w:color w:val="auto"/>
              </w:rPr>
            </w:pPr>
          </w:p>
        </w:tc>
        <w:tc>
          <w:tcPr>
            <w:tcW w:w="114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3,017</w:t>
            </w:r>
          </w:p>
        </w:tc>
        <w:tc>
          <w:tcPr>
            <w:tcW w:w="300" w:type="dxa"/>
            <w:vAlign w:val="bottom"/>
          </w:tcPr>
          <w:p>
            <w:pPr>
              <w:spacing w:after="0"/>
              <w:rPr>
                <w:sz w:val="15"/>
                <w:szCs w:val="15"/>
                <w:color w:val="auto"/>
              </w:rPr>
            </w:pPr>
          </w:p>
        </w:tc>
        <w:tc>
          <w:tcPr>
            <w:tcW w:w="11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2,424</w:t>
            </w:r>
          </w:p>
        </w:tc>
      </w:tr>
      <w:tr>
        <w:trPr>
          <w:trHeight w:val="173"/>
        </w:trPr>
        <w:tc>
          <w:tcPr>
            <w:tcW w:w="7340" w:type="dxa"/>
            <w:vAlign w:val="bottom"/>
          </w:tcPr>
          <w:p>
            <w:pPr>
              <w:ind w:left="1260"/>
              <w:spacing w:after="0"/>
              <w:rPr>
                <w:sz w:val="20"/>
                <w:szCs w:val="20"/>
                <w:color w:val="auto"/>
              </w:rPr>
            </w:pPr>
            <w:r>
              <w:rPr>
                <w:rFonts w:ascii="Courier New" w:cs="Courier New" w:eastAsia="Courier New" w:hAnsi="Courier New"/>
                <w:sz w:val="15"/>
                <w:szCs w:val="15"/>
                <w:color w:val="auto"/>
              </w:rPr>
              <w:t>Amortization of intangibles</w:t>
            </w:r>
          </w:p>
        </w:tc>
        <w:tc>
          <w:tcPr>
            <w:tcW w:w="580" w:type="dxa"/>
            <w:vAlign w:val="bottom"/>
          </w:tcPr>
          <w:p>
            <w:pPr>
              <w:spacing w:after="0"/>
              <w:rPr>
                <w:sz w:val="15"/>
                <w:szCs w:val="15"/>
                <w:color w:val="auto"/>
              </w:rPr>
            </w:pPr>
          </w:p>
        </w:tc>
        <w:tc>
          <w:tcPr>
            <w:tcW w:w="114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591</w:t>
            </w:r>
          </w:p>
        </w:tc>
        <w:tc>
          <w:tcPr>
            <w:tcW w:w="300" w:type="dxa"/>
            <w:vAlign w:val="bottom"/>
          </w:tcPr>
          <w:p>
            <w:pPr>
              <w:spacing w:after="0"/>
              <w:rPr>
                <w:sz w:val="15"/>
                <w:szCs w:val="15"/>
                <w:color w:val="auto"/>
              </w:rPr>
            </w:pPr>
          </w:p>
        </w:tc>
        <w:tc>
          <w:tcPr>
            <w:tcW w:w="11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537</w:t>
            </w:r>
          </w:p>
        </w:tc>
      </w:tr>
      <w:tr>
        <w:trPr>
          <w:trHeight w:val="173"/>
        </w:trPr>
        <w:tc>
          <w:tcPr>
            <w:tcW w:w="7340" w:type="dxa"/>
            <w:vAlign w:val="bottom"/>
          </w:tcPr>
          <w:p>
            <w:pPr>
              <w:spacing w:after="0"/>
              <w:rPr>
                <w:sz w:val="15"/>
                <w:szCs w:val="15"/>
                <w:color w:val="auto"/>
              </w:rPr>
            </w:pPr>
          </w:p>
        </w:tc>
        <w:tc>
          <w:tcPr>
            <w:tcW w:w="17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7340" w:type="dxa"/>
            <w:vAlign w:val="bottom"/>
          </w:tcPr>
          <w:p>
            <w:pPr>
              <w:ind w:left="1260"/>
              <w:spacing w:after="0"/>
              <w:rPr>
                <w:sz w:val="20"/>
                <w:szCs w:val="20"/>
                <w:color w:val="auto"/>
              </w:rPr>
            </w:pPr>
            <w:r>
              <w:rPr>
                <w:rFonts w:ascii="Courier New" w:cs="Courier New" w:eastAsia="Courier New" w:hAnsi="Courier New"/>
                <w:sz w:val="15"/>
                <w:szCs w:val="15"/>
                <w:color w:val="auto"/>
              </w:rPr>
              <w:t>Total operating expenses</w:t>
            </w:r>
          </w:p>
        </w:tc>
        <w:tc>
          <w:tcPr>
            <w:tcW w:w="580" w:type="dxa"/>
            <w:vAlign w:val="bottom"/>
          </w:tcPr>
          <w:p>
            <w:pPr>
              <w:spacing w:after="0"/>
              <w:rPr>
                <w:sz w:val="15"/>
                <w:szCs w:val="15"/>
                <w:color w:val="auto"/>
              </w:rPr>
            </w:pPr>
          </w:p>
        </w:tc>
        <w:tc>
          <w:tcPr>
            <w:tcW w:w="1140" w:type="dxa"/>
            <w:vAlign w:val="bottom"/>
          </w:tcPr>
          <w:p>
            <w:pPr>
              <w:jc w:val="right"/>
              <w:ind w:right="525"/>
              <w:spacing w:after="0"/>
              <w:rPr>
                <w:sz w:val="20"/>
                <w:szCs w:val="20"/>
                <w:color w:val="auto"/>
              </w:rPr>
            </w:pPr>
            <w:r>
              <w:rPr>
                <w:rFonts w:ascii="Courier New" w:cs="Courier New" w:eastAsia="Courier New" w:hAnsi="Courier New"/>
                <w:sz w:val="15"/>
                <w:szCs w:val="15"/>
                <w:color w:val="auto"/>
                <w:w w:val="96"/>
              </w:rPr>
              <w:t>19,125</w:t>
            </w:r>
          </w:p>
        </w:tc>
        <w:tc>
          <w:tcPr>
            <w:tcW w:w="300" w:type="dxa"/>
            <w:vAlign w:val="bottom"/>
          </w:tcPr>
          <w:p>
            <w:pPr>
              <w:spacing w:after="0"/>
              <w:rPr>
                <w:sz w:val="15"/>
                <w:szCs w:val="15"/>
                <w:color w:val="auto"/>
              </w:rPr>
            </w:pPr>
          </w:p>
        </w:tc>
        <w:tc>
          <w:tcPr>
            <w:tcW w:w="11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17,815</w:t>
            </w:r>
          </w:p>
        </w:tc>
      </w:tr>
      <w:tr>
        <w:trPr>
          <w:trHeight w:val="347"/>
        </w:trPr>
        <w:tc>
          <w:tcPr>
            <w:tcW w:w="7340" w:type="dxa"/>
            <w:vAlign w:val="bottom"/>
          </w:tcPr>
          <w:p>
            <w:pPr>
              <w:ind w:left="900"/>
              <w:spacing w:after="0"/>
              <w:rPr>
                <w:sz w:val="20"/>
                <w:szCs w:val="20"/>
                <w:color w:val="auto"/>
              </w:rPr>
            </w:pPr>
            <w:r>
              <w:rPr>
                <w:rFonts w:ascii="Courier New" w:cs="Courier New" w:eastAsia="Courier New" w:hAnsi="Courier New"/>
                <w:sz w:val="15"/>
                <w:szCs w:val="15"/>
                <w:color w:val="auto"/>
              </w:rPr>
              <w:t>Operating income (loss)</w:t>
            </w:r>
          </w:p>
        </w:tc>
        <w:tc>
          <w:tcPr>
            <w:tcW w:w="580" w:type="dxa"/>
            <w:vAlign w:val="bottom"/>
          </w:tcPr>
          <w:p>
            <w:pPr>
              <w:spacing w:after="0"/>
              <w:rPr>
                <w:sz w:val="24"/>
                <w:szCs w:val="24"/>
                <w:color w:val="auto"/>
              </w:rPr>
            </w:pPr>
          </w:p>
        </w:tc>
        <w:tc>
          <w:tcPr>
            <w:tcW w:w="114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1,670</w:t>
            </w:r>
          </w:p>
        </w:tc>
        <w:tc>
          <w:tcPr>
            <w:tcW w:w="300" w:type="dxa"/>
            <w:vAlign w:val="bottom"/>
          </w:tcPr>
          <w:p>
            <w:pPr>
              <w:spacing w:after="0"/>
              <w:rPr>
                <w:sz w:val="24"/>
                <w:szCs w:val="24"/>
                <w:color w:val="auto"/>
              </w:rPr>
            </w:pPr>
          </w:p>
        </w:tc>
        <w:tc>
          <w:tcPr>
            <w:tcW w:w="11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(4,196)</w:t>
            </w:r>
          </w:p>
        </w:tc>
      </w:tr>
      <w:tr>
        <w:trPr>
          <w:trHeight w:val="173"/>
        </w:trPr>
        <w:tc>
          <w:tcPr>
            <w:tcW w:w="7340" w:type="dxa"/>
            <w:vAlign w:val="bottom"/>
          </w:tcPr>
          <w:p>
            <w:pPr>
              <w:ind w:left="900"/>
              <w:spacing w:after="0"/>
              <w:rPr>
                <w:sz w:val="20"/>
                <w:szCs w:val="20"/>
                <w:color w:val="auto"/>
              </w:rPr>
            </w:pPr>
            <w:r>
              <w:rPr>
                <w:rFonts w:ascii="Courier New" w:cs="Courier New" w:eastAsia="Courier New" w:hAnsi="Courier New"/>
                <w:sz w:val="15"/>
                <w:szCs w:val="15"/>
                <w:color w:val="auto"/>
              </w:rPr>
              <w:t>Interest and other, net</w:t>
            </w:r>
          </w:p>
        </w:tc>
        <w:tc>
          <w:tcPr>
            <w:tcW w:w="580" w:type="dxa"/>
            <w:vAlign w:val="bottom"/>
          </w:tcPr>
          <w:p>
            <w:pPr>
              <w:spacing w:after="0"/>
              <w:rPr>
                <w:sz w:val="15"/>
                <w:szCs w:val="15"/>
                <w:color w:val="auto"/>
              </w:rPr>
            </w:pPr>
          </w:p>
        </w:tc>
        <w:tc>
          <w:tcPr>
            <w:tcW w:w="1140" w:type="dxa"/>
            <w:vAlign w:val="bottom"/>
          </w:tcPr>
          <w:p>
            <w:pPr>
              <w:jc w:val="right"/>
              <w:ind w:right="425"/>
              <w:spacing w:after="0"/>
              <w:rPr>
                <w:sz w:val="20"/>
                <w:szCs w:val="20"/>
                <w:color w:val="auto"/>
              </w:rPr>
            </w:pPr>
            <w:r>
              <w:rPr>
                <w:rFonts w:ascii="Courier New" w:cs="Courier New" w:eastAsia="Courier New" w:hAnsi="Courier New"/>
                <w:sz w:val="15"/>
                <w:szCs w:val="15"/>
                <w:color w:val="auto"/>
                <w:w w:val="98"/>
              </w:rPr>
              <w:t>(1,417)</w:t>
            </w:r>
          </w:p>
        </w:tc>
        <w:tc>
          <w:tcPr>
            <w:tcW w:w="300" w:type="dxa"/>
            <w:vAlign w:val="bottom"/>
          </w:tcPr>
          <w:p>
            <w:pPr>
              <w:spacing w:after="0"/>
              <w:rPr>
                <w:sz w:val="15"/>
                <w:szCs w:val="15"/>
                <w:color w:val="auto"/>
              </w:rPr>
            </w:pPr>
          </w:p>
        </w:tc>
        <w:tc>
          <w:tcPr>
            <w:tcW w:w="11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(1,063)</w:t>
            </w:r>
          </w:p>
        </w:tc>
      </w:tr>
      <w:tr>
        <w:trPr>
          <w:trHeight w:val="173"/>
        </w:trPr>
        <w:tc>
          <w:tcPr>
            <w:tcW w:w="7340" w:type="dxa"/>
            <w:vAlign w:val="bottom"/>
          </w:tcPr>
          <w:p>
            <w:pPr>
              <w:spacing w:after="0"/>
              <w:rPr>
                <w:sz w:val="15"/>
                <w:szCs w:val="15"/>
                <w:color w:val="auto"/>
              </w:rPr>
            </w:pPr>
          </w:p>
        </w:tc>
        <w:tc>
          <w:tcPr>
            <w:tcW w:w="17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7"/>
        </w:trPr>
        <w:tc>
          <w:tcPr>
            <w:tcW w:w="7340" w:type="dxa"/>
            <w:vAlign w:val="bottom"/>
          </w:tcPr>
          <w:p>
            <w:pPr>
              <w:ind w:left="900"/>
              <w:spacing w:after="0"/>
              <w:rPr>
                <w:sz w:val="20"/>
                <w:szCs w:val="20"/>
                <w:color w:val="auto"/>
              </w:rPr>
            </w:pPr>
            <w:r>
              <w:rPr>
                <w:rFonts w:ascii="Courier New" w:cs="Courier New" w:eastAsia="Courier New" w:hAnsi="Courier New"/>
                <w:sz w:val="15"/>
                <w:szCs w:val="15"/>
                <w:color w:val="auto"/>
              </w:rPr>
              <w:t>Income (loss) before income taxes</w:t>
            </w:r>
          </w:p>
        </w:tc>
        <w:tc>
          <w:tcPr>
            <w:tcW w:w="580" w:type="dxa"/>
            <w:vAlign w:val="bottom"/>
          </w:tcPr>
          <w:p>
            <w:pPr>
              <w:spacing w:after="0"/>
              <w:rPr>
                <w:sz w:val="24"/>
                <w:szCs w:val="24"/>
                <w:color w:val="auto"/>
              </w:rPr>
            </w:pPr>
          </w:p>
        </w:tc>
        <w:tc>
          <w:tcPr>
            <w:tcW w:w="114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253</w:t>
            </w:r>
          </w:p>
        </w:tc>
        <w:tc>
          <w:tcPr>
            <w:tcW w:w="300" w:type="dxa"/>
            <w:vAlign w:val="bottom"/>
          </w:tcPr>
          <w:p>
            <w:pPr>
              <w:spacing w:after="0"/>
              <w:rPr>
                <w:sz w:val="24"/>
                <w:szCs w:val="24"/>
                <w:color w:val="auto"/>
              </w:rPr>
            </w:pPr>
          </w:p>
        </w:tc>
        <w:tc>
          <w:tcPr>
            <w:tcW w:w="11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(5,259)</w:t>
            </w:r>
          </w:p>
        </w:tc>
      </w:tr>
      <w:tr>
        <w:trPr>
          <w:trHeight w:val="173"/>
        </w:trPr>
        <w:tc>
          <w:tcPr>
            <w:tcW w:w="7340" w:type="dxa"/>
            <w:vAlign w:val="bottom"/>
          </w:tcPr>
          <w:p>
            <w:pPr>
              <w:ind w:left="900"/>
              <w:spacing w:after="0"/>
              <w:rPr>
                <w:sz w:val="20"/>
                <w:szCs w:val="20"/>
                <w:color w:val="auto"/>
              </w:rPr>
            </w:pPr>
            <w:r>
              <w:rPr>
                <w:rFonts w:ascii="Courier New" w:cs="Courier New" w:eastAsia="Courier New" w:hAnsi="Courier New"/>
                <w:sz w:val="15"/>
                <w:szCs w:val="15"/>
                <w:color w:val="auto"/>
              </w:rPr>
              <w:t>Benefit (provision) for income taxes</w:t>
            </w:r>
          </w:p>
        </w:tc>
        <w:tc>
          <w:tcPr>
            <w:tcW w:w="580" w:type="dxa"/>
            <w:vAlign w:val="bottom"/>
          </w:tcPr>
          <w:p>
            <w:pPr>
              <w:spacing w:after="0"/>
              <w:rPr>
                <w:sz w:val="15"/>
                <w:szCs w:val="15"/>
                <w:color w:val="auto"/>
              </w:rPr>
            </w:pPr>
          </w:p>
        </w:tc>
        <w:tc>
          <w:tcPr>
            <w:tcW w:w="11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(100)</w:t>
            </w:r>
          </w:p>
        </w:tc>
        <w:tc>
          <w:tcPr>
            <w:tcW w:w="300" w:type="dxa"/>
            <w:vAlign w:val="bottom"/>
          </w:tcPr>
          <w:p>
            <w:pPr>
              <w:spacing w:after="0"/>
              <w:rPr>
                <w:sz w:val="15"/>
                <w:szCs w:val="15"/>
                <w:color w:val="auto"/>
              </w:rPr>
            </w:pPr>
          </w:p>
        </w:tc>
        <w:tc>
          <w:tcPr>
            <w:tcW w:w="11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2,000</w:t>
            </w:r>
          </w:p>
        </w:tc>
      </w:tr>
      <w:tr>
        <w:trPr>
          <w:trHeight w:val="173"/>
        </w:trPr>
        <w:tc>
          <w:tcPr>
            <w:tcW w:w="7340" w:type="dxa"/>
            <w:vAlign w:val="bottom"/>
          </w:tcPr>
          <w:p>
            <w:pPr>
              <w:spacing w:after="0"/>
              <w:rPr>
                <w:sz w:val="15"/>
                <w:szCs w:val="15"/>
                <w:color w:val="auto"/>
              </w:rPr>
            </w:pPr>
          </w:p>
        </w:tc>
        <w:tc>
          <w:tcPr>
            <w:tcW w:w="17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7340" w:type="dxa"/>
            <w:vAlign w:val="bottom"/>
          </w:tcPr>
          <w:p>
            <w:pPr>
              <w:ind w:left="900"/>
              <w:spacing w:after="0"/>
              <w:rPr>
                <w:sz w:val="20"/>
                <w:szCs w:val="20"/>
                <w:color w:val="auto"/>
              </w:rPr>
            </w:pPr>
            <w:r>
              <w:rPr>
                <w:rFonts w:ascii="Courier New" w:cs="Courier New" w:eastAsia="Courier New" w:hAnsi="Courier New"/>
                <w:sz w:val="15"/>
                <w:szCs w:val="15"/>
                <w:color w:val="auto"/>
              </w:rPr>
              <w:t>Net income (loss)</w:t>
            </w:r>
          </w:p>
        </w:tc>
        <w:tc>
          <w:tcPr>
            <w:tcW w:w="580" w:type="dxa"/>
            <w:vAlign w:val="bottom"/>
          </w:tcPr>
          <w:p>
            <w:pPr>
              <w:ind w:left="500"/>
              <w:spacing w:after="0"/>
              <w:rPr>
                <w:sz w:val="20"/>
                <w:szCs w:val="20"/>
                <w:color w:val="auto"/>
              </w:rPr>
            </w:pPr>
            <w:r>
              <w:rPr>
                <w:rFonts w:ascii="Courier New" w:cs="Courier New" w:eastAsia="Courier New" w:hAnsi="Courier New"/>
                <w:sz w:val="14"/>
                <w:szCs w:val="14"/>
                <w:color w:val="auto"/>
                <w:w w:val="70"/>
              </w:rPr>
              <w:t>$</w:t>
            </w:r>
          </w:p>
        </w:tc>
        <w:tc>
          <w:tcPr>
            <w:tcW w:w="11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153</w:t>
            </w:r>
          </w:p>
        </w:tc>
        <w:tc>
          <w:tcPr>
            <w:tcW w:w="14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 (3,259)</w:t>
            </w:r>
          </w:p>
        </w:tc>
      </w:tr>
      <w:tr>
        <w:trPr>
          <w:trHeight w:val="173"/>
        </w:trPr>
        <w:tc>
          <w:tcPr>
            <w:tcW w:w="7340" w:type="dxa"/>
            <w:vAlign w:val="bottom"/>
          </w:tcPr>
          <w:p>
            <w:pPr>
              <w:spacing w:after="0"/>
              <w:rPr>
                <w:sz w:val="15"/>
                <w:szCs w:val="15"/>
                <w:color w:val="auto"/>
              </w:rPr>
            </w:pPr>
          </w:p>
        </w:tc>
        <w:tc>
          <w:tcPr>
            <w:tcW w:w="17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7"/>
        </w:trPr>
        <w:tc>
          <w:tcPr>
            <w:tcW w:w="7340" w:type="dxa"/>
            <w:vAlign w:val="bottom"/>
          </w:tcPr>
          <w:p>
            <w:pPr>
              <w:ind w:left="900"/>
              <w:spacing w:after="0"/>
              <w:rPr>
                <w:sz w:val="20"/>
                <w:szCs w:val="20"/>
                <w:color w:val="auto"/>
              </w:rPr>
            </w:pPr>
            <w:r>
              <w:rPr>
                <w:rFonts w:ascii="Courier New" w:cs="Courier New" w:eastAsia="Courier New" w:hAnsi="Courier New"/>
                <w:sz w:val="15"/>
                <w:szCs w:val="15"/>
                <w:color w:val="auto"/>
              </w:rPr>
              <w:t>Basic earnings (loss) per share</w:t>
            </w:r>
          </w:p>
        </w:tc>
        <w:tc>
          <w:tcPr>
            <w:tcW w:w="580" w:type="dxa"/>
            <w:vAlign w:val="bottom"/>
          </w:tcPr>
          <w:p>
            <w:pPr>
              <w:ind w:left="500"/>
              <w:spacing w:after="0"/>
              <w:rPr>
                <w:sz w:val="20"/>
                <w:szCs w:val="20"/>
                <w:color w:val="auto"/>
              </w:rPr>
            </w:pPr>
            <w:r>
              <w:rPr>
                <w:rFonts w:ascii="Courier New" w:cs="Courier New" w:eastAsia="Courier New" w:hAnsi="Courier New"/>
                <w:sz w:val="14"/>
                <w:szCs w:val="14"/>
                <w:color w:val="auto"/>
                <w:w w:val="70"/>
              </w:rPr>
              <w:t>$</w:t>
            </w:r>
          </w:p>
        </w:tc>
        <w:tc>
          <w:tcPr>
            <w:tcW w:w="11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0.01</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(0.24)</w:t>
            </w:r>
          </w:p>
        </w:tc>
      </w:tr>
      <w:tr>
        <w:trPr>
          <w:trHeight w:val="173"/>
        </w:trPr>
        <w:tc>
          <w:tcPr>
            <w:tcW w:w="7340" w:type="dxa"/>
            <w:vAlign w:val="bottom"/>
          </w:tcPr>
          <w:p>
            <w:pPr>
              <w:spacing w:after="0"/>
              <w:rPr>
                <w:sz w:val="15"/>
                <w:szCs w:val="15"/>
                <w:color w:val="auto"/>
              </w:rPr>
            </w:pPr>
          </w:p>
        </w:tc>
        <w:tc>
          <w:tcPr>
            <w:tcW w:w="17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7340" w:type="dxa"/>
            <w:vAlign w:val="bottom"/>
          </w:tcPr>
          <w:p>
            <w:pPr>
              <w:ind w:left="900"/>
              <w:spacing w:after="0"/>
              <w:rPr>
                <w:sz w:val="20"/>
                <w:szCs w:val="20"/>
                <w:color w:val="auto"/>
              </w:rPr>
            </w:pPr>
            <w:r>
              <w:rPr>
                <w:rFonts w:ascii="Courier New" w:cs="Courier New" w:eastAsia="Courier New" w:hAnsi="Courier New"/>
                <w:sz w:val="15"/>
                <w:szCs w:val="15"/>
                <w:color w:val="auto"/>
              </w:rPr>
              <w:t>Diluted earnings (loss) per share</w:t>
            </w:r>
          </w:p>
        </w:tc>
        <w:tc>
          <w:tcPr>
            <w:tcW w:w="580" w:type="dxa"/>
            <w:vAlign w:val="bottom"/>
          </w:tcPr>
          <w:p>
            <w:pPr>
              <w:ind w:left="500"/>
              <w:spacing w:after="0"/>
              <w:rPr>
                <w:sz w:val="20"/>
                <w:szCs w:val="20"/>
                <w:color w:val="auto"/>
              </w:rPr>
            </w:pPr>
            <w:r>
              <w:rPr>
                <w:rFonts w:ascii="Courier New" w:cs="Courier New" w:eastAsia="Courier New" w:hAnsi="Courier New"/>
                <w:sz w:val="14"/>
                <w:szCs w:val="14"/>
                <w:color w:val="auto"/>
                <w:w w:val="70"/>
              </w:rPr>
              <w:t>$</w:t>
            </w:r>
          </w:p>
        </w:tc>
        <w:tc>
          <w:tcPr>
            <w:tcW w:w="11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0.01</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(0.24)</w:t>
            </w:r>
          </w:p>
        </w:tc>
      </w:tr>
      <w:tr>
        <w:trPr>
          <w:trHeight w:val="173"/>
        </w:trPr>
        <w:tc>
          <w:tcPr>
            <w:tcW w:w="7340" w:type="dxa"/>
            <w:vAlign w:val="bottom"/>
          </w:tcPr>
          <w:p>
            <w:pPr>
              <w:spacing w:after="0"/>
              <w:rPr>
                <w:sz w:val="15"/>
                <w:szCs w:val="15"/>
                <w:color w:val="auto"/>
              </w:rPr>
            </w:pPr>
          </w:p>
        </w:tc>
        <w:tc>
          <w:tcPr>
            <w:tcW w:w="17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7"/>
        </w:trPr>
        <w:tc>
          <w:tcPr>
            <w:tcW w:w="7340" w:type="dxa"/>
            <w:vAlign w:val="bottom"/>
          </w:tcPr>
          <w:p>
            <w:pPr>
              <w:ind w:left="900"/>
              <w:spacing w:after="0"/>
              <w:rPr>
                <w:sz w:val="20"/>
                <w:szCs w:val="20"/>
                <w:color w:val="auto"/>
              </w:rPr>
            </w:pPr>
            <w:r>
              <w:rPr>
                <w:rFonts w:ascii="Courier New" w:cs="Courier New" w:eastAsia="Courier New" w:hAnsi="Courier New"/>
                <w:sz w:val="15"/>
                <w:szCs w:val="15"/>
                <w:color w:val="auto"/>
              </w:rPr>
              <w:t>Weighted average shares outstanding</w:t>
            </w:r>
          </w:p>
        </w:tc>
        <w:tc>
          <w:tcPr>
            <w:tcW w:w="580" w:type="dxa"/>
            <w:vAlign w:val="bottom"/>
          </w:tcPr>
          <w:p>
            <w:pPr>
              <w:spacing w:after="0"/>
              <w:rPr>
                <w:sz w:val="24"/>
                <w:szCs w:val="24"/>
                <w:color w:val="auto"/>
              </w:rPr>
            </w:pPr>
          </w:p>
        </w:tc>
        <w:tc>
          <w:tcPr>
            <w:tcW w:w="11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14,631</w:t>
            </w:r>
          </w:p>
        </w:tc>
        <w:tc>
          <w:tcPr>
            <w:tcW w:w="300" w:type="dxa"/>
            <w:vAlign w:val="bottom"/>
          </w:tcPr>
          <w:p>
            <w:pPr>
              <w:spacing w:after="0"/>
              <w:rPr>
                <w:sz w:val="24"/>
                <w:szCs w:val="24"/>
                <w:color w:val="auto"/>
              </w:rPr>
            </w:pPr>
          </w:p>
        </w:tc>
        <w:tc>
          <w:tcPr>
            <w:tcW w:w="11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13,419</w:t>
            </w:r>
          </w:p>
        </w:tc>
      </w:tr>
      <w:tr>
        <w:trPr>
          <w:trHeight w:val="173"/>
        </w:trPr>
        <w:tc>
          <w:tcPr>
            <w:tcW w:w="7340" w:type="dxa"/>
            <w:vAlign w:val="bottom"/>
          </w:tcPr>
          <w:p>
            <w:pPr>
              <w:ind w:left="900"/>
              <w:spacing w:after="0"/>
              <w:rPr>
                <w:sz w:val="20"/>
                <w:szCs w:val="20"/>
                <w:color w:val="auto"/>
              </w:rPr>
            </w:pPr>
            <w:r>
              <w:rPr>
                <w:rFonts w:ascii="Courier New" w:cs="Courier New" w:eastAsia="Courier New" w:hAnsi="Courier New"/>
                <w:sz w:val="15"/>
                <w:szCs w:val="15"/>
                <w:color w:val="auto"/>
              </w:rPr>
              <w:t>Diluted shares outstanding</w:t>
            </w:r>
          </w:p>
        </w:tc>
        <w:tc>
          <w:tcPr>
            <w:tcW w:w="580" w:type="dxa"/>
            <w:vAlign w:val="bottom"/>
          </w:tcPr>
          <w:p>
            <w:pPr>
              <w:spacing w:after="0"/>
              <w:rPr>
                <w:sz w:val="15"/>
                <w:szCs w:val="15"/>
                <w:color w:val="auto"/>
              </w:rPr>
            </w:pPr>
          </w:p>
        </w:tc>
        <w:tc>
          <w:tcPr>
            <w:tcW w:w="11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14,852</w:t>
            </w:r>
          </w:p>
        </w:tc>
        <w:tc>
          <w:tcPr>
            <w:tcW w:w="300" w:type="dxa"/>
            <w:vAlign w:val="bottom"/>
          </w:tcPr>
          <w:p>
            <w:pPr>
              <w:spacing w:after="0"/>
              <w:rPr>
                <w:sz w:val="15"/>
                <w:szCs w:val="15"/>
                <w:color w:val="auto"/>
              </w:rPr>
            </w:pPr>
          </w:p>
        </w:tc>
        <w:tc>
          <w:tcPr>
            <w:tcW w:w="11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13,419</w:t>
            </w:r>
          </w:p>
        </w:tc>
      </w:tr>
      <w:tr>
        <w:trPr>
          <w:trHeight w:val="694"/>
        </w:trPr>
        <w:tc>
          <w:tcPr>
            <w:tcW w:w="7340" w:type="dxa"/>
            <w:vAlign w:val="bottom"/>
          </w:tcPr>
          <w:p>
            <w:pPr>
              <w:ind w:left="440"/>
              <w:spacing w:after="0"/>
              <w:rPr>
                <w:sz w:val="20"/>
                <w:szCs w:val="20"/>
                <w:color w:val="auto"/>
              </w:rPr>
            </w:pPr>
            <w:r>
              <w:rPr>
                <w:rFonts w:ascii="Courier New" w:cs="Courier New" w:eastAsia="Courier New" w:hAnsi="Courier New"/>
                <w:sz w:val="15"/>
                <w:szCs w:val="15"/>
                <w:color w:val="auto"/>
              </w:rPr>
              <w:t>The accompanying notes are an integral part of these financial statements.</w:t>
            </w:r>
          </w:p>
        </w:tc>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191"/>
        </w:trPr>
        <w:tc>
          <w:tcPr>
            <w:tcW w:w="7340" w:type="dxa"/>
            <w:vAlign w:val="bottom"/>
          </w:tcPr>
          <w:p>
            <w:pPr>
              <w:jc w:val="center"/>
              <w:spacing w:after="0"/>
              <w:rPr>
                <w:sz w:val="20"/>
                <w:szCs w:val="20"/>
                <w:color w:val="auto"/>
              </w:rPr>
            </w:pPr>
            <w:r>
              <w:rPr>
                <w:rFonts w:ascii="Courier New" w:cs="Courier New" w:eastAsia="Courier New" w:hAnsi="Courier New"/>
                <w:sz w:val="15"/>
                <w:szCs w:val="15"/>
                <w:color w:val="auto"/>
              </w:rPr>
              <w:t>ITRON, INC.</w:t>
            </w:r>
          </w:p>
        </w:tc>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3"/>
        </w:trPr>
        <w:tc>
          <w:tcPr>
            <w:tcW w:w="7340" w:type="dxa"/>
            <w:vAlign w:val="bottom"/>
          </w:tcPr>
          <w:p>
            <w:pPr>
              <w:jc w:val="center"/>
              <w:spacing w:after="0"/>
              <w:rPr>
                <w:sz w:val="20"/>
                <w:szCs w:val="20"/>
                <w:color w:val="auto"/>
              </w:rPr>
            </w:pPr>
            <w:r>
              <w:rPr>
                <w:rFonts w:ascii="Courier New" w:cs="Courier New" w:eastAsia="Courier New" w:hAnsi="Courier New"/>
                <w:sz w:val="15"/>
                <w:szCs w:val="15"/>
                <w:color w:val="auto"/>
              </w:rPr>
              <w:t>CONSOLIDATED BALANCE SHEETS</w:t>
            </w:r>
          </w:p>
        </w:tc>
        <w:tc>
          <w:tcPr>
            <w:tcW w:w="5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3"/>
        </w:trPr>
        <w:tc>
          <w:tcPr>
            <w:tcW w:w="7340" w:type="dxa"/>
            <w:vAlign w:val="bottom"/>
          </w:tcPr>
          <w:p>
            <w:pPr>
              <w:jc w:val="center"/>
              <w:spacing w:after="0"/>
              <w:rPr>
                <w:sz w:val="20"/>
                <w:szCs w:val="20"/>
                <w:color w:val="auto"/>
              </w:rPr>
            </w:pPr>
            <w:r>
              <w:rPr>
                <w:rFonts w:ascii="Courier New" w:cs="Courier New" w:eastAsia="Courier New" w:hAnsi="Courier New"/>
                <w:sz w:val="15"/>
                <w:szCs w:val="15"/>
                <w:color w:val="auto"/>
              </w:rPr>
              <w:t>(Unaudited, in thousands)</w:t>
            </w:r>
          </w:p>
        </w:tc>
        <w:tc>
          <w:tcPr>
            <w:tcW w:w="5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867"/>
        </w:trPr>
        <w:tc>
          <w:tcPr>
            <w:tcW w:w="7340" w:type="dxa"/>
            <w:vAlign w:val="bottom"/>
          </w:tcPr>
          <w:p>
            <w:pPr>
              <w:spacing w:after="0"/>
              <w:rPr>
                <w:sz w:val="24"/>
                <w:szCs w:val="24"/>
                <w:color w:val="auto"/>
              </w:rPr>
            </w:pPr>
          </w:p>
        </w:tc>
        <w:tc>
          <w:tcPr>
            <w:tcW w:w="172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March 31,</w:t>
            </w:r>
          </w:p>
        </w:tc>
        <w:tc>
          <w:tcPr>
            <w:tcW w:w="140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December 31,</w:t>
            </w:r>
          </w:p>
        </w:tc>
      </w:tr>
      <w:tr>
        <w:trPr>
          <w:trHeight w:val="173"/>
        </w:trPr>
        <w:tc>
          <w:tcPr>
            <w:tcW w:w="7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40" w:type="dxa"/>
            <w:vAlign w:val="bottom"/>
          </w:tcPr>
          <w:p>
            <w:pPr>
              <w:jc w:val="right"/>
              <w:ind w:right="705"/>
              <w:spacing w:after="0"/>
              <w:rPr>
                <w:sz w:val="20"/>
                <w:szCs w:val="20"/>
                <w:color w:val="auto"/>
              </w:rPr>
            </w:pPr>
            <w:r>
              <w:rPr>
                <w:rFonts w:ascii="Courier New" w:cs="Courier New" w:eastAsia="Courier New" w:hAnsi="Courier New"/>
                <w:sz w:val="15"/>
                <w:szCs w:val="15"/>
                <w:color w:val="auto"/>
                <w:w w:val="94"/>
              </w:rPr>
              <w:t>1998</w:t>
            </w:r>
          </w:p>
        </w:tc>
        <w:tc>
          <w:tcPr>
            <w:tcW w:w="300" w:type="dxa"/>
            <w:vAlign w:val="bottom"/>
          </w:tcPr>
          <w:p>
            <w:pPr>
              <w:spacing w:after="0"/>
              <w:rPr>
                <w:sz w:val="15"/>
                <w:szCs w:val="15"/>
                <w:color w:val="auto"/>
              </w:rPr>
            </w:pPr>
          </w:p>
        </w:tc>
        <w:tc>
          <w:tcPr>
            <w:tcW w:w="11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1997</w:t>
            </w:r>
          </w:p>
        </w:tc>
      </w:tr>
      <w:tr>
        <w:trPr>
          <w:trHeight w:val="173"/>
        </w:trPr>
        <w:tc>
          <w:tcPr>
            <w:tcW w:w="7340" w:type="dxa"/>
            <w:vAlign w:val="bottom"/>
          </w:tcPr>
          <w:p>
            <w:pPr>
              <w:spacing w:after="0"/>
              <w:rPr>
                <w:sz w:val="15"/>
                <w:szCs w:val="15"/>
                <w:color w:val="auto"/>
              </w:rPr>
            </w:pPr>
          </w:p>
        </w:tc>
        <w:tc>
          <w:tcPr>
            <w:tcW w:w="17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7"/>
        </w:trPr>
        <w:tc>
          <w:tcPr>
            <w:tcW w:w="734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3"/>
        </w:trPr>
        <w:tc>
          <w:tcPr>
            <w:tcW w:w="734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5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3"/>
        </w:trPr>
        <w:tc>
          <w:tcPr>
            <w:tcW w:w="7340" w:type="dxa"/>
            <w:vAlign w:val="bottom"/>
          </w:tcPr>
          <w:p>
            <w:pPr>
              <w:ind w:left="260"/>
              <w:spacing w:after="0"/>
              <w:rPr>
                <w:sz w:val="20"/>
                <w:szCs w:val="20"/>
                <w:color w:val="auto"/>
              </w:rPr>
            </w:pPr>
            <w:r>
              <w:rPr>
                <w:rFonts w:ascii="Courier New" w:cs="Courier New" w:eastAsia="Courier New" w:hAnsi="Courier New"/>
                <w:sz w:val="15"/>
                <w:szCs w:val="15"/>
                <w:color w:val="auto"/>
              </w:rPr>
              <w:t>Cash and cash equivalents</w:t>
            </w:r>
          </w:p>
        </w:tc>
        <w:tc>
          <w:tcPr>
            <w:tcW w:w="58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1,721</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3,023</w:t>
            </w:r>
          </w:p>
        </w:tc>
      </w:tr>
      <w:tr>
        <w:trPr>
          <w:trHeight w:val="173"/>
        </w:trPr>
        <w:tc>
          <w:tcPr>
            <w:tcW w:w="7340" w:type="dxa"/>
            <w:vAlign w:val="bottom"/>
          </w:tcPr>
          <w:p>
            <w:pPr>
              <w:ind w:left="260"/>
              <w:spacing w:after="0"/>
              <w:rPr>
                <w:sz w:val="20"/>
                <w:szCs w:val="20"/>
                <w:color w:val="auto"/>
              </w:rPr>
            </w:pPr>
            <w:r>
              <w:rPr>
                <w:rFonts w:ascii="Courier New" w:cs="Courier New" w:eastAsia="Courier New" w:hAnsi="Courier New"/>
                <w:sz w:val="15"/>
                <w:szCs w:val="15"/>
                <w:color w:val="auto"/>
              </w:rPr>
              <w:t>Accounts receivable, net</w:t>
            </w:r>
          </w:p>
        </w:tc>
        <w:tc>
          <w:tcPr>
            <w:tcW w:w="580" w:type="dxa"/>
            <w:vAlign w:val="bottom"/>
          </w:tcPr>
          <w:p>
            <w:pPr>
              <w:spacing w:after="0"/>
              <w:rPr>
                <w:sz w:val="15"/>
                <w:szCs w:val="15"/>
                <w:color w:val="auto"/>
              </w:rPr>
            </w:pPr>
          </w:p>
        </w:tc>
        <w:tc>
          <w:tcPr>
            <w:tcW w:w="11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68,029</w:t>
            </w:r>
          </w:p>
        </w:tc>
        <w:tc>
          <w:tcPr>
            <w:tcW w:w="300" w:type="dxa"/>
            <w:vAlign w:val="bottom"/>
          </w:tcPr>
          <w:p>
            <w:pPr>
              <w:spacing w:after="0"/>
              <w:rPr>
                <w:sz w:val="15"/>
                <w:szCs w:val="15"/>
                <w:color w:val="auto"/>
              </w:rPr>
            </w:pPr>
          </w:p>
        </w:tc>
        <w:tc>
          <w:tcPr>
            <w:tcW w:w="11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61,442</w:t>
            </w:r>
          </w:p>
        </w:tc>
      </w:tr>
      <w:tr>
        <w:trPr>
          <w:trHeight w:val="173"/>
        </w:trPr>
        <w:tc>
          <w:tcPr>
            <w:tcW w:w="7340" w:type="dxa"/>
            <w:vAlign w:val="bottom"/>
          </w:tcPr>
          <w:p>
            <w:pPr>
              <w:ind w:left="260"/>
              <w:spacing w:after="0"/>
              <w:rPr>
                <w:sz w:val="20"/>
                <w:szCs w:val="20"/>
                <w:color w:val="auto"/>
              </w:rPr>
            </w:pPr>
            <w:r>
              <w:rPr>
                <w:rFonts w:ascii="Courier New" w:cs="Courier New" w:eastAsia="Courier New" w:hAnsi="Courier New"/>
                <w:sz w:val="15"/>
                <w:szCs w:val="15"/>
                <w:color w:val="auto"/>
              </w:rPr>
              <w:t>Current portion of long-term contracts receivable</w:t>
            </w:r>
          </w:p>
        </w:tc>
        <w:tc>
          <w:tcPr>
            <w:tcW w:w="580" w:type="dxa"/>
            <w:vAlign w:val="bottom"/>
          </w:tcPr>
          <w:p>
            <w:pPr>
              <w:spacing w:after="0"/>
              <w:rPr>
                <w:sz w:val="15"/>
                <w:szCs w:val="15"/>
                <w:color w:val="auto"/>
              </w:rPr>
            </w:pPr>
          </w:p>
        </w:tc>
        <w:tc>
          <w:tcPr>
            <w:tcW w:w="11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9,702</w:t>
            </w:r>
          </w:p>
        </w:tc>
        <w:tc>
          <w:tcPr>
            <w:tcW w:w="300" w:type="dxa"/>
            <w:vAlign w:val="bottom"/>
          </w:tcPr>
          <w:p>
            <w:pPr>
              <w:spacing w:after="0"/>
              <w:rPr>
                <w:sz w:val="15"/>
                <w:szCs w:val="15"/>
                <w:color w:val="auto"/>
              </w:rPr>
            </w:pPr>
          </w:p>
        </w:tc>
        <w:tc>
          <w:tcPr>
            <w:tcW w:w="11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8,445</w:t>
            </w:r>
          </w:p>
        </w:tc>
      </w:tr>
      <w:tr>
        <w:trPr>
          <w:trHeight w:val="173"/>
        </w:trPr>
        <w:tc>
          <w:tcPr>
            <w:tcW w:w="7340" w:type="dxa"/>
            <w:vAlign w:val="bottom"/>
          </w:tcPr>
          <w:p>
            <w:pPr>
              <w:ind w:left="260"/>
              <w:spacing w:after="0"/>
              <w:rPr>
                <w:sz w:val="20"/>
                <w:szCs w:val="20"/>
                <w:color w:val="auto"/>
              </w:rPr>
            </w:pPr>
            <w:r>
              <w:rPr>
                <w:rFonts w:ascii="Courier New" w:cs="Courier New" w:eastAsia="Courier New" w:hAnsi="Courier New"/>
                <w:sz w:val="15"/>
                <w:szCs w:val="15"/>
                <w:color w:val="auto"/>
              </w:rPr>
              <w:t>Inventories</w:t>
            </w:r>
          </w:p>
        </w:tc>
        <w:tc>
          <w:tcPr>
            <w:tcW w:w="580" w:type="dxa"/>
            <w:vAlign w:val="bottom"/>
          </w:tcPr>
          <w:p>
            <w:pPr>
              <w:spacing w:after="0"/>
              <w:rPr>
                <w:sz w:val="15"/>
                <w:szCs w:val="15"/>
                <w:color w:val="auto"/>
              </w:rPr>
            </w:pPr>
          </w:p>
        </w:tc>
        <w:tc>
          <w:tcPr>
            <w:tcW w:w="11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25,771</w:t>
            </w:r>
          </w:p>
        </w:tc>
        <w:tc>
          <w:tcPr>
            <w:tcW w:w="300" w:type="dxa"/>
            <w:vAlign w:val="bottom"/>
          </w:tcPr>
          <w:p>
            <w:pPr>
              <w:spacing w:after="0"/>
              <w:rPr>
                <w:sz w:val="15"/>
                <w:szCs w:val="15"/>
                <w:color w:val="auto"/>
              </w:rPr>
            </w:pPr>
          </w:p>
        </w:tc>
        <w:tc>
          <w:tcPr>
            <w:tcW w:w="11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31,985</w:t>
            </w:r>
          </w:p>
        </w:tc>
      </w:tr>
      <w:tr>
        <w:trPr>
          <w:trHeight w:val="173"/>
        </w:trPr>
        <w:tc>
          <w:tcPr>
            <w:tcW w:w="7340" w:type="dxa"/>
            <w:vAlign w:val="bottom"/>
          </w:tcPr>
          <w:p>
            <w:pPr>
              <w:ind w:left="260"/>
              <w:spacing w:after="0"/>
              <w:rPr>
                <w:sz w:val="20"/>
                <w:szCs w:val="20"/>
                <w:color w:val="auto"/>
              </w:rPr>
            </w:pPr>
            <w:r>
              <w:rPr>
                <w:rFonts w:ascii="Courier New" w:cs="Courier New" w:eastAsia="Courier New" w:hAnsi="Courier New"/>
                <w:sz w:val="15"/>
                <w:szCs w:val="15"/>
                <w:color w:val="auto"/>
              </w:rPr>
              <w:t>Deferred income taxes, net</w:t>
            </w:r>
          </w:p>
        </w:tc>
        <w:tc>
          <w:tcPr>
            <w:tcW w:w="580" w:type="dxa"/>
            <w:vAlign w:val="bottom"/>
          </w:tcPr>
          <w:p>
            <w:pPr>
              <w:spacing w:after="0"/>
              <w:rPr>
                <w:sz w:val="15"/>
                <w:szCs w:val="15"/>
                <w:color w:val="auto"/>
              </w:rPr>
            </w:pPr>
          </w:p>
        </w:tc>
        <w:tc>
          <w:tcPr>
            <w:tcW w:w="11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5,568</w:t>
            </w:r>
          </w:p>
        </w:tc>
        <w:tc>
          <w:tcPr>
            <w:tcW w:w="300" w:type="dxa"/>
            <w:vAlign w:val="bottom"/>
          </w:tcPr>
          <w:p>
            <w:pPr>
              <w:spacing w:after="0"/>
              <w:rPr>
                <w:sz w:val="15"/>
                <w:szCs w:val="15"/>
                <w:color w:val="auto"/>
              </w:rPr>
            </w:pPr>
          </w:p>
        </w:tc>
        <w:tc>
          <w:tcPr>
            <w:tcW w:w="11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5,668</w:t>
            </w:r>
          </w:p>
        </w:tc>
      </w:tr>
      <w:tr>
        <w:trPr>
          <w:trHeight w:val="173"/>
        </w:trPr>
        <w:tc>
          <w:tcPr>
            <w:tcW w:w="7340" w:type="dxa"/>
            <w:vAlign w:val="bottom"/>
          </w:tcPr>
          <w:p>
            <w:pPr>
              <w:ind w:left="260"/>
              <w:spacing w:after="0"/>
              <w:rPr>
                <w:sz w:val="20"/>
                <w:szCs w:val="20"/>
                <w:color w:val="auto"/>
              </w:rPr>
            </w:pPr>
            <w:r>
              <w:rPr>
                <w:rFonts w:ascii="Courier New" w:cs="Courier New" w:eastAsia="Courier New" w:hAnsi="Courier New"/>
                <w:sz w:val="15"/>
                <w:szCs w:val="15"/>
                <w:color w:val="auto"/>
              </w:rPr>
              <w:t>Other</w:t>
            </w:r>
          </w:p>
        </w:tc>
        <w:tc>
          <w:tcPr>
            <w:tcW w:w="580" w:type="dxa"/>
            <w:vAlign w:val="bottom"/>
          </w:tcPr>
          <w:p>
            <w:pPr>
              <w:spacing w:after="0"/>
              <w:rPr>
                <w:sz w:val="15"/>
                <w:szCs w:val="15"/>
                <w:color w:val="auto"/>
              </w:rPr>
            </w:pPr>
          </w:p>
        </w:tc>
        <w:tc>
          <w:tcPr>
            <w:tcW w:w="11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3,050</w:t>
            </w:r>
          </w:p>
        </w:tc>
        <w:tc>
          <w:tcPr>
            <w:tcW w:w="300" w:type="dxa"/>
            <w:vAlign w:val="bottom"/>
          </w:tcPr>
          <w:p>
            <w:pPr>
              <w:spacing w:after="0"/>
              <w:rPr>
                <w:sz w:val="15"/>
                <w:szCs w:val="15"/>
                <w:color w:val="auto"/>
              </w:rPr>
            </w:pPr>
          </w:p>
        </w:tc>
        <w:tc>
          <w:tcPr>
            <w:tcW w:w="11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1,888</w:t>
            </w:r>
          </w:p>
        </w:tc>
      </w:tr>
      <w:tr>
        <w:trPr>
          <w:trHeight w:val="173"/>
        </w:trPr>
        <w:tc>
          <w:tcPr>
            <w:tcW w:w="7340" w:type="dxa"/>
            <w:vAlign w:val="bottom"/>
          </w:tcPr>
          <w:p>
            <w:pPr>
              <w:spacing w:after="0"/>
              <w:rPr>
                <w:sz w:val="15"/>
                <w:szCs w:val="15"/>
                <w:color w:val="auto"/>
              </w:rPr>
            </w:pPr>
          </w:p>
        </w:tc>
        <w:tc>
          <w:tcPr>
            <w:tcW w:w="17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7340" w:type="dxa"/>
            <w:vAlign w:val="bottom"/>
          </w:tcPr>
          <w:p>
            <w:pPr>
              <w:ind w:left="260"/>
              <w:spacing w:after="0"/>
              <w:rPr>
                <w:sz w:val="20"/>
                <w:szCs w:val="20"/>
                <w:color w:val="auto"/>
              </w:rPr>
            </w:pPr>
            <w:r>
              <w:rPr>
                <w:rFonts w:ascii="Courier New" w:cs="Courier New" w:eastAsia="Courier New" w:hAnsi="Courier New"/>
                <w:sz w:val="15"/>
                <w:szCs w:val="15"/>
                <w:color w:val="auto"/>
              </w:rPr>
              <w:t>Total current assets</w:t>
            </w:r>
          </w:p>
        </w:tc>
        <w:tc>
          <w:tcPr>
            <w:tcW w:w="580" w:type="dxa"/>
            <w:vAlign w:val="bottom"/>
          </w:tcPr>
          <w:p>
            <w:pPr>
              <w:spacing w:after="0"/>
              <w:rPr>
                <w:sz w:val="15"/>
                <w:szCs w:val="15"/>
                <w:color w:val="auto"/>
              </w:rPr>
            </w:pPr>
          </w:p>
        </w:tc>
        <w:tc>
          <w:tcPr>
            <w:tcW w:w="1140" w:type="dxa"/>
            <w:vAlign w:val="bottom"/>
          </w:tcPr>
          <w:p>
            <w:pPr>
              <w:jc w:val="right"/>
              <w:ind w:right="425"/>
              <w:spacing w:after="0"/>
              <w:rPr>
                <w:sz w:val="20"/>
                <w:szCs w:val="20"/>
                <w:color w:val="auto"/>
              </w:rPr>
            </w:pPr>
            <w:r>
              <w:rPr>
                <w:rFonts w:ascii="Courier New" w:cs="Courier New" w:eastAsia="Courier New" w:hAnsi="Courier New"/>
                <w:sz w:val="15"/>
                <w:szCs w:val="15"/>
                <w:color w:val="auto"/>
                <w:w w:val="98"/>
              </w:rPr>
              <w:t>113,841</w:t>
            </w:r>
          </w:p>
        </w:tc>
        <w:tc>
          <w:tcPr>
            <w:tcW w:w="300" w:type="dxa"/>
            <w:vAlign w:val="bottom"/>
          </w:tcPr>
          <w:p>
            <w:pPr>
              <w:spacing w:after="0"/>
              <w:rPr>
                <w:sz w:val="15"/>
                <w:szCs w:val="15"/>
                <w:color w:val="auto"/>
              </w:rPr>
            </w:pPr>
          </w:p>
        </w:tc>
        <w:tc>
          <w:tcPr>
            <w:tcW w:w="11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112,451</w:t>
            </w:r>
          </w:p>
        </w:tc>
      </w:tr>
      <w:tr>
        <w:trPr>
          <w:trHeight w:val="347"/>
        </w:trPr>
        <w:tc>
          <w:tcPr>
            <w:tcW w:w="7340" w:type="dxa"/>
            <w:vAlign w:val="bottom"/>
          </w:tcPr>
          <w:p>
            <w:pPr>
              <w:spacing w:after="0"/>
              <w:rPr>
                <w:sz w:val="20"/>
                <w:szCs w:val="20"/>
                <w:color w:val="auto"/>
              </w:rPr>
            </w:pPr>
            <w:r>
              <w:rPr>
                <w:rFonts w:ascii="Courier New" w:cs="Courier New" w:eastAsia="Courier New" w:hAnsi="Courier New"/>
                <w:sz w:val="15"/>
                <w:szCs w:val="15"/>
                <w:color w:val="auto"/>
              </w:rPr>
              <w:t>Property and equipment, net</w:t>
            </w:r>
          </w:p>
        </w:tc>
        <w:tc>
          <w:tcPr>
            <w:tcW w:w="580" w:type="dxa"/>
            <w:vAlign w:val="bottom"/>
          </w:tcPr>
          <w:p>
            <w:pPr>
              <w:spacing w:after="0"/>
              <w:rPr>
                <w:sz w:val="24"/>
                <w:szCs w:val="24"/>
                <w:color w:val="auto"/>
              </w:rPr>
            </w:pPr>
          </w:p>
        </w:tc>
        <w:tc>
          <w:tcPr>
            <w:tcW w:w="11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48,745</w:t>
            </w:r>
          </w:p>
        </w:tc>
        <w:tc>
          <w:tcPr>
            <w:tcW w:w="300" w:type="dxa"/>
            <w:vAlign w:val="bottom"/>
          </w:tcPr>
          <w:p>
            <w:pPr>
              <w:spacing w:after="0"/>
              <w:rPr>
                <w:sz w:val="24"/>
                <w:szCs w:val="24"/>
                <w:color w:val="auto"/>
              </w:rPr>
            </w:pPr>
          </w:p>
        </w:tc>
        <w:tc>
          <w:tcPr>
            <w:tcW w:w="11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49,067</w:t>
            </w:r>
          </w:p>
        </w:tc>
      </w:tr>
      <w:tr>
        <w:trPr>
          <w:trHeight w:val="173"/>
        </w:trPr>
        <w:tc>
          <w:tcPr>
            <w:tcW w:w="7340" w:type="dxa"/>
            <w:vAlign w:val="bottom"/>
          </w:tcPr>
          <w:p>
            <w:pPr>
              <w:spacing w:after="0"/>
              <w:rPr>
                <w:sz w:val="20"/>
                <w:szCs w:val="20"/>
                <w:color w:val="auto"/>
              </w:rPr>
            </w:pPr>
            <w:r>
              <w:rPr>
                <w:rFonts w:ascii="Courier New" w:cs="Courier New" w:eastAsia="Courier New" w:hAnsi="Courier New"/>
                <w:sz w:val="15"/>
                <w:szCs w:val="15"/>
                <w:color w:val="auto"/>
              </w:rPr>
              <w:t>Equipment used in outsourcing, net</w:t>
            </w:r>
          </w:p>
        </w:tc>
        <w:tc>
          <w:tcPr>
            <w:tcW w:w="580" w:type="dxa"/>
            <w:vAlign w:val="bottom"/>
          </w:tcPr>
          <w:p>
            <w:pPr>
              <w:spacing w:after="0"/>
              <w:rPr>
                <w:sz w:val="15"/>
                <w:szCs w:val="15"/>
                <w:color w:val="auto"/>
              </w:rPr>
            </w:pPr>
          </w:p>
        </w:tc>
        <w:tc>
          <w:tcPr>
            <w:tcW w:w="11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46,650</w:t>
            </w:r>
          </w:p>
        </w:tc>
        <w:tc>
          <w:tcPr>
            <w:tcW w:w="300" w:type="dxa"/>
            <w:vAlign w:val="bottom"/>
          </w:tcPr>
          <w:p>
            <w:pPr>
              <w:spacing w:after="0"/>
              <w:rPr>
                <w:sz w:val="15"/>
                <w:szCs w:val="15"/>
                <w:color w:val="auto"/>
              </w:rPr>
            </w:pPr>
          </w:p>
        </w:tc>
        <w:tc>
          <w:tcPr>
            <w:tcW w:w="11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42,848</w:t>
            </w:r>
          </w:p>
        </w:tc>
      </w:tr>
      <w:tr>
        <w:trPr>
          <w:trHeight w:val="173"/>
        </w:trPr>
        <w:tc>
          <w:tcPr>
            <w:tcW w:w="7340" w:type="dxa"/>
            <w:vAlign w:val="bottom"/>
          </w:tcPr>
          <w:p>
            <w:pPr>
              <w:spacing w:after="0"/>
              <w:rPr>
                <w:sz w:val="20"/>
                <w:szCs w:val="20"/>
                <w:color w:val="auto"/>
              </w:rPr>
            </w:pPr>
            <w:r>
              <w:rPr>
                <w:rFonts w:ascii="Courier New" w:cs="Courier New" w:eastAsia="Courier New" w:hAnsi="Courier New"/>
                <w:sz w:val="15"/>
                <w:szCs w:val="15"/>
                <w:color w:val="auto"/>
              </w:rPr>
              <w:t>Intangible assets, net</w:t>
            </w:r>
          </w:p>
        </w:tc>
        <w:tc>
          <w:tcPr>
            <w:tcW w:w="580" w:type="dxa"/>
            <w:vAlign w:val="bottom"/>
          </w:tcPr>
          <w:p>
            <w:pPr>
              <w:spacing w:after="0"/>
              <w:rPr>
                <w:sz w:val="15"/>
                <w:szCs w:val="15"/>
                <w:color w:val="auto"/>
              </w:rPr>
            </w:pPr>
          </w:p>
        </w:tc>
        <w:tc>
          <w:tcPr>
            <w:tcW w:w="11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21,057</w:t>
            </w:r>
          </w:p>
        </w:tc>
        <w:tc>
          <w:tcPr>
            <w:tcW w:w="300" w:type="dxa"/>
            <w:vAlign w:val="bottom"/>
          </w:tcPr>
          <w:p>
            <w:pPr>
              <w:spacing w:after="0"/>
              <w:rPr>
                <w:sz w:val="15"/>
                <w:szCs w:val="15"/>
                <w:color w:val="auto"/>
              </w:rPr>
            </w:pPr>
          </w:p>
        </w:tc>
        <w:tc>
          <w:tcPr>
            <w:tcW w:w="11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21,472</w:t>
            </w:r>
          </w:p>
        </w:tc>
      </w:tr>
      <w:tr>
        <w:trPr>
          <w:trHeight w:val="173"/>
        </w:trPr>
        <w:tc>
          <w:tcPr>
            <w:tcW w:w="7340" w:type="dxa"/>
            <w:vAlign w:val="bottom"/>
          </w:tcPr>
          <w:p>
            <w:pPr>
              <w:spacing w:after="0"/>
              <w:rPr>
                <w:sz w:val="20"/>
                <w:szCs w:val="20"/>
                <w:color w:val="auto"/>
              </w:rPr>
            </w:pPr>
            <w:r>
              <w:rPr>
                <w:rFonts w:ascii="Courier New" w:cs="Courier New" w:eastAsia="Courier New" w:hAnsi="Courier New"/>
                <w:sz w:val="15"/>
                <w:szCs w:val="15"/>
                <w:color w:val="auto"/>
              </w:rPr>
              <w:t>Long-term contracts receivable</w:t>
            </w:r>
          </w:p>
        </w:tc>
        <w:tc>
          <w:tcPr>
            <w:tcW w:w="580" w:type="dxa"/>
            <w:vAlign w:val="bottom"/>
          </w:tcPr>
          <w:p>
            <w:pPr>
              <w:spacing w:after="0"/>
              <w:rPr>
                <w:sz w:val="15"/>
                <w:szCs w:val="15"/>
                <w:color w:val="auto"/>
              </w:rPr>
            </w:pPr>
          </w:p>
        </w:tc>
        <w:tc>
          <w:tcPr>
            <w:tcW w:w="11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12,196</w:t>
            </w:r>
          </w:p>
        </w:tc>
        <w:tc>
          <w:tcPr>
            <w:tcW w:w="300" w:type="dxa"/>
            <w:vAlign w:val="bottom"/>
          </w:tcPr>
          <w:p>
            <w:pPr>
              <w:spacing w:after="0"/>
              <w:rPr>
                <w:sz w:val="15"/>
                <w:szCs w:val="15"/>
                <w:color w:val="auto"/>
              </w:rPr>
            </w:pPr>
          </w:p>
        </w:tc>
        <w:tc>
          <w:tcPr>
            <w:tcW w:w="11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11,119</w:t>
            </w:r>
          </w:p>
        </w:tc>
      </w:tr>
      <w:tr>
        <w:trPr>
          <w:trHeight w:val="173"/>
        </w:trPr>
        <w:tc>
          <w:tcPr>
            <w:tcW w:w="734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580" w:type="dxa"/>
            <w:vAlign w:val="bottom"/>
          </w:tcPr>
          <w:p>
            <w:pPr>
              <w:spacing w:after="0"/>
              <w:rPr>
                <w:sz w:val="15"/>
                <w:szCs w:val="15"/>
                <w:color w:val="auto"/>
              </w:rPr>
            </w:pPr>
          </w:p>
        </w:tc>
        <w:tc>
          <w:tcPr>
            <w:tcW w:w="11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3,488</w:t>
            </w:r>
          </w:p>
        </w:tc>
        <w:tc>
          <w:tcPr>
            <w:tcW w:w="300" w:type="dxa"/>
            <w:vAlign w:val="bottom"/>
          </w:tcPr>
          <w:p>
            <w:pPr>
              <w:spacing w:after="0"/>
              <w:rPr>
                <w:sz w:val="15"/>
                <w:szCs w:val="15"/>
                <w:color w:val="auto"/>
              </w:rPr>
            </w:pPr>
          </w:p>
        </w:tc>
        <w:tc>
          <w:tcPr>
            <w:tcW w:w="11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3,254</w:t>
            </w:r>
          </w:p>
        </w:tc>
      </w:tr>
    </w:tbl>
    <w:p>
      <w:pPr>
        <w:sectPr>
          <w:pgSz w:w="11900" w:h="16878" w:orient="portrait"/>
          <w:cols w:equalWidth="0" w:num="1">
            <w:col w:w="10460"/>
          </w:cols>
          <w:pgMar w:left="240" w:top="407" w:right="1199"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620" w:type="dxa"/>
            <w:vAlign w:val="bottom"/>
          </w:tcPr>
          <w:p>
            <w:pPr>
              <w:spacing w:after="0"/>
              <w:rPr>
                <w:sz w:val="14"/>
                <w:szCs w:val="14"/>
                <w:color w:val="auto"/>
              </w:rPr>
            </w:pPr>
          </w:p>
        </w:tc>
        <w:tc>
          <w:tcPr>
            <w:tcW w:w="3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562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3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$245,977</w:t>
            </w:r>
          </w:p>
        </w:tc>
        <w:tc>
          <w:tcPr>
            <w:tcW w:w="480" w:type="dxa"/>
            <w:vAlign w:val="bottom"/>
          </w:tcPr>
          <w:p>
            <w:pPr>
              <w:spacing w:after="0"/>
              <w:rPr>
                <w:sz w:val="15"/>
                <w:szCs w:val="15"/>
                <w:color w:val="auto"/>
              </w:rPr>
            </w:pPr>
          </w:p>
        </w:tc>
        <w:tc>
          <w:tcPr>
            <w:tcW w:w="10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9"/>
              </w:rPr>
              <w:t>$240,211</w:t>
            </w:r>
          </w:p>
        </w:tc>
      </w:tr>
      <w:tr>
        <w:trPr>
          <w:trHeight w:val="173"/>
        </w:trPr>
        <w:tc>
          <w:tcPr>
            <w:tcW w:w="5620" w:type="dxa"/>
            <w:vAlign w:val="bottom"/>
          </w:tcPr>
          <w:p>
            <w:pPr>
              <w:spacing w:after="0"/>
              <w:rPr>
                <w:sz w:val="15"/>
                <w:szCs w:val="15"/>
                <w:color w:val="auto"/>
              </w:rPr>
            </w:pPr>
          </w:p>
        </w:tc>
        <w:tc>
          <w:tcPr>
            <w:tcW w:w="3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5620" w:type="dxa"/>
            <w:vAlign w:val="bottom"/>
          </w:tcPr>
          <w:p>
            <w:pPr>
              <w:spacing w:after="0"/>
              <w:rPr>
                <w:sz w:val="20"/>
                <w:szCs w:val="20"/>
                <w:color w:val="auto"/>
              </w:rPr>
            </w:pPr>
            <w:r>
              <w:rPr>
                <w:rFonts w:ascii="Courier New" w:cs="Courier New" w:eastAsia="Courier New" w:hAnsi="Courier New"/>
                <w:sz w:val="15"/>
                <w:szCs w:val="15"/>
                <w:color w:val="auto"/>
              </w:rPr>
              <w:t>Liabilities and shareholders' equity</w:t>
            </w:r>
          </w:p>
        </w:tc>
        <w:tc>
          <w:tcPr>
            <w:tcW w:w="3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3"/>
        </w:trPr>
        <w:tc>
          <w:tcPr>
            <w:tcW w:w="562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3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3"/>
        </w:trPr>
        <w:tc>
          <w:tcPr>
            <w:tcW w:w="5620" w:type="dxa"/>
            <w:vAlign w:val="bottom"/>
          </w:tcPr>
          <w:p>
            <w:pPr>
              <w:ind w:left="260"/>
              <w:spacing w:after="0"/>
              <w:rPr>
                <w:sz w:val="20"/>
                <w:szCs w:val="20"/>
                <w:color w:val="auto"/>
              </w:rPr>
            </w:pPr>
            <w:r>
              <w:rPr>
                <w:rFonts w:ascii="Courier New" w:cs="Courier New" w:eastAsia="Courier New" w:hAnsi="Courier New"/>
                <w:sz w:val="15"/>
                <w:szCs w:val="15"/>
                <w:color w:val="auto"/>
              </w:rPr>
              <w:t>Short-term borrowings</w:t>
            </w:r>
          </w:p>
        </w:tc>
        <w:tc>
          <w:tcPr>
            <w:tcW w:w="3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  14,499</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1,560</w:t>
            </w:r>
          </w:p>
        </w:tc>
      </w:tr>
      <w:tr>
        <w:trPr>
          <w:trHeight w:val="173"/>
        </w:trPr>
        <w:tc>
          <w:tcPr>
            <w:tcW w:w="5620" w:type="dxa"/>
            <w:vAlign w:val="bottom"/>
          </w:tcPr>
          <w:p>
            <w:pPr>
              <w:ind w:left="260"/>
              <w:spacing w:after="0"/>
              <w:rPr>
                <w:sz w:val="20"/>
                <w:szCs w:val="20"/>
                <w:color w:val="auto"/>
              </w:rPr>
            </w:pPr>
            <w:r>
              <w:rPr>
                <w:rFonts w:ascii="Courier New" w:cs="Courier New" w:eastAsia="Courier New" w:hAnsi="Courier New"/>
                <w:sz w:val="15"/>
                <w:szCs w:val="15"/>
                <w:color w:val="auto"/>
              </w:rPr>
              <w:t>Accounts payable and accrued expenses</w:t>
            </w:r>
          </w:p>
        </w:tc>
        <w:tc>
          <w:tcPr>
            <w:tcW w:w="3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21,822</w:t>
            </w:r>
          </w:p>
        </w:tc>
        <w:tc>
          <w:tcPr>
            <w:tcW w:w="480" w:type="dxa"/>
            <w:vAlign w:val="bottom"/>
          </w:tcPr>
          <w:p>
            <w:pPr>
              <w:spacing w:after="0"/>
              <w:rPr>
                <w:sz w:val="15"/>
                <w:szCs w:val="15"/>
                <w:color w:val="auto"/>
              </w:rPr>
            </w:pPr>
          </w:p>
        </w:tc>
        <w:tc>
          <w:tcPr>
            <w:tcW w:w="10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26,644</w:t>
            </w:r>
          </w:p>
        </w:tc>
      </w:tr>
      <w:tr>
        <w:trPr>
          <w:trHeight w:val="173"/>
        </w:trPr>
        <w:tc>
          <w:tcPr>
            <w:tcW w:w="5620" w:type="dxa"/>
            <w:vAlign w:val="bottom"/>
          </w:tcPr>
          <w:p>
            <w:pPr>
              <w:ind w:left="260"/>
              <w:spacing w:after="0"/>
              <w:rPr>
                <w:sz w:val="20"/>
                <w:szCs w:val="20"/>
                <w:color w:val="auto"/>
              </w:rPr>
            </w:pPr>
            <w:r>
              <w:rPr>
                <w:rFonts w:ascii="Courier New" w:cs="Courier New" w:eastAsia="Courier New" w:hAnsi="Courier New"/>
                <w:sz w:val="15"/>
                <w:szCs w:val="15"/>
                <w:color w:val="auto"/>
              </w:rPr>
              <w:t>Wages &amp; benefits payable</w:t>
            </w:r>
          </w:p>
        </w:tc>
        <w:tc>
          <w:tcPr>
            <w:tcW w:w="3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5,985</w:t>
            </w:r>
          </w:p>
        </w:tc>
        <w:tc>
          <w:tcPr>
            <w:tcW w:w="480" w:type="dxa"/>
            <w:vAlign w:val="bottom"/>
          </w:tcPr>
          <w:p>
            <w:pPr>
              <w:spacing w:after="0"/>
              <w:rPr>
                <w:sz w:val="15"/>
                <w:szCs w:val="15"/>
                <w:color w:val="auto"/>
              </w:rPr>
            </w:pPr>
          </w:p>
        </w:tc>
        <w:tc>
          <w:tcPr>
            <w:tcW w:w="10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9,181</w:t>
            </w:r>
          </w:p>
        </w:tc>
      </w:tr>
      <w:tr>
        <w:trPr>
          <w:trHeight w:val="173"/>
        </w:trPr>
        <w:tc>
          <w:tcPr>
            <w:tcW w:w="5620" w:type="dxa"/>
            <w:vAlign w:val="bottom"/>
          </w:tcPr>
          <w:p>
            <w:pPr>
              <w:ind w:left="260"/>
              <w:spacing w:after="0"/>
              <w:rPr>
                <w:sz w:val="20"/>
                <w:szCs w:val="20"/>
                <w:color w:val="auto"/>
              </w:rPr>
            </w:pPr>
            <w:r>
              <w:rPr>
                <w:rFonts w:ascii="Courier New" w:cs="Courier New" w:eastAsia="Courier New" w:hAnsi="Courier New"/>
                <w:sz w:val="15"/>
                <w:szCs w:val="15"/>
                <w:color w:val="auto"/>
              </w:rPr>
              <w:t>Deferred revenue</w:t>
            </w:r>
          </w:p>
        </w:tc>
        <w:tc>
          <w:tcPr>
            <w:tcW w:w="3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6,504</w:t>
            </w:r>
          </w:p>
        </w:tc>
        <w:tc>
          <w:tcPr>
            <w:tcW w:w="480" w:type="dxa"/>
            <w:vAlign w:val="bottom"/>
          </w:tcPr>
          <w:p>
            <w:pPr>
              <w:spacing w:after="0"/>
              <w:rPr>
                <w:sz w:val="15"/>
                <w:szCs w:val="15"/>
                <w:color w:val="auto"/>
              </w:rPr>
            </w:pPr>
          </w:p>
        </w:tc>
        <w:tc>
          <w:tcPr>
            <w:tcW w:w="10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6,759</w:t>
            </w:r>
          </w:p>
        </w:tc>
      </w:tr>
      <w:tr>
        <w:trPr>
          <w:trHeight w:val="173"/>
        </w:trPr>
        <w:tc>
          <w:tcPr>
            <w:tcW w:w="5620" w:type="dxa"/>
            <w:vAlign w:val="bottom"/>
          </w:tcPr>
          <w:p>
            <w:pPr>
              <w:spacing w:after="0"/>
              <w:rPr>
                <w:sz w:val="15"/>
                <w:szCs w:val="15"/>
                <w:color w:val="auto"/>
              </w:rPr>
            </w:pPr>
          </w:p>
        </w:tc>
        <w:tc>
          <w:tcPr>
            <w:tcW w:w="3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5620" w:type="dxa"/>
            <w:vAlign w:val="bottom"/>
          </w:tcPr>
          <w:p>
            <w:pPr>
              <w:ind w:left="260"/>
              <w:spacing w:after="0"/>
              <w:rPr>
                <w:sz w:val="20"/>
                <w:szCs w:val="20"/>
                <w:color w:val="auto"/>
              </w:rPr>
            </w:pPr>
            <w:r>
              <w:rPr>
                <w:rFonts w:ascii="Courier New" w:cs="Courier New" w:eastAsia="Courier New" w:hAnsi="Courier New"/>
                <w:sz w:val="15"/>
                <w:szCs w:val="15"/>
                <w:color w:val="auto"/>
              </w:rPr>
              <w:t>Total current liabilities</w:t>
            </w:r>
          </w:p>
        </w:tc>
        <w:tc>
          <w:tcPr>
            <w:tcW w:w="3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48,810</w:t>
            </w:r>
          </w:p>
        </w:tc>
        <w:tc>
          <w:tcPr>
            <w:tcW w:w="480" w:type="dxa"/>
            <w:vAlign w:val="bottom"/>
          </w:tcPr>
          <w:p>
            <w:pPr>
              <w:spacing w:after="0"/>
              <w:rPr>
                <w:sz w:val="15"/>
                <w:szCs w:val="15"/>
                <w:color w:val="auto"/>
              </w:rPr>
            </w:pPr>
          </w:p>
        </w:tc>
        <w:tc>
          <w:tcPr>
            <w:tcW w:w="10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44,144</w:t>
            </w:r>
          </w:p>
        </w:tc>
      </w:tr>
      <w:tr>
        <w:trPr>
          <w:trHeight w:val="347"/>
        </w:trPr>
        <w:tc>
          <w:tcPr>
            <w:tcW w:w="5620" w:type="dxa"/>
            <w:vAlign w:val="bottom"/>
          </w:tcPr>
          <w:p>
            <w:pPr>
              <w:spacing w:after="0"/>
              <w:rPr>
                <w:sz w:val="20"/>
                <w:szCs w:val="20"/>
                <w:color w:val="auto"/>
              </w:rPr>
            </w:pPr>
            <w:r>
              <w:rPr>
                <w:rFonts w:ascii="Courier New" w:cs="Courier New" w:eastAsia="Courier New" w:hAnsi="Courier New"/>
                <w:sz w:val="15"/>
                <w:szCs w:val="15"/>
                <w:color w:val="auto"/>
              </w:rPr>
              <w:t>Convertible subordinated debt</w:t>
            </w:r>
          </w:p>
        </w:tc>
        <w:tc>
          <w:tcPr>
            <w:tcW w:w="3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63,400</w:t>
            </w:r>
          </w:p>
        </w:tc>
        <w:tc>
          <w:tcPr>
            <w:tcW w:w="480" w:type="dxa"/>
            <w:vAlign w:val="bottom"/>
          </w:tcPr>
          <w:p>
            <w:pPr>
              <w:spacing w:after="0"/>
              <w:rPr>
                <w:sz w:val="24"/>
                <w:szCs w:val="24"/>
                <w:color w:val="auto"/>
              </w:rPr>
            </w:pPr>
          </w:p>
        </w:tc>
        <w:tc>
          <w:tcPr>
            <w:tcW w:w="10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63,400</w:t>
            </w:r>
          </w:p>
        </w:tc>
      </w:tr>
      <w:tr>
        <w:trPr>
          <w:trHeight w:val="173"/>
        </w:trPr>
        <w:tc>
          <w:tcPr>
            <w:tcW w:w="5620" w:type="dxa"/>
            <w:vAlign w:val="bottom"/>
          </w:tcPr>
          <w:p>
            <w:pPr>
              <w:spacing w:after="0"/>
              <w:rPr>
                <w:sz w:val="20"/>
                <w:szCs w:val="20"/>
                <w:color w:val="auto"/>
              </w:rPr>
            </w:pPr>
            <w:r>
              <w:rPr>
                <w:rFonts w:ascii="Courier New" w:cs="Courier New" w:eastAsia="Courier New" w:hAnsi="Courier New"/>
                <w:sz w:val="15"/>
                <w:szCs w:val="15"/>
                <w:color w:val="auto"/>
              </w:rPr>
              <w:t>Mortgage notes payable</w:t>
            </w:r>
          </w:p>
        </w:tc>
        <w:tc>
          <w:tcPr>
            <w:tcW w:w="3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6,440</w:t>
            </w:r>
          </w:p>
        </w:tc>
        <w:tc>
          <w:tcPr>
            <w:tcW w:w="480" w:type="dxa"/>
            <w:vAlign w:val="bottom"/>
          </w:tcPr>
          <w:p>
            <w:pPr>
              <w:spacing w:after="0"/>
              <w:rPr>
                <w:sz w:val="15"/>
                <w:szCs w:val="15"/>
                <w:color w:val="auto"/>
              </w:rPr>
            </w:pPr>
          </w:p>
        </w:tc>
        <w:tc>
          <w:tcPr>
            <w:tcW w:w="10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6,440</w:t>
            </w:r>
          </w:p>
        </w:tc>
      </w:tr>
      <w:tr>
        <w:trPr>
          <w:trHeight w:val="173"/>
        </w:trPr>
        <w:tc>
          <w:tcPr>
            <w:tcW w:w="5620" w:type="dxa"/>
            <w:vAlign w:val="bottom"/>
          </w:tcPr>
          <w:p>
            <w:pPr>
              <w:spacing w:after="0"/>
              <w:rPr>
                <w:sz w:val="20"/>
                <w:szCs w:val="20"/>
                <w:color w:val="auto"/>
              </w:rPr>
            </w:pPr>
            <w:r>
              <w:rPr>
                <w:rFonts w:ascii="Courier New" w:cs="Courier New" w:eastAsia="Courier New" w:hAnsi="Courier New"/>
                <w:sz w:val="15"/>
                <w:szCs w:val="15"/>
                <w:color w:val="auto"/>
              </w:rPr>
              <w:t>Project financing</w:t>
            </w:r>
          </w:p>
        </w:tc>
        <w:tc>
          <w:tcPr>
            <w:tcW w:w="3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2,414</w:t>
            </w:r>
          </w:p>
        </w:tc>
        <w:tc>
          <w:tcPr>
            <w:tcW w:w="480" w:type="dxa"/>
            <w:vAlign w:val="bottom"/>
          </w:tcPr>
          <w:p>
            <w:pPr>
              <w:spacing w:after="0"/>
              <w:rPr>
                <w:sz w:val="15"/>
                <w:szCs w:val="15"/>
                <w:color w:val="auto"/>
              </w:rPr>
            </w:pPr>
          </w:p>
        </w:tc>
        <w:tc>
          <w:tcPr>
            <w:tcW w:w="10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2,414</w:t>
            </w:r>
          </w:p>
        </w:tc>
      </w:tr>
      <w:tr>
        <w:trPr>
          <w:trHeight w:val="173"/>
        </w:trPr>
        <w:tc>
          <w:tcPr>
            <w:tcW w:w="5620" w:type="dxa"/>
            <w:vAlign w:val="bottom"/>
          </w:tcPr>
          <w:p>
            <w:pPr>
              <w:spacing w:after="0"/>
              <w:rPr>
                <w:sz w:val="20"/>
                <w:szCs w:val="20"/>
                <w:color w:val="auto"/>
              </w:rPr>
            </w:pPr>
            <w:r>
              <w:rPr>
                <w:rFonts w:ascii="Courier New" w:cs="Courier New" w:eastAsia="Courier New" w:hAnsi="Courier New"/>
                <w:sz w:val="15"/>
                <w:szCs w:val="15"/>
                <w:color w:val="auto"/>
              </w:rPr>
              <w:t>Warranty and other obligations</w:t>
            </w:r>
          </w:p>
        </w:tc>
        <w:tc>
          <w:tcPr>
            <w:tcW w:w="3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3,935</w:t>
            </w:r>
          </w:p>
        </w:tc>
        <w:tc>
          <w:tcPr>
            <w:tcW w:w="480" w:type="dxa"/>
            <w:vAlign w:val="bottom"/>
          </w:tcPr>
          <w:p>
            <w:pPr>
              <w:spacing w:after="0"/>
              <w:rPr>
                <w:sz w:val="15"/>
                <w:szCs w:val="15"/>
                <w:color w:val="auto"/>
              </w:rPr>
            </w:pPr>
          </w:p>
        </w:tc>
        <w:tc>
          <w:tcPr>
            <w:tcW w:w="10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3,386</w:t>
            </w:r>
          </w:p>
        </w:tc>
      </w:tr>
      <w:tr>
        <w:trPr>
          <w:trHeight w:val="173"/>
        </w:trPr>
        <w:tc>
          <w:tcPr>
            <w:tcW w:w="5620" w:type="dxa"/>
            <w:vAlign w:val="bottom"/>
          </w:tcPr>
          <w:p>
            <w:pPr>
              <w:spacing w:after="0"/>
              <w:rPr>
                <w:sz w:val="15"/>
                <w:szCs w:val="15"/>
                <w:color w:val="auto"/>
              </w:rPr>
            </w:pPr>
          </w:p>
        </w:tc>
        <w:tc>
          <w:tcPr>
            <w:tcW w:w="3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5620" w:type="dxa"/>
            <w:vAlign w:val="bottom"/>
          </w:tcPr>
          <w:p>
            <w:pPr>
              <w:ind w:left="180"/>
              <w:spacing w:after="0"/>
              <w:rPr>
                <w:sz w:val="20"/>
                <w:szCs w:val="20"/>
                <w:color w:val="auto"/>
              </w:rPr>
            </w:pPr>
            <w:r>
              <w:rPr>
                <w:rFonts w:ascii="Courier New" w:cs="Courier New" w:eastAsia="Courier New" w:hAnsi="Courier New"/>
                <w:sz w:val="15"/>
                <w:szCs w:val="15"/>
                <w:color w:val="auto"/>
              </w:rPr>
              <w:t>Total noncurrent liabilities</w:t>
            </w:r>
          </w:p>
        </w:tc>
        <w:tc>
          <w:tcPr>
            <w:tcW w:w="3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76,189</w:t>
            </w:r>
          </w:p>
        </w:tc>
        <w:tc>
          <w:tcPr>
            <w:tcW w:w="480" w:type="dxa"/>
            <w:vAlign w:val="bottom"/>
          </w:tcPr>
          <w:p>
            <w:pPr>
              <w:spacing w:after="0"/>
              <w:rPr>
                <w:sz w:val="15"/>
                <w:szCs w:val="15"/>
                <w:color w:val="auto"/>
              </w:rPr>
            </w:pPr>
          </w:p>
        </w:tc>
        <w:tc>
          <w:tcPr>
            <w:tcW w:w="10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75,640</w:t>
            </w:r>
          </w:p>
        </w:tc>
      </w:tr>
      <w:tr>
        <w:trPr>
          <w:trHeight w:val="347"/>
        </w:trPr>
        <w:tc>
          <w:tcPr>
            <w:tcW w:w="562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3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3"/>
        </w:trPr>
        <w:tc>
          <w:tcPr>
            <w:tcW w:w="5620" w:type="dxa"/>
            <w:vAlign w:val="bottom"/>
          </w:tcPr>
          <w:p>
            <w:pPr>
              <w:ind w:left="260"/>
              <w:spacing w:after="0"/>
              <w:rPr>
                <w:sz w:val="20"/>
                <w:szCs w:val="20"/>
                <w:color w:val="auto"/>
              </w:rPr>
            </w:pPr>
            <w:r>
              <w:rPr>
                <w:rFonts w:ascii="Courier New" w:cs="Courier New" w:eastAsia="Courier New" w:hAnsi="Courier New"/>
                <w:sz w:val="15"/>
                <w:szCs w:val="15"/>
                <w:color w:val="auto"/>
              </w:rPr>
              <w:t>Common stock</w:t>
            </w:r>
          </w:p>
        </w:tc>
        <w:tc>
          <w:tcPr>
            <w:tcW w:w="3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105,736</w:t>
            </w:r>
          </w:p>
        </w:tc>
        <w:tc>
          <w:tcPr>
            <w:tcW w:w="480" w:type="dxa"/>
            <w:vAlign w:val="bottom"/>
          </w:tcPr>
          <w:p>
            <w:pPr>
              <w:spacing w:after="0"/>
              <w:rPr>
                <w:sz w:val="15"/>
                <w:szCs w:val="15"/>
                <w:color w:val="auto"/>
              </w:rPr>
            </w:pPr>
          </w:p>
        </w:tc>
        <w:tc>
          <w:tcPr>
            <w:tcW w:w="10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105,193</w:t>
            </w:r>
          </w:p>
        </w:tc>
      </w:tr>
      <w:tr>
        <w:trPr>
          <w:trHeight w:val="173"/>
        </w:trPr>
        <w:tc>
          <w:tcPr>
            <w:tcW w:w="5620" w:type="dxa"/>
            <w:vAlign w:val="bottom"/>
          </w:tcPr>
          <w:p>
            <w:pPr>
              <w:ind w:left="260"/>
              <w:spacing w:after="0"/>
              <w:rPr>
                <w:sz w:val="20"/>
                <w:szCs w:val="20"/>
                <w:color w:val="auto"/>
              </w:rPr>
            </w:pPr>
            <w:r>
              <w:rPr>
                <w:rFonts w:ascii="Courier New" w:cs="Courier New" w:eastAsia="Courier New" w:hAnsi="Courier New"/>
                <w:sz w:val="15"/>
                <w:szCs w:val="15"/>
                <w:color w:val="auto"/>
              </w:rPr>
              <w:t>Retained earnings</w:t>
            </w:r>
          </w:p>
        </w:tc>
        <w:tc>
          <w:tcPr>
            <w:tcW w:w="3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16,468</w:t>
            </w:r>
          </w:p>
        </w:tc>
        <w:tc>
          <w:tcPr>
            <w:tcW w:w="480" w:type="dxa"/>
            <w:vAlign w:val="bottom"/>
          </w:tcPr>
          <w:p>
            <w:pPr>
              <w:spacing w:after="0"/>
              <w:rPr>
                <w:sz w:val="15"/>
                <w:szCs w:val="15"/>
                <w:color w:val="auto"/>
              </w:rPr>
            </w:pPr>
          </w:p>
        </w:tc>
        <w:tc>
          <w:tcPr>
            <w:tcW w:w="10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16,315</w:t>
            </w:r>
          </w:p>
        </w:tc>
      </w:tr>
      <w:tr>
        <w:trPr>
          <w:trHeight w:val="173"/>
        </w:trPr>
        <w:tc>
          <w:tcPr>
            <w:tcW w:w="5620" w:type="dxa"/>
            <w:vAlign w:val="bottom"/>
          </w:tcPr>
          <w:p>
            <w:pPr>
              <w:ind w:left="260"/>
              <w:spacing w:after="0"/>
              <w:rPr>
                <w:sz w:val="20"/>
                <w:szCs w:val="20"/>
                <w:color w:val="auto"/>
              </w:rPr>
            </w:pPr>
            <w:r>
              <w:rPr>
                <w:rFonts w:ascii="Courier New" w:cs="Courier New" w:eastAsia="Courier New" w:hAnsi="Courier New"/>
                <w:sz w:val="15"/>
                <w:szCs w:val="15"/>
                <w:color w:val="auto"/>
              </w:rPr>
              <w:t>Other</w:t>
            </w:r>
          </w:p>
        </w:tc>
        <w:tc>
          <w:tcPr>
            <w:tcW w:w="3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(1,226)</w:t>
            </w:r>
          </w:p>
        </w:tc>
        <w:tc>
          <w:tcPr>
            <w:tcW w:w="480" w:type="dxa"/>
            <w:vAlign w:val="bottom"/>
          </w:tcPr>
          <w:p>
            <w:pPr>
              <w:spacing w:after="0"/>
              <w:rPr>
                <w:sz w:val="15"/>
                <w:szCs w:val="15"/>
                <w:color w:val="auto"/>
              </w:rPr>
            </w:pPr>
          </w:p>
        </w:tc>
        <w:tc>
          <w:tcPr>
            <w:tcW w:w="10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(1,081)</w:t>
            </w:r>
          </w:p>
        </w:tc>
      </w:tr>
      <w:tr>
        <w:trPr>
          <w:trHeight w:val="173"/>
        </w:trPr>
        <w:tc>
          <w:tcPr>
            <w:tcW w:w="5620" w:type="dxa"/>
            <w:vAlign w:val="bottom"/>
          </w:tcPr>
          <w:p>
            <w:pPr>
              <w:spacing w:after="0"/>
              <w:rPr>
                <w:sz w:val="15"/>
                <w:szCs w:val="15"/>
                <w:color w:val="auto"/>
              </w:rPr>
            </w:pPr>
          </w:p>
        </w:tc>
        <w:tc>
          <w:tcPr>
            <w:tcW w:w="3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7"/>
        </w:trPr>
        <w:tc>
          <w:tcPr>
            <w:tcW w:w="5620" w:type="dxa"/>
            <w:vAlign w:val="bottom"/>
          </w:tcPr>
          <w:p>
            <w:pPr>
              <w:ind w:left="260"/>
              <w:spacing w:after="0"/>
              <w:rPr>
                <w:sz w:val="20"/>
                <w:szCs w:val="20"/>
                <w:color w:val="auto"/>
              </w:rPr>
            </w:pPr>
            <w:r>
              <w:rPr>
                <w:rFonts w:ascii="Courier New" w:cs="Courier New" w:eastAsia="Courier New" w:hAnsi="Courier New"/>
                <w:sz w:val="15"/>
                <w:szCs w:val="15"/>
                <w:color w:val="auto"/>
              </w:rPr>
              <w:t>Total shareholders' equity</w:t>
            </w:r>
          </w:p>
        </w:tc>
        <w:tc>
          <w:tcPr>
            <w:tcW w:w="3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120,978</w:t>
            </w:r>
          </w:p>
        </w:tc>
        <w:tc>
          <w:tcPr>
            <w:tcW w:w="480" w:type="dxa"/>
            <w:vAlign w:val="bottom"/>
          </w:tcPr>
          <w:p>
            <w:pPr>
              <w:spacing w:after="0"/>
              <w:rPr>
                <w:sz w:val="24"/>
                <w:szCs w:val="24"/>
                <w:color w:val="auto"/>
              </w:rPr>
            </w:pPr>
          </w:p>
        </w:tc>
        <w:tc>
          <w:tcPr>
            <w:tcW w:w="10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120,427</w:t>
            </w:r>
          </w:p>
        </w:tc>
      </w:tr>
      <w:tr>
        <w:trPr>
          <w:trHeight w:val="173"/>
        </w:trPr>
        <w:tc>
          <w:tcPr>
            <w:tcW w:w="5620" w:type="dxa"/>
            <w:vAlign w:val="bottom"/>
          </w:tcPr>
          <w:p>
            <w:pPr>
              <w:spacing w:after="0"/>
              <w:rPr>
                <w:sz w:val="15"/>
                <w:szCs w:val="15"/>
                <w:color w:val="auto"/>
              </w:rPr>
            </w:pPr>
          </w:p>
        </w:tc>
        <w:tc>
          <w:tcPr>
            <w:tcW w:w="3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5620" w:type="dxa"/>
            <w:vAlign w:val="bottom"/>
          </w:tcPr>
          <w:p>
            <w:pPr>
              <w:spacing w:after="0"/>
              <w:rPr>
                <w:sz w:val="20"/>
                <w:szCs w:val="20"/>
                <w:color w:val="auto"/>
              </w:rPr>
            </w:pPr>
            <w:r>
              <w:rPr>
                <w:rFonts w:ascii="Courier New" w:cs="Courier New" w:eastAsia="Courier New" w:hAnsi="Courier New"/>
                <w:sz w:val="15"/>
                <w:szCs w:val="15"/>
                <w:color w:val="auto"/>
              </w:rPr>
              <w:t>Total liabilities and shareholders' equity</w:t>
            </w:r>
          </w:p>
        </w:tc>
        <w:tc>
          <w:tcPr>
            <w:tcW w:w="3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$245,977</w:t>
            </w:r>
          </w:p>
        </w:tc>
        <w:tc>
          <w:tcPr>
            <w:tcW w:w="480" w:type="dxa"/>
            <w:vAlign w:val="bottom"/>
          </w:tcPr>
          <w:p>
            <w:pPr>
              <w:spacing w:after="0"/>
              <w:rPr>
                <w:sz w:val="24"/>
                <w:szCs w:val="24"/>
                <w:color w:val="auto"/>
              </w:rPr>
            </w:pPr>
          </w:p>
        </w:tc>
        <w:tc>
          <w:tcPr>
            <w:tcW w:w="10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9"/>
              </w:rPr>
              <w:t>$240,211</w:t>
            </w:r>
          </w:p>
        </w:tc>
      </w:tr>
      <w:tr>
        <w:trPr>
          <w:trHeight w:val="173"/>
        </w:trPr>
        <w:tc>
          <w:tcPr>
            <w:tcW w:w="5620" w:type="dxa"/>
            <w:vAlign w:val="bottom"/>
          </w:tcPr>
          <w:p>
            <w:pPr>
              <w:spacing w:after="0"/>
              <w:rPr>
                <w:sz w:val="15"/>
                <w:szCs w:val="15"/>
                <w:color w:val="auto"/>
              </w:rPr>
            </w:pPr>
          </w:p>
        </w:tc>
        <w:tc>
          <w:tcPr>
            <w:tcW w:w="3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accompanying notes are an integral part of these financial statements.</w:t>
      </w:r>
    </w:p>
    <w:p>
      <w:pPr>
        <w:sectPr>
          <w:pgSz w:w="11900" w:h="16838" w:orient="portrait"/>
          <w:cols w:equalWidth="0" w:num="1">
            <w:col w:w="10360"/>
          </w:cols>
          <w:pgMar w:left="240" w:top="141" w:right="1299" w:bottom="1440" w:gutter="0" w:footer="0" w:header="0"/>
        </w:sectPr>
      </w:pPr>
    </w:p>
    <w:bookmarkStart w:id="2" w:name="page3"/>
    <w:bookmarkEnd w:id="2"/>
    <w:p>
      <w:pPr>
        <w:jc w:val="center"/>
        <w:ind w:right="2980"/>
        <w:spacing w:after="0"/>
        <w:rPr>
          <w:sz w:val="20"/>
          <w:szCs w:val="20"/>
          <w:color w:val="auto"/>
        </w:rPr>
      </w:pPr>
      <w:r>
        <w:rPr>
          <w:rFonts w:ascii="Courier New" w:cs="Courier New" w:eastAsia="Courier New" w:hAnsi="Courier New"/>
          <w:sz w:val="15"/>
          <w:szCs w:val="15"/>
          <w:color w:val="auto"/>
        </w:rPr>
        <w:t>ITRON, INC.</w:t>
      </w:r>
    </w:p>
    <w:p>
      <w:pPr>
        <w:spacing w:after="0" w:line="3" w:lineRule="exact"/>
        <w:rPr>
          <w:sz w:val="20"/>
          <w:szCs w:val="20"/>
          <w:color w:val="auto"/>
        </w:rPr>
      </w:pPr>
    </w:p>
    <w:p>
      <w:pPr>
        <w:jc w:val="center"/>
        <w:ind w:right="2980"/>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3" w:lineRule="exact"/>
        <w:rPr>
          <w:sz w:val="20"/>
          <w:szCs w:val="20"/>
          <w:color w:val="auto"/>
        </w:rPr>
      </w:pPr>
    </w:p>
    <w:p>
      <w:pPr>
        <w:jc w:val="center"/>
        <w:ind w:right="2980"/>
        <w:spacing w:after="0"/>
        <w:rPr>
          <w:sz w:val="20"/>
          <w:szCs w:val="20"/>
          <w:color w:val="auto"/>
        </w:rPr>
      </w:pPr>
      <w:r>
        <w:rPr>
          <w:rFonts w:ascii="Courier New" w:cs="Courier New" w:eastAsia="Courier New" w:hAnsi="Courier New"/>
          <w:sz w:val="15"/>
          <w:szCs w:val="15"/>
          <w:color w:val="auto"/>
        </w:rPr>
        <w:t>(Unaudited, in thousands)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120" w:type="dxa"/>
            <w:vAlign w:val="bottom"/>
          </w:tcPr>
          <w:p>
            <w:pPr>
              <w:spacing w:after="0"/>
              <w:rPr>
                <w:sz w:val="14"/>
                <w:szCs w:val="14"/>
                <w:color w:val="auto"/>
              </w:rPr>
            </w:pPr>
          </w:p>
        </w:tc>
        <w:tc>
          <w:tcPr>
            <w:tcW w:w="4160" w:type="dxa"/>
            <w:vAlign w:val="bottom"/>
            <w:gridSpan w:val="3"/>
          </w:tcPr>
          <w:p>
            <w:pPr>
              <w:ind w:left="1440"/>
              <w:spacing w:after="0"/>
              <w:rPr>
                <w:sz w:val="20"/>
                <w:szCs w:val="20"/>
                <w:color w:val="auto"/>
              </w:rPr>
            </w:pPr>
            <w:r>
              <w:rPr>
                <w:rFonts w:ascii="Courier New" w:cs="Courier New" w:eastAsia="Courier New" w:hAnsi="Courier New"/>
                <w:sz w:val="15"/>
                <w:szCs w:val="15"/>
                <w:color w:val="auto"/>
              </w:rPr>
              <w:t>Three months ended March 31,</w:t>
            </w:r>
          </w:p>
        </w:tc>
      </w:tr>
      <w:tr>
        <w:trPr>
          <w:trHeight w:val="173"/>
        </w:trPr>
        <w:tc>
          <w:tcPr>
            <w:tcW w:w="61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40" w:type="dxa"/>
            <w:vAlign w:val="bottom"/>
          </w:tcPr>
          <w:p>
            <w:pPr>
              <w:jc w:val="right"/>
              <w:ind w:right="605"/>
              <w:spacing w:after="0"/>
              <w:rPr>
                <w:sz w:val="20"/>
                <w:szCs w:val="20"/>
                <w:color w:val="auto"/>
              </w:rPr>
            </w:pPr>
            <w:r>
              <w:rPr>
                <w:rFonts w:ascii="Courier New" w:cs="Courier New" w:eastAsia="Courier New" w:hAnsi="Courier New"/>
                <w:sz w:val="15"/>
                <w:szCs w:val="15"/>
                <w:color w:val="auto"/>
                <w:w w:val="94"/>
              </w:rPr>
              <w:t>1998</w:t>
            </w:r>
          </w:p>
        </w:tc>
        <w:tc>
          <w:tcPr>
            <w:tcW w:w="1320" w:type="dxa"/>
            <w:vAlign w:val="bottom"/>
          </w:tcPr>
          <w:p>
            <w:pPr>
              <w:ind w:left="500"/>
              <w:spacing w:after="0"/>
              <w:rPr>
                <w:sz w:val="20"/>
                <w:szCs w:val="20"/>
                <w:color w:val="auto"/>
              </w:rPr>
            </w:pPr>
            <w:r>
              <w:rPr>
                <w:rFonts w:ascii="Courier New" w:cs="Courier New" w:eastAsia="Courier New" w:hAnsi="Courier New"/>
                <w:sz w:val="15"/>
                <w:szCs w:val="15"/>
                <w:color w:val="auto"/>
              </w:rPr>
              <w:t>1997</w:t>
            </w:r>
          </w:p>
        </w:tc>
      </w:tr>
      <w:tr>
        <w:trPr>
          <w:trHeight w:val="173"/>
        </w:trPr>
        <w:tc>
          <w:tcPr>
            <w:tcW w:w="6120" w:type="dxa"/>
            <w:vAlign w:val="bottom"/>
          </w:tcPr>
          <w:p>
            <w:pPr>
              <w:spacing w:after="0"/>
              <w:rPr>
                <w:sz w:val="15"/>
                <w:szCs w:val="15"/>
                <w:color w:val="auto"/>
              </w:rPr>
            </w:pPr>
          </w:p>
        </w:tc>
        <w:tc>
          <w:tcPr>
            <w:tcW w:w="2840" w:type="dxa"/>
            <w:vAlign w:val="bottom"/>
            <w:gridSpan w:val="2"/>
          </w:tcPr>
          <w:p>
            <w:pPr>
              <w:ind w:left="1440"/>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6120" w:type="dxa"/>
            <w:vAlign w:val="bottom"/>
          </w:tcPr>
          <w:p>
            <w:pPr>
              <w:spacing w:after="0"/>
              <w:rPr>
                <w:sz w:val="20"/>
                <w:szCs w:val="20"/>
                <w:color w:val="auto"/>
              </w:rPr>
            </w:pPr>
            <w:r>
              <w:rPr>
                <w:rFonts w:ascii="Courier New" w:cs="Courier New" w:eastAsia="Courier New" w:hAnsi="Courier New"/>
                <w:sz w:val="15"/>
                <w:szCs w:val="15"/>
                <w:color w:val="auto"/>
              </w:rPr>
              <w:t>OPERATING ACTIVITIES</w:t>
            </w:r>
          </w:p>
        </w:tc>
        <w:tc>
          <w:tcPr>
            <w:tcW w:w="18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73"/>
        </w:trPr>
        <w:tc>
          <w:tcPr>
            <w:tcW w:w="612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1800" w:type="dxa"/>
            <w:vAlign w:val="bottom"/>
          </w:tcPr>
          <w:p>
            <w:pPr>
              <w:ind w:left="172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153</w:t>
            </w:r>
          </w:p>
        </w:tc>
        <w:tc>
          <w:tcPr>
            <w:tcW w:w="13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(3,259)</w:t>
            </w:r>
          </w:p>
        </w:tc>
      </w:tr>
      <w:tr>
        <w:trPr>
          <w:trHeight w:val="520"/>
        </w:trPr>
        <w:tc>
          <w:tcPr>
            <w:tcW w:w="6120" w:type="dxa"/>
            <w:vAlign w:val="bottom"/>
          </w:tcPr>
          <w:p>
            <w:pPr>
              <w:spacing w:after="0"/>
              <w:rPr>
                <w:sz w:val="20"/>
                <w:szCs w:val="20"/>
                <w:color w:val="auto"/>
              </w:rPr>
            </w:pPr>
            <w:r>
              <w:rPr>
                <w:rFonts w:ascii="Courier New" w:cs="Courier New" w:eastAsia="Courier New" w:hAnsi="Courier New"/>
                <w:sz w:val="15"/>
                <w:szCs w:val="15"/>
                <w:color w:val="auto"/>
              </w:rPr>
              <w:t>Noncash charges (credits) to income:</w:t>
            </w:r>
          </w:p>
        </w:tc>
        <w:tc>
          <w:tcPr>
            <w:tcW w:w="18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73"/>
        </w:trPr>
        <w:tc>
          <w:tcPr>
            <w:tcW w:w="6120" w:type="dxa"/>
            <w:vAlign w:val="bottom"/>
          </w:tcPr>
          <w:p>
            <w:pPr>
              <w:ind w:left="440"/>
              <w:spacing w:after="0"/>
              <w:rPr>
                <w:sz w:val="20"/>
                <w:szCs w:val="20"/>
                <w:color w:val="auto"/>
              </w:rPr>
            </w:pPr>
            <w:r>
              <w:rPr>
                <w:rFonts w:ascii="Courier New" w:cs="Courier New" w:eastAsia="Courier New" w:hAnsi="Courier New"/>
                <w:sz w:val="15"/>
                <w:szCs w:val="15"/>
                <w:color w:val="auto"/>
              </w:rPr>
              <w:t>Depreciation and amortization</w:t>
            </w:r>
          </w:p>
        </w:tc>
        <w:tc>
          <w:tcPr>
            <w:tcW w:w="1800" w:type="dxa"/>
            <w:vAlign w:val="bottom"/>
          </w:tcPr>
          <w:p>
            <w:pPr>
              <w:spacing w:after="0"/>
              <w:rPr>
                <w:sz w:val="15"/>
                <w:szCs w:val="15"/>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4,657</w:t>
            </w:r>
          </w:p>
        </w:tc>
        <w:tc>
          <w:tcPr>
            <w:tcW w:w="13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3,774</w:t>
            </w:r>
          </w:p>
        </w:tc>
      </w:tr>
      <w:tr>
        <w:trPr>
          <w:trHeight w:val="173"/>
        </w:trPr>
        <w:tc>
          <w:tcPr>
            <w:tcW w:w="6120" w:type="dxa"/>
            <w:vAlign w:val="bottom"/>
          </w:tcPr>
          <w:p>
            <w:pPr>
              <w:ind w:left="440"/>
              <w:spacing w:after="0"/>
              <w:rPr>
                <w:sz w:val="20"/>
                <w:szCs w:val="20"/>
                <w:color w:val="auto"/>
              </w:rPr>
            </w:pPr>
            <w:r>
              <w:rPr>
                <w:rFonts w:ascii="Courier New" w:cs="Courier New" w:eastAsia="Courier New" w:hAnsi="Courier New"/>
                <w:sz w:val="15"/>
                <w:szCs w:val="15"/>
                <w:color w:val="auto"/>
              </w:rPr>
              <w:t>Deferred income taxes</w:t>
            </w:r>
          </w:p>
        </w:tc>
        <w:tc>
          <w:tcPr>
            <w:tcW w:w="1800" w:type="dxa"/>
            <w:vAlign w:val="bottom"/>
          </w:tcPr>
          <w:p>
            <w:pPr>
              <w:spacing w:after="0"/>
              <w:rPr>
                <w:sz w:val="15"/>
                <w:szCs w:val="15"/>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160</w:t>
            </w:r>
          </w:p>
        </w:tc>
        <w:tc>
          <w:tcPr>
            <w:tcW w:w="13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(1,994)</w:t>
            </w:r>
          </w:p>
        </w:tc>
      </w:tr>
      <w:tr>
        <w:trPr>
          <w:trHeight w:val="347"/>
        </w:trPr>
        <w:tc>
          <w:tcPr>
            <w:tcW w:w="6120" w:type="dxa"/>
            <w:vAlign w:val="bottom"/>
          </w:tcPr>
          <w:p>
            <w:pPr>
              <w:spacing w:after="0"/>
              <w:rPr>
                <w:sz w:val="20"/>
                <w:szCs w:val="20"/>
                <w:color w:val="auto"/>
              </w:rPr>
            </w:pPr>
            <w:r>
              <w:rPr>
                <w:rFonts w:ascii="Courier New" w:cs="Courier New" w:eastAsia="Courier New" w:hAnsi="Courier New"/>
                <w:sz w:val="15"/>
                <w:szCs w:val="15"/>
                <w:color w:val="auto"/>
              </w:rPr>
              <w:t>Changes in operating accounts, net of acquisitions:</w:t>
            </w:r>
          </w:p>
        </w:tc>
        <w:tc>
          <w:tcPr>
            <w:tcW w:w="18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73"/>
        </w:trPr>
        <w:tc>
          <w:tcPr>
            <w:tcW w:w="6120" w:type="dxa"/>
            <w:vAlign w:val="bottom"/>
          </w:tcPr>
          <w:p>
            <w:pPr>
              <w:ind w:left="440"/>
              <w:spacing w:after="0"/>
              <w:rPr>
                <w:sz w:val="20"/>
                <w:szCs w:val="20"/>
                <w:color w:val="auto"/>
              </w:rPr>
            </w:pPr>
            <w:r>
              <w:rPr>
                <w:rFonts w:ascii="Courier New" w:cs="Courier New" w:eastAsia="Courier New" w:hAnsi="Courier New"/>
                <w:sz w:val="15"/>
                <w:szCs w:val="15"/>
                <w:color w:val="auto"/>
              </w:rPr>
              <w:t>Accounts receivable</w:t>
            </w:r>
          </w:p>
        </w:tc>
        <w:tc>
          <w:tcPr>
            <w:tcW w:w="1800" w:type="dxa"/>
            <w:vAlign w:val="bottom"/>
          </w:tcPr>
          <w:p>
            <w:pPr>
              <w:spacing w:after="0"/>
              <w:rPr>
                <w:sz w:val="15"/>
                <w:szCs w:val="15"/>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(7,731)</w:t>
            </w:r>
          </w:p>
        </w:tc>
        <w:tc>
          <w:tcPr>
            <w:tcW w:w="13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7,514</w:t>
            </w:r>
          </w:p>
        </w:tc>
      </w:tr>
      <w:tr>
        <w:trPr>
          <w:trHeight w:val="173"/>
        </w:trPr>
        <w:tc>
          <w:tcPr>
            <w:tcW w:w="6120" w:type="dxa"/>
            <w:vAlign w:val="bottom"/>
          </w:tcPr>
          <w:p>
            <w:pPr>
              <w:ind w:left="440"/>
              <w:spacing w:after="0"/>
              <w:rPr>
                <w:sz w:val="20"/>
                <w:szCs w:val="20"/>
                <w:color w:val="auto"/>
              </w:rPr>
            </w:pPr>
            <w:r>
              <w:rPr>
                <w:rFonts w:ascii="Courier New" w:cs="Courier New" w:eastAsia="Courier New" w:hAnsi="Courier New"/>
                <w:sz w:val="15"/>
                <w:szCs w:val="15"/>
                <w:color w:val="auto"/>
              </w:rPr>
              <w:t>Long-term contracts receivable</w:t>
            </w:r>
          </w:p>
        </w:tc>
        <w:tc>
          <w:tcPr>
            <w:tcW w:w="1800" w:type="dxa"/>
            <w:vAlign w:val="bottom"/>
          </w:tcPr>
          <w:p>
            <w:pPr>
              <w:spacing w:after="0"/>
              <w:rPr>
                <w:sz w:val="15"/>
                <w:szCs w:val="15"/>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(2,334)</w:t>
            </w:r>
          </w:p>
        </w:tc>
        <w:tc>
          <w:tcPr>
            <w:tcW w:w="13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(5,447)</w:t>
            </w:r>
          </w:p>
        </w:tc>
      </w:tr>
      <w:tr>
        <w:trPr>
          <w:trHeight w:val="173"/>
        </w:trPr>
        <w:tc>
          <w:tcPr>
            <w:tcW w:w="6120" w:type="dxa"/>
            <w:vAlign w:val="bottom"/>
          </w:tcPr>
          <w:p>
            <w:pPr>
              <w:ind w:left="440"/>
              <w:spacing w:after="0"/>
              <w:rPr>
                <w:sz w:val="20"/>
                <w:szCs w:val="20"/>
                <w:color w:val="auto"/>
              </w:rPr>
            </w:pPr>
            <w:r>
              <w:rPr>
                <w:rFonts w:ascii="Courier New" w:cs="Courier New" w:eastAsia="Courier New" w:hAnsi="Courier New"/>
                <w:sz w:val="15"/>
                <w:szCs w:val="15"/>
                <w:color w:val="auto"/>
              </w:rPr>
              <w:t>Inventories</w:t>
            </w:r>
          </w:p>
        </w:tc>
        <w:tc>
          <w:tcPr>
            <w:tcW w:w="1800" w:type="dxa"/>
            <w:vAlign w:val="bottom"/>
          </w:tcPr>
          <w:p>
            <w:pPr>
              <w:spacing w:after="0"/>
              <w:rPr>
                <w:sz w:val="15"/>
                <w:szCs w:val="15"/>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6,214</w:t>
            </w:r>
          </w:p>
        </w:tc>
        <w:tc>
          <w:tcPr>
            <w:tcW w:w="13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3,269</w:t>
            </w:r>
          </w:p>
        </w:tc>
      </w:tr>
      <w:tr>
        <w:trPr>
          <w:trHeight w:val="173"/>
        </w:trPr>
        <w:tc>
          <w:tcPr>
            <w:tcW w:w="6120" w:type="dxa"/>
            <w:vAlign w:val="bottom"/>
          </w:tcPr>
          <w:p>
            <w:pPr>
              <w:ind w:left="440"/>
              <w:spacing w:after="0"/>
              <w:rPr>
                <w:sz w:val="20"/>
                <w:szCs w:val="20"/>
                <w:color w:val="auto"/>
              </w:rPr>
            </w:pPr>
            <w:r>
              <w:rPr>
                <w:rFonts w:ascii="Courier New" w:cs="Courier New" w:eastAsia="Courier New" w:hAnsi="Courier New"/>
                <w:sz w:val="15"/>
                <w:szCs w:val="15"/>
                <w:color w:val="auto"/>
              </w:rPr>
              <w:t>Accounts payable and accrued expenses</w:t>
            </w:r>
          </w:p>
        </w:tc>
        <w:tc>
          <w:tcPr>
            <w:tcW w:w="1800" w:type="dxa"/>
            <w:vAlign w:val="bottom"/>
          </w:tcPr>
          <w:p>
            <w:pPr>
              <w:spacing w:after="0"/>
              <w:rPr>
                <w:sz w:val="15"/>
                <w:szCs w:val="15"/>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(3,678)</w:t>
            </w:r>
          </w:p>
        </w:tc>
        <w:tc>
          <w:tcPr>
            <w:tcW w:w="13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(1,339)</w:t>
            </w:r>
          </w:p>
        </w:tc>
      </w:tr>
      <w:tr>
        <w:trPr>
          <w:trHeight w:val="173"/>
        </w:trPr>
        <w:tc>
          <w:tcPr>
            <w:tcW w:w="6120" w:type="dxa"/>
            <w:vAlign w:val="bottom"/>
          </w:tcPr>
          <w:p>
            <w:pPr>
              <w:ind w:left="440"/>
              <w:spacing w:after="0"/>
              <w:rPr>
                <w:sz w:val="20"/>
                <w:szCs w:val="20"/>
                <w:color w:val="auto"/>
              </w:rPr>
            </w:pPr>
            <w:r>
              <w:rPr>
                <w:rFonts w:ascii="Courier New" w:cs="Courier New" w:eastAsia="Courier New" w:hAnsi="Courier New"/>
                <w:sz w:val="15"/>
                <w:szCs w:val="15"/>
                <w:color w:val="auto"/>
              </w:rPr>
              <w:t>Wages and benefits payable</w:t>
            </w:r>
          </w:p>
        </w:tc>
        <w:tc>
          <w:tcPr>
            <w:tcW w:w="1800" w:type="dxa"/>
            <w:vAlign w:val="bottom"/>
          </w:tcPr>
          <w:p>
            <w:pPr>
              <w:spacing w:after="0"/>
              <w:rPr>
                <w:sz w:val="15"/>
                <w:szCs w:val="15"/>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(3,196)</w:t>
            </w:r>
          </w:p>
        </w:tc>
        <w:tc>
          <w:tcPr>
            <w:tcW w:w="13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(144)</w:t>
            </w:r>
          </w:p>
        </w:tc>
      </w:tr>
      <w:tr>
        <w:trPr>
          <w:trHeight w:val="173"/>
        </w:trPr>
        <w:tc>
          <w:tcPr>
            <w:tcW w:w="6120" w:type="dxa"/>
            <w:vAlign w:val="bottom"/>
          </w:tcPr>
          <w:p>
            <w:pPr>
              <w:ind w:left="440"/>
              <w:spacing w:after="0"/>
              <w:rPr>
                <w:sz w:val="20"/>
                <w:szCs w:val="20"/>
                <w:color w:val="auto"/>
              </w:rPr>
            </w:pPr>
            <w:r>
              <w:rPr>
                <w:rFonts w:ascii="Courier New" w:cs="Courier New" w:eastAsia="Courier New" w:hAnsi="Courier New"/>
                <w:sz w:val="15"/>
                <w:szCs w:val="15"/>
                <w:color w:val="auto"/>
              </w:rPr>
              <w:t>Deferred revenue</w:t>
            </w:r>
          </w:p>
        </w:tc>
        <w:tc>
          <w:tcPr>
            <w:tcW w:w="1800" w:type="dxa"/>
            <w:vAlign w:val="bottom"/>
          </w:tcPr>
          <w:p>
            <w:pPr>
              <w:spacing w:after="0"/>
              <w:rPr>
                <w:sz w:val="15"/>
                <w:szCs w:val="15"/>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(255)</w:t>
            </w:r>
          </w:p>
        </w:tc>
        <w:tc>
          <w:tcPr>
            <w:tcW w:w="13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(145)</w:t>
            </w:r>
          </w:p>
        </w:tc>
      </w:tr>
      <w:tr>
        <w:trPr>
          <w:trHeight w:val="173"/>
        </w:trPr>
        <w:tc>
          <w:tcPr>
            <w:tcW w:w="6120" w:type="dxa"/>
            <w:vAlign w:val="bottom"/>
          </w:tcPr>
          <w:p>
            <w:pPr>
              <w:ind w:left="440"/>
              <w:spacing w:after="0"/>
              <w:rPr>
                <w:sz w:val="20"/>
                <w:szCs w:val="20"/>
                <w:color w:val="auto"/>
              </w:rPr>
            </w:pPr>
            <w:r>
              <w:rPr>
                <w:rFonts w:ascii="Courier New" w:cs="Courier New" w:eastAsia="Courier New" w:hAnsi="Courier New"/>
                <w:sz w:val="15"/>
                <w:szCs w:val="15"/>
                <w:color w:val="auto"/>
              </w:rPr>
              <w:t>Other, net</w:t>
            </w:r>
          </w:p>
        </w:tc>
        <w:tc>
          <w:tcPr>
            <w:tcW w:w="1800" w:type="dxa"/>
            <w:vAlign w:val="bottom"/>
          </w:tcPr>
          <w:p>
            <w:pPr>
              <w:spacing w:after="0"/>
              <w:rPr>
                <w:sz w:val="15"/>
                <w:szCs w:val="15"/>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(1,300)</w:t>
            </w:r>
          </w:p>
        </w:tc>
        <w:tc>
          <w:tcPr>
            <w:tcW w:w="13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1,508</w:t>
            </w:r>
          </w:p>
        </w:tc>
      </w:tr>
      <w:tr>
        <w:trPr>
          <w:trHeight w:val="173"/>
        </w:trPr>
        <w:tc>
          <w:tcPr>
            <w:tcW w:w="6120" w:type="dxa"/>
            <w:vAlign w:val="bottom"/>
          </w:tcPr>
          <w:p>
            <w:pPr>
              <w:spacing w:after="0"/>
              <w:rPr>
                <w:sz w:val="15"/>
                <w:szCs w:val="15"/>
                <w:color w:val="auto"/>
              </w:rPr>
            </w:pPr>
          </w:p>
        </w:tc>
        <w:tc>
          <w:tcPr>
            <w:tcW w:w="2840" w:type="dxa"/>
            <w:vAlign w:val="bottom"/>
            <w:gridSpan w:val="2"/>
          </w:tcPr>
          <w:p>
            <w:pPr>
              <w:ind w:left="1440"/>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6120" w:type="dxa"/>
            <w:vAlign w:val="bottom"/>
          </w:tcPr>
          <w:p>
            <w:pPr>
              <w:ind w:left="620"/>
              <w:spacing w:after="0"/>
              <w:rPr>
                <w:sz w:val="20"/>
                <w:szCs w:val="20"/>
                <w:color w:val="auto"/>
              </w:rPr>
            </w:pPr>
            <w:r>
              <w:rPr>
                <w:rFonts w:ascii="Courier New" w:cs="Courier New" w:eastAsia="Courier New" w:hAnsi="Courier New"/>
                <w:sz w:val="15"/>
                <w:szCs w:val="15"/>
                <w:color w:val="auto"/>
              </w:rPr>
              <w:t>Cash provided (used) by operating activities</w:t>
            </w:r>
          </w:p>
        </w:tc>
        <w:tc>
          <w:tcPr>
            <w:tcW w:w="1800" w:type="dxa"/>
            <w:vAlign w:val="bottom"/>
          </w:tcPr>
          <w:p>
            <w:pPr>
              <w:spacing w:after="0"/>
              <w:rPr>
                <w:sz w:val="15"/>
                <w:szCs w:val="15"/>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(7,310)</w:t>
            </w:r>
          </w:p>
        </w:tc>
        <w:tc>
          <w:tcPr>
            <w:tcW w:w="13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3,737</w:t>
            </w:r>
          </w:p>
        </w:tc>
      </w:tr>
      <w:tr>
        <w:trPr>
          <w:trHeight w:val="347"/>
        </w:trPr>
        <w:tc>
          <w:tcPr>
            <w:tcW w:w="6120" w:type="dxa"/>
            <w:vAlign w:val="bottom"/>
          </w:tcPr>
          <w:p>
            <w:pPr>
              <w:spacing w:after="0"/>
              <w:rPr>
                <w:sz w:val="20"/>
                <w:szCs w:val="20"/>
                <w:color w:val="auto"/>
              </w:rPr>
            </w:pPr>
            <w:r>
              <w:rPr>
                <w:rFonts w:ascii="Courier New" w:cs="Courier New" w:eastAsia="Courier New" w:hAnsi="Courier New"/>
                <w:sz w:val="15"/>
                <w:szCs w:val="15"/>
                <w:color w:val="auto"/>
              </w:rPr>
              <w:t>INVESTING ACTIVITIES</w:t>
            </w:r>
          </w:p>
        </w:tc>
        <w:tc>
          <w:tcPr>
            <w:tcW w:w="18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73"/>
        </w:trPr>
        <w:tc>
          <w:tcPr>
            <w:tcW w:w="6120" w:type="dxa"/>
            <w:vAlign w:val="bottom"/>
          </w:tcPr>
          <w:p>
            <w:pPr>
              <w:spacing w:after="0"/>
              <w:rPr>
                <w:sz w:val="20"/>
                <w:szCs w:val="20"/>
                <w:color w:val="auto"/>
              </w:rPr>
            </w:pPr>
            <w:r>
              <w:rPr>
                <w:rFonts w:ascii="Courier New" w:cs="Courier New" w:eastAsia="Courier New" w:hAnsi="Courier New"/>
                <w:sz w:val="15"/>
                <w:szCs w:val="15"/>
                <w:color w:val="auto"/>
              </w:rPr>
              <w:t>Acquisition of property, plant  and equipment</w:t>
            </w:r>
          </w:p>
        </w:tc>
        <w:tc>
          <w:tcPr>
            <w:tcW w:w="1800" w:type="dxa"/>
            <w:vAlign w:val="bottom"/>
          </w:tcPr>
          <w:p>
            <w:pPr>
              <w:spacing w:after="0"/>
              <w:rPr>
                <w:sz w:val="15"/>
                <w:szCs w:val="15"/>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(2,737)</w:t>
            </w:r>
          </w:p>
        </w:tc>
        <w:tc>
          <w:tcPr>
            <w:tcW w:w="13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(2,894)</w:t>
            </w:r>
          </w:p>
        </w:tc>
      </w:tr>
      <w:tr>
        <w:trPr>
          <w:trHeight w:val="173"/>
        </w:trPr>
        <w:tc>
          <w:tcPr>
            <w:tcW w:w="6120" w:type="dxa"/>
            <w:vAlign w:val="bottom"/>
          </w:tcPr>
          <w:p>
            <w:pPr>
              <w:spacing w:after="0"/>
              <w:rPr>
                <w:sz w:val="20"/>
                <w:szCs w:val="20"/>
                <w:color w:val="auto"/>
              </w:rPr>
            </w:pPr>
            <w:r>
              <w:rPr>
                <w:rFonts w:ascii="Courier New" w:cs="Courier New" w:eastAsia="Courier New" w:hAnsi="Courier New"/>
                <w:sz w:val="15"/>
                <w:szCs w:val="15"/>
                <w:color w:val="auto"/>
              </w:rPr>
              <w:t>Acquisition of equipment used in outsourcing</w:t>
            </w:r>
          </w:p>
        </w:tc>
        <w:tc>
          <w:tcPr>
            <w:tcW w:w="1800" w:type="dxa"/>
            <w:vAlign w:val="bottom"/>
          </w:tcPr>
          <w:p>
            <w:pPr>
              <w:spacing w:after="0"/>
              <w:rPr>
                <w:sz w:val="15"/>
                <w:szCs w:val="15"/>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(4,504)</w:t>
            </w:r>
          </w:p>
        </w:tc>
        <w:tc>
          <w:tcPr>
            <w:tcW w:w="13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(8,864)</w:t>
            </w:r>
          </w:p>
        </w:tc>
      </w:tr>
      <w:tr>
        <w:trPr>
          <w:trHeight w:val="173"/>
        </w:trPr>
        <w:tc>
          <w:tcPr>
            <w:tcW w:w="6120" w:type="dxa"/>
            <w:vAlign w:val="bottom"/>
          </w:tcPr>
          <w:p>
            <w:pPr>
              <w:spacing w:after="0"/>
              <w:rPr>
                <w:sz w:val="20"/>
                <w:szCs w:val="20"/>
                <w:color w:val="auto"/>
              </w:rPr>
            </w:pPr>
            <w:r>
              <w:rPr>
                <w:rFonts w:ascii="Courier New" w:cs="Courier New" w:eastAsia="Courier New" w:hAnsi="Courier New"/>
                <w:sz w:val="15"/>
                <w:szCs w:val="15"/>
                <w:color w:val="auto"/>
              </w:rPr>
              <w:t>Acquisitions of intangibles and patent defense costs</w:t>
            </w:r>
          </w:p>
        </w:tc>
        <w:tc>
          <w:tcPr>
            <w:tcW w:w="1800" w:type="dxa"/>
            <w:vAlign w:val="bottom"/>
          </w:tcPr>
          <w:p>
            <w:pPr>
              <w:spacing w:after="0"/>
              <w:rPr>
                <w:sz w:val="15"/>
                <w:szCs w:val="15"/>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(481)</w:t>
            </w:r>
          </w:p>
        </w:tc>
        <w:tc>
          <w:tcPr>
            <w:tcW w:w="13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(60)</w:t>
            </w:r>
          </w:p>
        </w:tc>
      </w:tr>
      <w:tr>
        <w:trPr>
          <w:trHeight w:val="173"/>
        </w:trPr>
        <w:tc>
          <w:tcPr>
            <w:tcW w:w="6120" w:type="dxa"/>
            <w:vAlign w:val="bottom"/>
          </w:tcPr>
          <w:p>
            <w:pPr>
              <w:spacing w:after="0"/>
              <w:rPr>
                <w:sz w:val="20"/>
                <w:szCs w:val="20"/>
                <w:color w:val="auto"/>
              </w:rPr>
            </w:pPr>
            <w:r>
              <w:rPr>
                <w:rFonts w:ascii="Courier New" w:cs="Courier New" w:eastAsia="Courier New" w:hAnsi="Courier New"/>
                <w:sz w:val="15"/>
                <w:szCs w:val="15"/>
                <w:color w:val="auto"/>
              </w:rPr>
              <w:t>Other, net</w:t>
            </w:r>
          </w:p>
        </w:tc>
        <w:tc>
          <w:tcPr>
            <w:tcW w:w="1800" w:type="dxa"/>
            <w:vAlign w:val="bottom"/>
          </w:tcPr>
          <w:p>
            <w:pPr>
              <w:spacing w:after="0"/>
              <w:rPr>
                <w:sz w:val="15"/>
                <w:szCs w:val="15"/>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(287)</w:t>
            </w:r>
          </w:p>
        </w:tc>
        <w:tc>
          <w:tcPr>
            <w:tcW w:w="13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w:t>
            </w:r>
          </w:p>
        </w:tc>
      </w:tr>
      <w:tr>
        <w:trPr>
          <w:trHeight w:val="173"/>
        </w:trPr>
        <w:tc>
          <w:tcPr>
            <w:tcW w:w="6120" w:type="dxa"/>
            <w:vAlign w:val="bottom"/>
          </w:tcPr>
          <w:p>
            <w:pPr>
              <w:spacing w:after="0"/>
              <w:rPr>
                <w:sz w:val="15"/>
                <w:szCs w:val="15"/>
                <w:color w:val="auto"/>
              </w:rPr>
            </w:pPr>
          </w:p>
        </w:tc>
        <w:tc>
          <w:tcPr>
            <w:tcW w:w="2840" w:type="dxa"/>
            <w:vAlign w:val="bottom"/>
            <w:gridSpan w:val="2"/>
          </w:tcPr>
          <w:p>
            <w:pPr>
              <w:ind w:left="1440"/>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6120" w:type="dxa"/>
            <w:vAlign w:val="bottom"/>
          </w:tcPr>
          <w:p>
            <w:pPr>
              <w:ind w:left="540"/>
              <w:spacing w:after="0"/>
              <w:rPr>
                <w:sz w:val="20"/>
                <w:szCs w:val="20"/>
                <w:color w:val="auto"/>
              </w:rPr>
            </w:pPr>
            <w:r>
              <w:rPr>
                <w:rFonts w:ascii="Courier New" w:cs="Courier New" w:eastAsia="Courier New" w:hAnsi="Courier New"/>
                <w:sz w:val="15"/>
                <w:szCs w:val="15"/>
                <w:color w:val="auto"/>
              </w:rPr>
              <w:t>Cash used by investing activities</w:t>
            </w:r>
          </w:p>
        </w:tc>
        <w:tc>
          <w:tcPr>
            <w:tcW w:w="1800" w:type="dxa"/>
            <w:vAlign w:val="bottom"/>
          </w:tcPr>
          <w:p>
            <w:pPr>
              <w:spacing w:after="0"/>
              <w:rPr>
                <w:sz w:val="15"/>
                <w:szCs w:val="15"/>
                <w:color w:val="auto"/>
              </w:rPr>
            </w:pPr>
          </w:p>
        </w:tc>
        <w:tc>
          <w:tcPr>
            <w:tcW w:w="1040" w:type="dxa"/>
            <w:vAlign w:val="bottom"/>
          </w:tcPr>
          <w:p>
            <w:pPr>
              <w:ind w:left="180"/>
              <w:spacing w:after="0"/>
              <w:rPr>
                <w:sz w:val="20"/>
                <w:szCs w:val="20"/>
                <w:color w:val="auto"/>
              </w:rPr>
            </w:pPr>
            <w:r>
              <w:rPr>
                <w:rFonts w:ascii="Courier New" w:cs="Courier New" w:eastAsia="Courier New" w:hAnsi="Courier New"/>
                <w:sz w:val="15"/>
                <w:szCs w:val="15"/>
                <w:color w:val="auto"/>
              </w:rPr>
              <w:t>(8,009)</w:t>
            </w:r>
          </w:p>
        </w:tc>
        <w:tc>
          <w:tcPr>
            <w:tcW w:w="1320" w:type="dxa"/>
            <w:vAlign w:val="bottom"/>
          </w:tcPr>
          <w:p>
            <w:pPr>
              <w:ind w:left="500"/>
              <w:spacing w:after="0"/>
              <w:rPr>
                <w:sz w:val="20"/>
                <w:szCs w:val="20"/>
                <w:color w:val="auto"/>
              </w:rPr>
            </w:pPr>
            <w:r>
              <w:rPr>
                <w:rFonts w:ascii="Courier New" w:cs="Courier New" w:eastAsia="Courier New" w:hAnsi="Courier New"/>
                <w:sz w:val="15"/>
                <w:szCs w:val="15"/>
                <w:color w:val="auto"/>
              </w:rPr>
              <w:t>(11,831)</w:t>
            </w:r>
          </w:p>
        </w:tc>
      </w:tr>
      <w:tr>
        <w:trPr>
          <w:trHeight w:val="347"/>
        </w:trPr>
        <w:tc>
          <w:tcPr>
            <w:tcW w:w="6120" w:type="dxa"/>
            <w:vAlign w:val="bottom"/>
          </w:tcPr>
          <w:p>
            <w:pPr>
              <w:spacing w:after="0"/>
              <w:rPr>
                <w:sz w:val="20"/>
                <w:szCs w:val="20"/>
                <w:color w:val="auto"/>
              </w:rPr>
            </w:pPr>
            <w:r>
              <w:rPr>
                <w:rFonts w:ascii="Courier New" w:cs="Courier New" w:eastAsia="Courier New" w:hAnsi="Courier New"/>
                <w:sz w:val="15"/>
                <w:szCs w:val="15"/>
                <w:color w:val="auto"/>
              </w:rPr>
              <w:t>FINANCING ACTIVITIES</w:t>
            </w:r>
          </w:p>
        </w:tc>
        <w:tc>
          <w:tcPr>
            <w:tcW w:w="18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73"/>
        </w:trPr>
        <w:tc>
          <w:tcPr>
            <w:tcW w:w="6120" w:type="dxa"/>
            <w:vAlign w:val="bottom"/>
          </w:tcPr>
          <w:p>
            <w:pPr>
              <w:spacing w:after="0"/>
              <w:rPr>
                <w:sz w:val="20"/>
                <w:szCs w:val="20"/>
                <w:color w:val="auto"/>
              </w:rPr>
            </w:pPr>
            <w:r>
              <w:rPr>
                <w:rFonts w:ascii="Courier New" w:cs="Courier New" w:eastAsia="Courier New" w:hAnsi="Courier New"/>
                <w:sz w:val="15"/>
                <w:szCs w:val="15"/>
                <w:color w:val="auto"/>
              </w:rPr>
              <w:t>Short-term borrowings, net</w:t>
            </w:r>
          </w:p>
        </w:tc>
        <w:tc>
          <w:tcPr>
            <w:tcW w:w="1800" w:type="dxa"/>
            <w:vAlign w:val="bottom"/>
          </w:tcPr>
          <w:p>
            <w:pPr>
              <w:spacing w:after="0"/>
              <w:rPr>
                <w:sz w:val="15"/>
                <w:szCs w:val="15"/>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12,939</w:t>
            </w:r>
          </w:p>
        </w:tc>
        <w:tc>
          <w:tcPr>
            <w:tcW w:w="13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(33,062)</w:t>
            </w:r>
          </w:p>
        </w:tc>
      </w:tr>
      <w:tr>
        <w:trPr>
          <w:trHeight w:val="173"/>
        </w:trPr>
        <w:tc>
          <w:tcPr>
            <w:tcW w:w="6120" w:type="dxa"/>
            <w:vAlign w:val="bottom"/>
          </w:tcPr>
          <w:p>
            <w:pPr>
              <w:spacing w:after="0"/>
              <w:rPr>
                <w:sz w:val="20"/>
                <w:szCs w:val="20"/>
                <w:color w:val="auto"/>
              </w:rPr>
            </w:pPr>
            <w:r>
              <w:rPr>
                <w:rFonts w:ascii="Courier New" w:cs="Courier New" w:eastAsia="Courier New" w:hAnsi="Courier New"/>
                <w:sz w:val="15"/>
                <w:szCs w:val="15"/>
                <w:color w:val="auto"/>
              </w:rPr>
              <w:t>Convertible subordinated debt</w:t>
            </w:r>
          </w:p>
        </w:tc>
        <w:tc>
          <w:tcPr>
            <w:tcW w:w="1800" w:type="dxa"/>
            <w:vAlign w:val="bottom"/>
          </w:tcPr>
          <w:p>
            <w:pPr>
              <w:spacing w:after="0"/>
              <w:rPr>
                <w:sz w:val="15"/>
                <w:szCs w:val="15"/>
                <w:color w:val="auto"/>
              </w:rPr>
            </w:pPr>
          </w:p>
        </w:tc>
        <w:tc>
          <w:tcPr>
            <w:tcW w:w="10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57,800</w:t>
            </w:r>
          </w:p>
        </w:tc>
      </w:tr>
      <w:tr>
        <w:trPr>
          <w:trHeight w:val="173"/>
        </w:trPr>
        <w:tc>
          <w:tcPr>
            <w:tcW w:w="6120" w:type="dxa"/>
            <w:vAlign w:val="bottom"/>
          </w:tcPr>
          <w:p>
            <w:pPr>
              <w:spacing w:after="0"/>
              <w:rPr>
                <w:sz w:val="20"/>
                <w:szCs w:val="20"/>
                <w:color w:val="auto"/>
              </w:rPr>
            </w:pPr>
            <w:r>
              <w:rPr>
                <w:rFonts w:ascii="Courier New" w:cs="Courier New" w:eastAsia="Courier New" w:hAnsi="Courier New"/>
                <w:sz w:val="15"/>
                <w:szCs w:val="15"/>
                <w:color w:val="auto"/>
              </w:rPr>
              <w:t>Issuance of common stock</w:t>
            </w:r>
          </w:p>
        </w:tc>
        <w:tc>
          <w:tcPr>
            <w:tcW w:w="1800" w:type="dxa"/>
            <w:vAlign w:val="bottom"/>
          </w:tcPr>
          <w:p>
            <w:pPr>
              <w:spacing w:after="0"/>
              <w:rPr>
                <w:sz w:val="15"/>
                <w:szCs w:val="15"/>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543</w:t>
            </w:r>
          </w:p>
        </w:tc>
        <w:tc>
          <w:tcPr>
            <w:tcW w:w="13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52</w:t>
            </w:r>
          </w:p>
        </w:tc>
      </w:tr>
      <w:tr>
        <w:trPr>
          <w:trHeight w:val="173"/>
        </w:trPr>
        <w:tc>
          <w:tcPr>
            <w:tcW w:w="6120" w:type="dxa"/>
            <w:vAlign w:val="bottom"/>
          </w:tcPr>
          <w:p>
            <w:pPr>
              <w:spacing w:after="0"/>
              <w:rPr>
                <w:sz w:val="20"/>
                <w:szCs w:val="20"/>
                <w:color w:val="auto"/>
              </w:rPr>
            </w:pPr>
            <w:r>
              <w:rPr>
                <w:rFonts w:ascii="Courier New" w:cs="Courier New" w:eastAsia="Courier New" w:hAnsi="Courier New"/>
                <w:sz w:val="15"/>
                <w:szCs w:val="15"/>
                <w:color w:val="auto"/>
              </w:rPr>
              <w:t>Other, net</w:t>
            </w:r>
          </w:p>
        </w:tc>
        <w:tc>
          <w:tcPr>
            <w:tcW w:w="1800" w:type="dxa"/>
            <w:vAlign w:val="bottom"/>
          </w:tcPr>
          <w:p>
            <w:pPr>
              <w:spacing w:after="0"/>
              <w:rPr>
                <w:sz w:val="15"/>
                <w:szCs w:val="15"/>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535</w:t>
            </w:r>
          </w:p>
        </w:tc>
        <w:tc>
          <w:tcPr>
            <w:tcW w:w="13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w:t>
            </w:r>
          </w:p>
        </w:tc>
      </w:tr>
      <w:tr>
        <w:trPr>
          <w:trHeight w:val="173"/>
        </w:trPr>
        <w:tc>
          <w:tcPr>
            <w:tcW w:w="6120" w:type="dxa"/>
            <w:vAlign w:val="bottom"/>
          </w:tcPr>
          <w:p>
            <w:pPr>
              <w:spacing w:after="0"/>
              <w:rPr>
                <w:sz w:val="15"/>
                <w:szCs w:val="15"/>
                <w:color w:val="auto"/>
              </w:rPr>
            </w:pPr>
          </w:p>
        </w:tc>
        <w:tc>
          <w:tcPr>
            <w:tcW w:w="2840" w:type="dxa"/>
            <w:vAlign w:val="bottom"/>
            <w:gridSpan w:val="2"/>
          </w:tcPr>
          <w:p>
            <w:pPr>
              <w:ind w:left="1440"/>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6120" w:type="dxa"/>
            <w:vAlign w:val="bottom"/>
          </w:tcPr>
          <w:p>
            <w:pPr>
              <w:ind w:left="540"/>
              <w:spacing w:after="0"/>
              <w:rPr>
                <w:sz w:val="20"/>
                <w:szCs w:val="20"/>
                <w:color w:val="auto"/>
              </w:rPr>
            </w:pPr>
            <w:r>
              <w:rPr>
                <w:rFonts w:ascii="Courier New" w:cs="Courier New" w:eastAsia="Courier New" w:hAnsi="Courier New"/>
                <w:sz w:val="15"/>
                <w:szCs w:val="15"/>
                <w:color w:val="auto"/>
              </w:rPr>
              <w:t>Cash provided by financing activities</w:t>
            </w:r>
          </w:p>
        </w:tc>
        <w:tc>
          <w:tcPr>
            <w:tcW w:w="1800" w:type="dxa"/>
            <w:vAlign w:val="bottom"/>
          </w:tcPr>
          <w:p>
            <w:pPr>
              <w:spacing w:after="0"/>
              <w:rPr>
                <w:sz w:val="15"/>
                <w:szCs w:val="15"/>
                <w:color w:val="auto"/>
              </w:rPr>
            </w:pPr>
          </w:p>
        </w:tc>
        <w:tc>
          <w:tcPr>
            <w:tcW w:w="1040" w:type="dxa"/>
            <w:vAlign w:val="bottom"/>
          </w:tcPr>
          <w:p>
            <w:pPr>
              <w:ind w:left="180"/>
              <w:spacing w:after="0"/>
              <w:rPr>
                <w:sz w:val="20"/>
                <w:szCs w:val="20"/>
                <w:color w:val="auto"/>
              </w:rPr>
            </w:pPr>
            <w:r>
              <w:rPr>
                <w:rFonts w:ascii="Courier New" w:cs="Courier New" w:eastAsia="Courier New" w:hAnsi="Courier New"/>
                <w:sz w:val="15"/>
                <w:szCs w:val="15"/>
                <w:color w:val="auto"/>
              </w:rPr>
              <w:t>14,017</w:t>
            </w:r>
          </w:p>
        </w:tc>
        <w:tc>
          <w:tcPr>
            <w:tcW w:w="13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24,773</w:t>
            </w:r>
          </w:p>
        </w:tc>
      </w:tr>
      <w:tr>
        <w:trPr>
          <w:trHeight w:val="173"/>
        </w:trPr>
        <w:tc>
          <w:tcPr>
            <w:tcW w:w="6120" w:type="dxa"/>
            <w:vAlign w:val="bottom"/>
          </w:tcPr>
          <w:p>
            <w:pPr>
              <w:spacing w:after="0"/>
              <w:rPr>
                <w:sz w:val="15"/>
                <w:szCs w:val="15"/>
                <w:color w:val="auto"/>
              </w:rPr>
            </w:pPr>
          </w:p>
        </w:tc>
        <w:tc>
          <w:tcPr>
            <w:tcW w:w="2840" w:type="dxa"/>
            <w:vAlign w:val="bottom"/>
            <w:gridSpan w:val="2"/>
          </w:tcPr>
          <w:p>
            <w:pPr>
              <w:ind w:left="1440"/>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6120" w:type="dxa"/>
            <w:vAlign w:val="bottom"/>
          </w:tcPr>
          <w:p>
            <w:pPr>
              <w:spacing w:after="0"/>
              <w:rPr>
                <w:sz w:val="20"/>
                <w:szCs w:val="20"/>
                <w:color w:val="auto"/>
              </w:rPr>
            </w:pPr>
            <w:r>
              <w:rPr>
                <w:rFonts w:ascii="Courier New" w:cs="Courier New" w:eastAsia="Courier New" w:hAnsi="Courier New"/>
                <w:sz w:val="15"/>
                <w:szCs w:val="15"/>
                <w:color w:val="auto"/>
              </w:rPr>
              <w:t>Increase(decrease)in cash and cash equivalents</w:t>
            </w:r>
          </w:p>
        </w:tc>
        <w:tc>
          <w:tcPr>
            <w:tcW w:w="1800" w:type="dxa"/>
            <w:vAlign w:val="bottom"/>
          </w:tcPr>
          <w:p>
            <w:pPr>
              <w:spacing w:after="0"/>
              <w:rPr>
                <w:sz w:val="15"/>
                <w:szCs w:val="15"/>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(1,302)</w:t>
            </w:r>
          </w:p>
        </w:tc>
        <w:tc>
          <w:tcPr>
            <w:tcW w:w="13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16,679</w:t>
            </w:r>
          </w:p>
        </w:tc>
      </w:tr>
      <w:tr>
        <w:trPr>
          <w:trHeight w:val="347"/>
        </w:trPr>
        <w:tc>
          <w:tcPr>
            <w:tcW w:w="612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beginning of period</w:t>
            </w:r>
          </w:p>
        </w:tc>
        <w:tc>
          <w:tcPr>
            <w:tcW w:w="1800" w:type="dxa"/>
            <w:vAlign w:val="bottom"/>
          </w:tcPr>
          <w:p>
            <w:pPr>
              <w:spacing w:after="0"/>
              <w:rPr>
                <w:sz w:val="24"/>
                <w:szCs w:val="24"/>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3,023</w:t>
            </w:r>
          </w:p>
        </w:tc>
        <w:tc>
          <w:tcPr>
            <w:tcW w:w="13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2,243</w:t>
            </w:r>
          </w:p>
        </w:tc>
      </w:tr>
      <w:tr>
        <w:trPr>
          <w:trHeight w:val="173"/>
        </w:trPr>
        <w:tc>
          <w:tcPr>
            <w:tcW w:w="6120" w:type="dxa"/>
            <w:vAlign w:val="bottom"/>
          </w:tcPr>
          <w:p>
            <w:pPr>
              <w:spacing w:after="0"/>
              <w:rPr>
                <w:sz w:val="15"/>
                <w:szCs w:val="15"/>
                <w:color w:val="auto"/>
              </w:rPr>
            </w:pPr>
          </w:p>
        </w:tc>
        <w:tc>
          <w:tcPr>
            <w:tcW w:w="2840" w:type="dxa"/>
            <w:vAlign w:val="bottom"/>
            <w:gridSpan w:val="2"/>
          </w:tcPr>
          <w:p>
            <w:pPr>
              <w:ind w:left="1440"/>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612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end of period</w:t>
            </w:r>
          </w:p>
        </w:tc>
        <w:tc>
          <w:tcPr>
            <w:tcW w:w="1800" w:type="dxa"/>
            <w:vAlign w:val="bottom"/>
          </w:tcPr>
          <w:p>
            <w:pPr>
              <w:ind w:left="162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1,721</w:t>
            </w:r>
          </w:p>
        </w:tc>
        <w:tc>
          <w:tcPr>
            <w:tcW w:w="13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$ 18,922</w:t>
            </w:r>
          </w:p>
        </w:tc>
      </w:tr>
      <w:tr>
        <w:trPr>
          <w:trHeight w:val="173"/>
        </w:trPr>
        <w:tc>
          <w:tcPr>
            <w:tcW w:w="6120" w:type="dxa"/>
            <w:vAlign w:val="bottom"/>
          </w:tcPr>
          <w:p>
            <w:pPr>
              <w:spacing w:after="0"/>
              <w:rPr>
                <w:sz w:val="15"/>
                <w:szCs w:val="15"/>
                <w:color w:val="auto"/>
              </w:rPr>
            </w:pPr>
          </w:p>
        </w:tc>
        <w:tc>
          <w:tcPr>
            <w:tcW w:w="2840" w:type="dxa"/>
            <w:vAlign w:val="bottom"/>
            <w:gridSpan w:val="2"/>
          </w:tcPr>
          <w:p>
            <w:pPr>
              <w:ind w:left="1440"/>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accompanying notes are an integral part of these financial statements.</w:t>
      </w:r>
    </w:p>
    <w:p>
      <w:pPr>
        <w:sectPr>
          <w:pgSz w:w="11900" w:h="16838" w:orient="portrait"/>
          <w:cols w:equalWidth="0" w:num="1">
            <w:col w:w="10280"/>
          </w:cols>
          <w:pgMar w:left="240" w:top="811" w:right="1379" w:bottom="1440" w:gutter="0" w:footer="0" w:header="0"/>
        </w:sectPr>
      </w:pPr>
    </w:p>
    <w:bookmarkStart w:id="3" w:name="page4"/>
    <w:bookmarkEnd w:id="3"/>
    <w:p>
      <w:pPr>
        <w:jc w:val="center"/>
        <w:ind w:right="2980"/>
        <w:spacing w:after="0"/>
        <w:rPr>
          <w:sz w:val="20"/>
          <w:szCs w:val="20"/>
          <w:color w:val="auto"/>
        </w:rPr>
      </w:pPr>
      <w:r>
        <w:rPr>
          <w:rFonts w:ascii="Courier New" w:cs="Courier New" w:eastAsia="Courier New" w:hAnsi="Courier New"/>
          <w:sz w:val="15"/>
          <w:szCs w:val="15"/>
          <w:color w:val="auto"/>
        </w:rPr>
        <w:t>ITRON, INC.</w:t>
      </w:r>
    </w:p>
    <w:p>
      <w:pPr>
        <w:spacing w:after="0" w:line="3" w:lineRule="exact"/>
        <w:rPr>
          <w:sz w:val="20"/>
          <w:szCs w:val="20"/>
          <w:color w:val="auto"/>
        </w:rPr>
      </w:pPr>
    </w:p>
    <w:p>
      <w:pPr>
        <w:jc w:val="center"/>
        <w:ind w:right="308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3" w:lineRule="exact"/>
        <w:rPr>
          <w:sz w:val="20"/>
          <w:szCs w:val="20"/>
          <w:color w:val="auto"/>
        </w:rPr>
      </w:pPr>
    </w:p>
    <w:p>
      <w:pPr>
        <w:jc w:val="center"/>
        <w:ind w:right="3080"/>
        <w:spacing w:after="0"/>
        <w:rPr>
          <w:sz w:val="20"/>
          <w:szCs w:val="20"/>
          <w:color w:val="auto"/>
        </w:rPr>
      </w:pPr>
      <w:r>
        <w:rPr>
          <w:rFonts w:ascii="Courier New" w:cs="Courier New" w:eastAsia="Courier New" w:hAnsi="Courier New"/>
          <w:sz w:val="15"/>
          <w:szCs w:val="15"/>
          <w:color w:val="auto"/>
        </w:rPr>
        <w:t>March 31, 1998</w:t>
      </w:r>
    </w:p>
    <w:p>
      <w:pPr>
        <w:spacing w:after="0" w:line="350"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1:</w:t>
        <w:tab/>
        <w:t>Basis of Presentation</w:t>
      </w:r>
    </w:p>
    <w:p>
      <w:pPr>
        <w:spacing w:after="0" w:line="178" w:lineRule="exact"/>
        <w:rPr>
          <w:sz w:val="20"/>
          <w:szCs w:val="20"/>
          <w:color w:val="auto"/>
        </w:rPr>
      </w:pPr>
    </w:p>
    <w:p>
      <w:pPr>
        <w:jc w:val="both"/>
        <w:ind w:right="3080"/>
        <w:spacing w:after="0" w:line="244" w:lineRule="auto"/>
        <w:rPr>
          <w:sz w:val="20"/>
          <w:szCs w:val="20"/>
          <w:color w:val="auto"/>
        </w:rPr>
      </w:pPr>
      <w:r>
        <w:rPr>
          <w:rFonts w:ascii="Courier New" w:cs="Courier New" w:eastAsia="Courier New" w:hAnsi="Courier New"/>
          <w:sz w:val="15"/>
          <w:szCs w:val="15"/>
          <w:color w:val="auto"/>
        </w:rPr>
        <w:t>The consolidated financial statements presented in this Form 10-Q are unaudited and reflect, in the opinion of management, all normal recurring adjustments necessary for a fair presentation of operations for the three month period ended March 31, 1998. Certain information and footnote disclosures normally included in financial statements prepared in accordance with generally accepted accounting principles have been condensed or omitted pursuant to the rules and regulations of the Securities and Exchange Commission. These condensed consolidated financial statements should be read in conjunction with the audited consolidated financial statements and the notes thereto included in the Company's Form 10-K for the year ended December 31, 1997, as filed with the Securities and Exchange Commission on March 31, 1998.</w:t>
      </w:r>
    </w:p>
    <w:p>
      <w:pPr>
        <w:spacing w:after="0" w:line="180" w:lineRule="exact"/>
        <w:rPr>
          <w:sz w:val="20"/>
          <w:szCs w:val="20"/>
          <w:color w:val="auto"/>
        </w:rPr>
      </w:pPr>
    </w:p>
    <w:p>
      <w:pPr>
        <w:jc w:val="both"/>
        <w:ind w:right="3080"/>
        <w:spacing w:after="0" w:line="244" w:lineRule="auto"/>
        <w:rPr>
          <w:sz w:val="20"/>
          <w:szCs w:val="20"/>
          <w:color w:val="auto"/>
        </w:rPr>
      </w:pPr>
      <w:r>
        <w:rPr>
          <w:rFonts w:ascii="Courier New" w:cs="Courier New" w:eastAsia="Courier New" w:hAnsi="Courier New"/>
          <w:sz w:val="15"/>
          <w:szCs w:val="15"/>
          <w:color w:val="auto"/>
        </w:rPr>
        <w:t>The Company reports revenue in three categories: AMR (automatic meter reading) systems, Handheld systems (EMR or electronic meter reading), and Outsourcing. AMR and Handheld systems revenues include all product and other revenue associated with each business segment. Outsourcing includes revenues for contracts under which the Company installs, owns, and operates an AMR system to provide automated meter reading services over a period of time, typically 15 years.</w:t>
      </w:r>
    </w:p>
    <w:p>
      <w:pPr>
        <w:spacing w:after="0" w:line="178" w:lineRule="exact"/>
        <w:rPr>
          <w:sz w:val="20"/>
          <w:szCs w:val="20"/>
          <w:color w:val="auto"/>
        </w:rPr>
      </w:pPr>
    </w:p>
    <w:p>
      <w:pPr>
        <w:jc w:val="both"/>
        <w:ind w:right="3080"/>
        <w:spacing w:after="0" w:line="244" w:lineRule="auto"/>
        <w:rPr>
          <w:sz w:val="20"/>
          <w:szCs w:val="20"/>
          <w:color w:val="auto"/>
        </w:rPr>
      </w:pPr>
      <w:r>
        <w:rPr>
          <w:rFonts w:ascii="Courier New" w:cs="Courier New" w:eastAsia="Courier New" w:hAnsi="Courier New"/>
          <w:sz w:val="15"/>
          <w:szCs w:val="15"/>
          <w:color w:val="auto"/>
        </w:rPr>
        <w:t>The results of operations for the three month period ended March 31, 1998, are not necessarily indicative of the results expected for the full fiscal year or for any other fiscal period.</w:t>
      </w:r>
    </w:p>
    <w:p>
      <w:pPr>
        <w:spacing w:after="0" w:line="348"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2:</w:t>
      </w:r>
      <w:r>
        <w:rPr>
          <w:sz w:val="20"/>
          <w:szCs w:val="20"/>
          <w:color w:val="auto"/>
        </w:rPr>
        <w:tab/>
      </w:r>
      <w:r>
        <w:rPr>
          <w:rFonts w:ascii="Courier New" w:cs="Courier New" w:eastAsia="Courier New" w:hAnsi="Courier New"/>
          <w:sz w:val="14"/>
          <w:szCs w:val="14"/>
          <w:color w:val="auto"/>
        </w:rPr>
        <w:t>Balance Sheet Components</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20" w:type="dxa"/>
            <w:vAlign w:val="bottom"/>
            <w:gridSpan w:val="8"/>
          </w:tcPr>
          <w:p>
            <w:pPr>
              <w:spacing w:after="0"/>
              <w:rPr>
                <w:sz w:val="20"/>
                <w:szCs w:val="20"/>
                <w:color w:val="auto"/>
              </w:rPr>
            </w:pPr>
            <w:r>
              <w:rPr>
                <w:rFonts w:ascii="Courier New" w:cs="Courier New" w:eastAsia="Courier New" w:hAnsi="Courier New"/>
                <w:sz w:val="15"/>
                <w:szCs w:val="15"/>
                <w:color w:val="auto"/>
                <w:w w:val="99"/>
              </w:rPr>
              <w:t>Inventories (unaudited, in thousands):</w:t>
            </w: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60" w:type="dxa"/>
            <w:vAlign w:val="bottom"/>
          </w:tcPr>
          <w:p>
            <w:pPr>
              <w:jc w:val="right"/>
              <w:ind w:right="465"/>
              <w:spacing w:after="0"/>
              <w:rPr>
                <w:sz w:val="20"/>
                <w:szCs w:val="20"/>
                <w:color w:val="auto"/>
              </w:rPr>
            </w:pPr>
            <w:r>
              <w:rPr>
                <w:rFonts w:ascii="Courier New" w:cs="Courier New" w:eastAsia="Courier New" w:hAnsi="Courier New"/>
                <w:sz w:val="15"/>
                <w:szCs w:val="15"/>
                <w:color w:val="auto"/>
                <w:w w:val="98"/>
              </w:rPr>
              <w:t>March 31,</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December 31,</w:t>
            </w:r>
          </w:p>
        </w:tc>
      </w:tr>
      <w:tr>
        <w:trPr>
          <w:trHeight w:val="173"/>
        </w:trPr>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6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1998</w:t>
            </w:r>
          </w:p>
        </w:tc>
        <w:tc>
          <w:tcPr>
            <w:tcW w:w="11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1997</w:t>
            </w:r>
          </w:p>
        </w:tc>
      </w:tr>
      <w:tr>
        <w:trPr>
          <w:trHeight w:val="173"/>
        </w:trPr>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60" w:type="dxa"/>
            <w:vAlign w:val="bottom"/>
            <w:gridSpan w:val="2"/>
          </w:tcPr>
          <w:p>
            <w:pPr>
              <w:ind w:left="720"/>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20"/>
                <w:szCs w:val="20"/>
                <w:color w:val="auto"/>
              </w:rPr>
            </w:pPr>
            <w:r>
              <w:rPr>
                <w:rFonts w:ascii="Courier New" w:cs="Courier New" w:eastAsia="Courier New" w:hAnsi="Courier New"/>
                <w:sz w:val="15"/>
                <w:szCs w:val="15"/>
                <w:color w:val="auto"/>
              </w:rPr>
              <w:t>------------</w:t>
            </w:r>
          </w:p>
        </w:tc>
      </w:tr>
      <w:tr>
        <w:trPr>
          <w:trHeight w:val="347"/>
        </w:trPr>
        <w:tc>
          <w:tcPr>
            <w:tcW w:w="900" w:type="dxa"/>
            <w:vAlign w:val="bottom"/>
          </w:tcPr>
          <w:p>
            <w:pPr>
              <w:spacing w:after="0"/>
              <w:rPr>
                <w:sz w:val="20"/>
                <w:szCs w:val="20"/>
                <w:color w:val="auto"/>
              </w:rPr>
            </w:pPr>
            <w:r>
              <w:rPr>
                <w:rFonts w:ascii="Courier New" w:cs="Courier New" w:eastAsia="Courier New" w:hAnsi="Courier New"/>
                <w:sz w:val="15"/>
                <w:szCs w:val="15"/>
                <w:color w:val="auto"/>
              </w:rPr>
              <w:t>Material</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$13,579</w:t>
            </w:r>
          </w:p>
        </w:tc>
        <w:tc>
          <w:tcPr>
            <w:tcW w:w="118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$14,418</w:t>
            </w:r>
          </w:p>
        </w:tc>
      </w:tr>
      <w:tr>
        <w:trPr>
          <w:trHeight w:val="173"/>
        </w:trPr>
        <w:tc>
          <w:tcPr>
            <w:tcW w:w="1340" w:type="dxa"/>
            <w:vAlign w:val="bottom"/>
            <w:gridSpan w:val="3"/>
          </w:tcPr>
          <w:p>
            <w:pPr>
              <w:spacing w:after="0"/>
              <w:rPr>
                <w:sz w:val="20"/>
                <w:szCs w:val="20"/>
                <w:color w:val="auto"/>
              </w:rPr>
            </w:pPr>
            <w:r>
              <w:rPr>
                <w:rFonts w:ascii="Courier New" w:cs="Courier New" w:eastAsia="Courier New" w:hAnsi="Courier New"/>
                <w:sz w:val="15"/>
                <w:szCs w:val="15"/>
                <w:color w:val="auto"/>
                <w:w w:val="97"/>
              </w:rPr>
              <w:t>Work in process</w:t>
            </w: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1,770</w:t>
            </w:r>
          </w:p>
        </w:tc>
        <w:tc>
          <w:tcPr>
            <w:tcW w:w="118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3,138</w:t>
            </w:r>
          </w:p>
        </w:tc>
      </w:tr>
      <w:tr>
        <w:trPr>
          <w:trHeight w:val="173"/>
        </w:trPr>
        <w:tc>
          <w:tcPr>
            <w:tcW w:w="1340" w:type="dxa"/>
            <w:vAlign w:val="bottom"/>
            <w:gridSpan w:val="3"/>
          </w:tcPr>
          <w:p>
            <w:pPr>
              <w:spacing w:after="0"/>
              <w:rPr>
                <w:sz w:val="20"/>
                <w:szCs w:val="20"/>
                <w:color w:val="auto"/>
              </w:rPr>
            </w:pPr>
            <w:r>
              <w:rPr>
                <w:rFonts w:ascii="Courier New" w:cs="Courier New" w:eastAsia="Courier New" w:hAnsi="Courier New"/>
                <w:sz w:val="15"/>
                <w:szCs w:val="15"/>
                <w:color w:val="auto"/>
              </w:rPr>
              <w:t>Finished goods</w:t>
            </w: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7,246</w:t>
            </w:r>
          </w:p>
        </w:tc>
        <w:tc>
          <w:tcPr>
            <w:tcW w:w="118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7,304</w:t>
            </w:r>
          </w:p>
        </w:tc>
      </w:tr>
      <w:tr>
        <w:trPr>
          <w:trHeight w:val="173"/>
        </w:trPr>
        <w:tc>
          <w:tcPr>
            <w:tcW w:w="4280" w:type="dxa"/>
            <w:vAlign w:val="bottom"/>
            <w:gridSpan w:val="9"/>
          </w:tcPr>
          <w:p>
            <w:pPr>
              <w:spacing w:after="0"/>
              <w:rPr>
                <w:sz w:val="20"/>
                <w:szCs w:val="20"/>
                <w:color w:val="auto"/>
              </w:rPr>
            </w:pPr>
            <w:r>
              <w:rPr>
                <w:rFonts w:ascii="Courier New" w:cs="Courier New" w:eastAsia="Courier New" w:hAnsi="Courier New"/>
                <w:sz w:val="15"/>
                <w:szCs w:val="15"/>
                <w:color w:val="auto"/>
              </w:rPr>
              <w:t>Field inventories awaiting installation</w:t>
            </w: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927</w:t>
            </w:r>
          </w:p>
        </w:tc>
        <w:tc>
          <w:tcPr>
            <w:tcW w:w="118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5,178</w:t>
            </w:r>
          </w:p>
        </w:tc>
      </w:tr>
      <w:tr>
        <w:trPr>
          <w:trHeight w:val="173"/>
        </w:trPr>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60" w:type="dxa"/>
            <w:vAlign w:val="bottom"/>
            <w:gridSpan w:val="2"/>
          </w:tcPr>
          <w:p>
            <w:pPr>
              <w:ind w:left="720"/>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20"/>
                <w:szCs w:val="20"/>
                <w:color w:val="auto"/>
              </w:rPr>
            </w:pPr>
            <w:r>
              <w:rPr>
                <w:rFonts w:ascii="Courier New" w:cs="Courier New" w:eastAsia="Courier New" w:hAnsi="Courier New"/>
                <w:sz w:val="15"/>
                <w:szCs w:val="15"/>
                <w:color w:val="auto"/>
              </w:rPr>
              <w:t>------------</w:t>
            </w:r>
          </w:p>
        </w:tc>
      </w:tr>
      <w:tr>
        <w:trPr>
          <w:trHeight w:val="173"/>
        </w:trPr>
        <w:tc>
          <w:tcPr>
            <w:tcW w:w="3200" w:type="dxa"/>
            <w:vAlign w:val="bottom"/>
            <w:gridSpan w:val="7"/>
          </w:tcPr>
          <w:p>
            <w:pPr>
              <w:spacing w:after="0"/>
              <w:rPr>
                <w:sz w:val="20"/>
                <w:szCs w:val="20"/>
                <w:color w:val="auto"/>
              </w:rPr>
            </w:pPr>
            <w:r>
              <w:rPr>
                <w:rFonts w:ascii="Courier New" w:cs="Courier New" w:eastAsia="Courier New" w:hAnsi="Courier New"/>
                <w:sz w:val="15"/>
                <w:szCs w:val="15"/>
                <w:color w:val="auto"/>
              </w:rPr>
              <w:t>Total manufacturing inventories</w:t>
            </w: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23,522</w:t>
            </w:r>
          </w:p>
        </w:tc>
        <w:tc>
          <w:tcPr>
            <w:tcW w:w="118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30,038</w:t>
            </w:r>
          </w:p>
        </w:tc>
      </w:tr>
      <w:tr>
        <w:trPr>
          <w:trHeight w:val="173"/>
        </w:trPr>
        <w:tc>
          <w:tcPr>
            <w:tcW w:w="900" w:type="dxa"/>
            <w:vAlign w:val="bottom"/>
          </w:tcPr>
          <w:p>
            <w:pPr>
              <w:spacing w:after="0"/>
              <w:rPr>
                <w:sz w:val="20"/>
                <w:szCs w:val="20"/>
                <w:color w:val="auto"/>
              </w:rPr>
            </w:pPr>
            <w:r>
              <w:rPr>
                <w:rFonts w:ascii="Courier New" w:cs="Courier New" w:eastAsia="Courier New" w:hAnsi="Courier New"/>
                <w:sz w:val="15"/>
                <w:szCs w:val="15"/>
                <w:color w:val="auto"/>
              </w:rPr>
              <w:t>Service</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2,249</w:t>
            </w:r>
          </w:p>
        </w:tc>
        <w:tc>
          <w:tcPr>
            <w:tcW w:w="118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1,947</w:t>
            </w:r>
          </w:p>
        </w:tc>
      </w:tr>
      <w:tr>
        <w:trPr>
          <w:trHeight w:val="173"/>
        </w:trPr>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60" w:type="dxa"/>
            <w:vAlign w:val="bottom"/>
            <w:gridSpan w:val="2"/>
          </w:tcPr>
          <w:p>
            <w:pPr>
              <w:ind w:left="720"/>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20"/>
                <w:szCs w:val="20"/>
                <w:color w:val="auto"/>
              </w:rPr>
            </w:pPr>
            <w:r>
              <w:rPr>
                <w:rFonts w:ascii="Courier New" w:cs="Courier New" w:eastAsia="Courier New" w:hAnsi="Courier New"/>
                <w:sz w:val="15"/>
                <w:szCs w:val="15"/>
                <w:color w:val="auto"/>
              </w:rPr>
              <w:t>------------</w:t>
            </w:r>
          </w:p>
        </w:tc>
      </w:tr>
      <w:tr>
        <w:trPr>
          <w:trHeight w:val="173"/>
        </w:trPr>
        <w:tc>
          <w:tcPr>
            <w:tcW w:w="1940" w:type="dxa"/>
            <w:vAlign w:val="bottom"/>
            <w:gridSpan w:val="4"/>
          </w:tcPr>
          <w:p>
            <w:pPr>
              <w:spacing w:after="0"/>
              <w:rPr>
                <w:sz w:val="20"/>
                <w:szCs w:val="20"/>
                <w:color w:val="auto"/>
              </w:rPr>
            </w:pPr>
            <w:r>
              <w:rPr>
                <w:rFonts w:ascii="Courier New" w:cs="Courier New" w:eastAsia="Courier New" w:hAnsi="Courier New"/>
                <w:sz w:val="15"/>
                <w:szCs w:val="15"/>
                <w:color w:val="auto"/>
              </w:rPr>
              <w:t>Total inventories</w:t>
            </w: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$25,771</w:t>
            </w:r>
          </w:p>
        </w:tc>
        <w:tc>
          <w:tcPr>
            <w:tcW w:w="118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$31,985</w:t>
            </w:r>
          </w:p>
        </w:tc>
      </w:tr>
      <w:tr>
        <w:trPr>
          <w:trHeight w:val="173"/>
        </w:trPr>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60" w:type="dxa"/>
            <w:vAlign w:val="bottom"/>
            <w:gridSpan w:val="2"/>
          </w:tcPr>
          <w:p>
            <w:pPr>
              <w:ind w:left="720"/>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20"/>
                <w:szCs w:val="20"/>
                <w:color w:val="auto"/>
              </w:rPr>
            </w:pPr>
            <w:r>
              <w:rPr>
                <w:rFonts w:ascii="Courier New" w:cs="Courier New" w:eastAsia="Courier New" w:hAnsi="Courier New"/>
                <w:sz w:val="15"/>
                <w:szCs w:val="15"/>
                <w:color w:val="auto"/>
              </w:rPr>
              <w:t>============</w:t>
            </w:r>
          </w:p>
        </w:tc>
      </w:tr>
      <w:tr>
        <w:trPr>
          <w:trHeight w:val="694"/>
        </w:trPr>
        <w:tc>
          <w:tcPr>
            <w:tcW w:w="5040" w:type="dxa"/>
            <w:vAlign w:val="bottom"/>
            <w:gridSpan w:val="10"/>
          </w:tcPr>
          <w:p>
            <w:pPr>
              <w:spacing w:after="0"/>
              <w:rPr>
                <w:sz w:val="20"/>
                <w:szCs w:val="20"/>
                <w:color w:val="auto"/>
              </w:rPr>
            </w:pPr>
            <w:r>
              <w:rPr>
                <w:rFonts w:ascii="Courier New" w:cs="Courier New" w:eastAsia="Courier New" w:hAnsi="Courier New"/>
                <w:sz w:val="15"/>
                <w:szCs w:val="15"/>
                <w:color w:val="auto"/>
              </w:rPr>
              <w:t>Note 3:  Impact of Recent Accounting Pronouncements</w:t>
            </w: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47"/>
        </w:trPr>
        <w:tc>
          <w:tcPr>
            <w:tcW w:w="1940" w:type="dxa"/>
            <w:vAlign w:val="bottom"/>
            <w:gridSpan w:val="4"/>
          </w:tcPr>
          <w:p>
            <w:pPr>
              <w:spacing w:after="0"/>
              <w:rPr>
                <w:sz w:val="20"/>
                <w:szCs w:val="20"/>
                <w:color w:val="auto"/>
              </w:rPr>
            </w:pPr>
            <w:r>
              <w:rPr>
                <w:rFonts w:ascii="Courier New" w:cs="Courier New" w:eastAsia="Courier New" w:hAnsi="Courier New"/>
                <w:sz w:val="15"/>
                <w:szCs w:val="15"/>
                <w:color w:val="auto"/>
              </w:rPr>
              <w:t>Comprehensive Income</w:t>
            </w: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3"/>
        </w:trPr>
        <w:tc>
          <w:tcPr>
            <w:tcW w:w="7740" w:type="dxa"/>
            <w:vAlign w:val="bottom"/>
            <w:gridSpan w:val="15"/>
          </w:tcPr>
          <w:p>
            <w:pPr>
              <w:spacing w:after="0"/>
              <w:rPr>
                <w:sz w:val="20"/>
                <w:szCs w:val="20"/>
                <w:color w:val="auto"/>
              </w:rPr>
            </w:pPr>
            <w:r>
              <w:rPr>
                <w:rFonts w:ascii="Courier New" w:cs="Courier New" w:eastAsia="Courier New" w:hAnsi="Courier New"/>
                <w:sz w:val="15"/>
                <w:szCs w:val="15"/>
                <w:color w:val="auto"/>
              </w:rPr>
              <w:t>Effective January 1, 1998, the Company adopted Statement of Financial Accounting</w:t>
            </w:r>
          </w:p>
        </w:tc>
        <w:tc>
          <w:tcPr>
            <w:tcW w:w="13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3"/>
        </w:trPr>
        <w:tc>
          <w:tcPr>
            <w:tcW w:w="900" w:type="dxa"/>
            <w:vAlign w:val="bottom"/>
          </w:tcPr>
          <w:p>
            <w:pPr>
              <w:spacing w:after="0"/>
              <w:rPr>
                <w:sz w:val="20"/>
                <w:szCs w:val="20"/>
                <w:color w:val="auto"/>
              </w:rPr>
            </w:pPr>
            <w:r>
              <w:rPr>
                <w:rFonts w:ascii="Courier New" w:cs="Courier New" w:eastAsia="Courier New" w:hAnsi="Courier New"/>
                <w:sz w:val="15"/>
                <w:szCs w:val="15"/>
                <w:color w:val="auto"/>
              </w:rPr>
              <w:t>Standards</w:t>
            </w:r>
          </w:p>
        </w:tc>
        <w:tc>
          <w:tcPr>
            <w:tcW w:w="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No.</w:t>
            </w:r>
          </w:p>
        </w:tc>
        <w:tc>
          <w:tcPr>
            <w:tcW w:w="600" w:type="dxa"/>
            <w:vAlign w:val="bottom"/>
          </w:tcPr>
          <w:p>
            <w:pPr>
              <w:ind w:left="100"/>
              <w:spacing w:after="0"/>
              <w:rPr>
                <w:sz w:val="20"/>
                <w:szCs w:val="20"/>
                <w:color w:val="auto"/>
              </w:rPr>
            </w:pPr>
            <w:r>
              <w:rPr>
                <w:rFonts w:ascii="Courier New" w:cs="Courier New" w:eastAsia="Courier New" w:hAnsi="Courier New"/>
                <w:sz w:val="15"/>
                <w:szCs w:val="15"/>
                <w:color w:val="auto"/>
              </w:rPr>
              <w:t>130,</w:t>
            </w:r>
          </w:p>
        </w:tc>
        <w:tc>
          <w:tcPr>
            <w:tcW w:w="660" w:type="dxa"/>
            <w:vAlign w:val="bottom"/>
            <w:gridSpan w:val="2"/>
          </w:tcPr>
          <w:p>
            <w:pPr>
              <w:jc w:val="center"/>
              <w:ind w:right="65"/>
              <w:spacing w:after="0"/>
              <w:rPr>
                <w:sz w:val="20"/>
                <w:szCs w:val="20"/>
                <w:color w:val="auto"/>
              </w:rPr>
            </w:pPr>
            <w:r>
              <w:rPr>
                <w:rFonts w:ascii="Courier New" w:cs="Courier New" w:eastAsia="Courier New" w:hAnsi="Courier New"/>
                <w:sz w:val="15"/>
                <w:szCs w:val="15"/>
                <w:color w:val="auto"/>
                <w:w w:val="97"/>
              </w:rPr>
              <w:t>(SFAS</w:t>
            </w:r>
          </w:p>
        </w:tc>
        <w:tc>
          <w:tcPr>
            <w:tcW w:w="60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7"/>
              </w:rPr>
              <w:t>130),</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"Reporting</w:t>
            </w:r>
          </w:p>
        </w:tc>
        <w:tc>
          <w:tcPr>
            <w:tcW w:w="1660" w:type="dxa"/>
            <w:vAlign w:val="bottom"/>
            <w:gridSpan w:val="3"/>
          </w:tcPr>
          <w:p>
            <w:pPr>
              <w:jc w:val="right"/>
              <w:ind w:right="185"/>
              <w:spacing w:after="0"/>
              <w:rPr>
                <w:sz w:val="20"/>
                <w:szCs w:val="20"/>
                <w:color w:val="auto"/>
              </w:rPr>
            </w:pPr>
            <w:r>
              <w:rPr>
                <w:rFonts w:ascii="Courier New" w:cs="Courier New" w:eastAsia="Courier New" w:hAnsi="Courier New"/>
                <w:sz w:val="15"/>
                <w:szCs w:val="15"/>
                <w:color w:val="auto"/>
              </w:rPr>
              <w:t>Comprehensive</w:t>
            </w:r>
          </w:p>
        </w:tc>
        <w:tc>
          <w:tcPr>
            <w:tcW w:w="900" w:type="dxa"/>
            <w:vAlign w:val="bottom"/>
            <w:gridSpan w:val="2"/>
          </w:tcPr>
          <w:p>
            <w:pPr>
              <w:spacing w:after="0"/>
              <w:rPr>
                <w:sz w:val="20"/>
                <w:szCs w:val="20"/>
                <w:color w:val="auto"/>
              </w:rPr>
            </w:pPr>
            <w:r>
              <w:rPr>
                <w:rFonts w:ascii="Courier New" w:cs="Courier New" w:eastAsia="Courier New" w:hAnsi="Courier New"/>
                <w:sz w:val="15"/>
                <w:szCs w:val="15"/>
                <w:color w:val="auto"/>
              </w:rPr>
              <w:t>Income,"</w:t>
            </w:r>
          </w:p>
        </w:tc>
        <w:tc>
          <w:tcPr>
            <w:tcW w:w="900" w:type="dxa"/>
            <w:vAlign w:val="bottom"/>
          </w:tcPr>
          <w:p>
            <w:pPr>
              <w:jc w:val="right"/>
              <w:ind w:right="465"/>
              <w:spacing w:after="0"/>
              <w:rPr>
                <w:sz w:val="20"/>
                <w:szCs w:val="20"/>
                <w:color w:val="auto"/>
              </w:rPr>
            </w:pPr>
            <w:r>
              <w:rPr>
                <w:rFonts w:ascii="Courier New" w:cs="Courier New" w:eastAsia="Courier New" w:hAnsi="Courier New"/>
                <w:sz w:val="15"/>
                <w:szCs w:val="15"/>
                <w:color w:val="auto"/>
                <w:w w:val="94"/>
              </w:rPr>
              <w:t>that</w:t>
            </w:r>
          </w:p>
        </w:tc>
        <w:tc>
          <w:tcPr>
            <w:tcW w:w="13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3"/>
        </w:trPr>
        <w:tc>
          <w:tcPr>
            <w:tcW w:w="5940" w:type="dxa"/>
            <w:vAlign w:val="bottom"/>
            <w:gridSpan w:val="12"/>
          </w:tcPr>
          <w:p>
            <w:pPr>
              <w:spacing w:after="0"/>
              <w:rPr>
                <w:sz w:val="20"/>
                <w:szCs w:val="20"/>
                <w:color w:val="auto"/>
              </w:rPr>
            </w:pPr>
            <w:r>
              <w:rPr>
                <w:rFonts w:ascii="Courier New" w:cs="Courier New" w:eastAsia="Courier New" w:hAnsi="Courier New"/>
                <w:sz w:val="15"/>
                <w:szCs w:val="15"/>
                <w:color w:val="auto"/>
              </w:rPr>
              <w:t>establishes new rules for reporting and display of comprehensive</w:t>
            </w:r>
          </w:p>
        </w:tc>
        <w:tc>
          <w:tcPr>
            <w:tcW w:w="1800" w:type="dxa"/>
            <w:vAlign w:val="bottom"/>
            <w:gridSpan w:val="3"/>
          </w:tcPr>
          <w:p>
            <w:pPr>
              <w:jc w:val="right"/>
              <w:ind w:right="465"/>
              <w:spacing w:after="0"/>
              <w:rPr>
                <w:sz w:val="20"/>
                <w:szCs w:val="20"/>
                <w:color w:val="auto"/>
              </w:rPr>
            </w:pPr>
            <w:r>
              <w:rPr>
                <w:rFonts w:ascii="Courier New" w:cs="Courier New" w:eastAsia="Courier New" w:hAnsi="Courier New"/>
                <w:sz w:val="15"/>
                <w:szCs w:val="15"/>
                <w:color w:val="auto"/>
                <w:w w:val="98"/>
              </w:rPr>
              <w:t>income and its</w:t>
            </w:r>
          </w:p>
        </w:tc>
        <w:tc>
          <w:tcPr>
            <w:tcW w:w="13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3"/>
        </w:trPr>
        <w:tc>
          <w:tcPr>
            <w:tcW w:w="1080" w:type="dxa"/>
            <w:vAlign w:val="bottom"/>
            <w:gridSpan w:val="2"/>
          </w:tcPr>
          <w:p>
            <w:pPr>
              <w:spacing w:after="0"/>
              <w:rPr>
                <w:sz w:val="20"/>
                <w:szCs w:val="20"/>
                <w:color w:val="auto"/>
              </w:rPr>
            </w:pPr>
            <w:r>
              <w:rPr>
                <w:rFonts w:ascii="Courier New" w:cs="Courier New" w:eastAsia="Courier New" w:hAnsi="Courier New"/>
                <w:sz w:val="15"/>
                <w:szCs w:val="15"/>
                <w:color w:val="auto"/>
              </w:rPr>
              <w:t>components.</w:t>
            </w:r>
          </w:p>
        </w:tc>
        <w:tc>
          <w:tcPr>
            <w:tcW w:w="5400" w:type="dxa"/>
            <w:vAlign w:val="bottom"/>
            <w:gridSpan w:val="11"/>
          </w:tcPr>
          <w:p>
            <w:pPr>
              <w:ind w:left="80"/>
              <w:spacing w:after="0"/>
              <w:rPr>
                <w:sz w:val="20"/>
                <w:szCs w:val="20"/>
                <w:color w:val="auto"/>
              </w:rPr>
            </w:pPr>
            <w:r>
              <w:rPr>
                <w:rFonts w:ascii="Courier New" w:cs="Courier New" w:eastAsia="Courier New" w:hAnsi="Courier New"/>
                <w:sz w:val="15"/>
                <w:szCs w:val="15"/>
                <w:color w:val="auto"/>
                <w:w w:val="99"/>
              </w:rPr>
              <w:t>Adoption of SFAS 130 requires unrealized gains or losses on</w:t>
            </w:r>
          </w:p>
        </w:tc>
        <w:tc>
          <w:tcPr>
            <w:tcW w:w="126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foreign</w:t>
            </w:r>
          </w:p>
        </w:tc>
        <w:tc>
          <w:tcPr>
            <w:tcW w:w="13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3"/>
        </w:trPr>
        <w:tc>
          <w:tcPr>
            <w:tcW w:w="900" w:type="dxa"/>
            <w:vAlign w:val="bottom"/>
          </w:tcPr>
          <w:p>
            <w:pPr>
              <w:spacing w:after="0"/>
              <w:rPr>
                <w:sz w:val="20"/>
                <w:szCs w:val="20"/>
                <w:color w:val="auto"/>
              </w:rPr>
            </w:pPr>
            <w:r>
              <w:rPr>
                <w:rFonts w:ascii="Courier New" w:cs="Courier New" w:eastAsia="Courier New" w:hAnsi="Courier New"/>
                <w:sz w:val="15"/>
                <w:szCs w:val="15"/>
                <w:color w:val="auto"/>
              </w:rPr>
              <w:t>currency</w:t>
            </w:r>
          </w:p>
        </w:tc>
        <w:tc>
          <w:tcPr>
            <w:tcW w:w="1040" w:type="dxa"/>
            <w:vAlign w:val="bottom"/>
            <w:gridSpan w:val="3"/>
          </w:tcPr>
          <w:p>
            <w:pPr>
              <w:spacing w:after="0"/>
              <w:rPr>
                <w:sz w:val="20"/>
                <w:szCs w:val="20"/>
                <w:color w:val="auto"/>
              </w:rPr>
            </w:pPr>
            <w:r>
              <w:rPr>
                <w:rFonts w:ascii="Courier New" w:cs="Courier New" w:eastAsia="Courier New" w:hAnsi="Courier New"/>
                <w:sz w:val="15"/>
                <w:szCs w:val="15"/>
                <w:color w:val="auto"/>
              </w:rPr>
              <w:t>translation</w:t>
            </w:r>
          </w:p>
        </w:tc>
        <w:tc>
          <w:tcPr>
            <w:tcW w:w="1260" w:type="dxa"/>
            <w:vAlign w:val="bottom"/>
            <w:gridSpan w:val="3"/>
          </w:tcPr>
          <w:p>
            <w:pPr>
              <w:jc w:val="right"/>
              <w:ind w:right="65"/>
              <w:spacing w:after="0"/>
              <w:rPr>
                <w:sz w:val="20"/>
                <w:szCs w:val="20"/>
                <w:color w:val="auto"/>
              </w:rPr>
            </w:pPr>
            <w:r>
              <w:rPr>
                <w:rFonts w:ascii="Courier New" w:cs="Courier New" w:eastAsia="Courier New" w:hAnsi="Courier New"/>
                <w:sz w:val="15"/>
                <w:szCs w:val="15"/>
                <w:color w:val="auto"/>
              </w:rPr>
              <w:t>adjustments</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be</w:t>
            </w:r>
          </w:p>
        </w:tc>
        <w:tc>
          <w:tcPr>
            <w:tcW w:w="1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included in other</w:t>
            </w:r>
          </w:p>
        </w:tc>
        <w:tc>
          <w:tcPr>
            <w:tcW w:w="1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comprehensive</w:t>
            </w:r>
          </w:p>
        </w:tc>
        <w:tc>
          <w:tcPr>
            <w:tcW w:w="126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income,</w:t>
            </w:r>
          </w:p>
        </w:tc>
        <w:tc>
          <w:tcPr>
            <w:tcW w:w="13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3"/>
        </w:trPr>
        <w:tc>
          <w:tcPr>
            <w:tcW w:w="1080" w:type="dxa"/>
            <w:vAlign w:val="bottom"/>
            <w:gridSpan w:val="2"/>
          </w:tcPr>
          <w:p>
            <w:pPr>
              <w:spacing w:after="0"/>
              <w:rPr>
                <w:sz w:val="20"/>
                <w:szCs w:val="20"/>
                <w:color w:val="auto"/>
              </w:rPr>
            </w:pPr>
            <w:r>
              <w:rPr>
                <w:rFonts w:ascii="Courier New" w:cs="Courier New" w:eastAsia="Courier New" w:hAnsi="Courier New"/>
                <w:sz w:val="15"/>
                <w:szCs w:val="15"/>
                <w:color w:val="auto"/>
              </w:rPr>
              <w:t>which prior</w:t>
            </w:r>
          </w:p>
        </w:tc>
        <w:tc>
          <w:tcPr>
            <w:tcW w:w="2340" w:type="dxa"/>
            <w:vAlign w:val="bottom"/>
            <w:gridSpan w:val="6"/>
          </w:tcPr>
          <w:p>
            <w:pPr>
              <w:jc w:val="center"/>
              <w:ind w:right="25"/>
              <w:spacing w:after="0"/>
              <w:rPr>
                <w:sz w:val="20"/>
                <w:szCs w:val="20"/>
                <w:color w:val="auto"/>
              </w:rPr>
            </w:pPr>
            <w:r>
              <w:rPr>
                <w:rFonts w:ascii="Courier New" w:cs="Courier New" w:eastAsia="Courier New" w:hAnsi="Courier New"/>
                <w:sz w:val="15"/>
                <w:szCs w:val="15"/>
                <w:color w:val="auto"/>
                <w:w w:val="99"/>
              </w:rPr>
              <w:t>to adoption were reported</w:t>
            </w:r>
          </w:p>
        </w:tc>
        <w:tc>
          <w:tcPr>
            <w:tcW w:w="25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separately in stockholders'</w:t>
            </w:r>
          </w:p>
        </w:tc>
        <w:tc>
          <w:tcPr>
            <w:tcW w:w="9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equity.</w:t>
            </w:r>
          </w:p>
        </w:tc>
        <w:tc>
          <w:tcPr>
            <w:tcW w:w="9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The</w:t>
            </w:r>
          </w:p>
        </w:tc>
        <w:tc>
          <w:tcPr>
            <w:tcW w:w="13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3"/>
        </w:trPr>
        <w:tc>
          <w:tcPr>
            <w:tcW w:w="900" w:type="dxa"/>
            <w:vAlign w:val="bottom"/>
          </w:tcPr>
          <w:p>
            <w:pPr>
              <w:spacing w:after="0"/>
              <w:rPr>
                <w:sz w:val="20"/>
                <w:szCs w:val="20"/>
                <w:color w:val="auto"/>
              </w:rPr>
            </w:pPr>
            <w:r>
              <w:rPr>
                <w:rFonts w:ascii="Courier New" w:cs="Courier New" w:eastAsia="Courier New" w:hAnsi="Courier New"/>
                <w:sz w:val="15"/>
                <w:szCs w:val="15"/>
                <w:color w:val="auto"/>
                <w:w w:val="97"/>
              </w:rPr>
              <w:t>components</w:t>
            </w:r>
          </w:p>
        </w:tc>
        <w:tc>
          <w:tcPr>
            <w:tcW w:w="180" w:type="dxa"/>
            <w:vAlign w:val="bottom"/>
          </w:tcPr>
          <w:p>
            <w:pPr>
              <w:spacing w:after="0"/>
              <w:rPr>
                <w:sz w:val="15"/>
                <w:szCs w:val="15"/>
                <w:color w:val="auto"/>
              </w:rPr>
            </w:pP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of</w:t>
            </w:r>
          </w:p>
        </w:tc>
        <w:tc>
          <w:tcPr>
            <w:tcW w:w="1260" w:type="dxa"/>
            <w:vAlign w:val="bottom"/>
            <w:gridSpan w:val="3"/>
          </w:tcPr>
          <w:p>
            <w:pPr>
              <w:ind w:left="100"/>
              <w:spacing w:after="0"/>
              <w:rPr>
                <w:sz w:val="20"/>
                <w:szCs w:val="20"/>
                <w:color w:val="auto"/>
              </w:rPr>
            </w:pPr>
            <w:r>
              <w:rPr>
                <w:rFonts w:ascii="Courier New" w:cs="Courier New" w:eastAsia="Courier New" w:hAnsi="Courier New"/>
                <w:sz w:val="15"/>
                <w:szCs w:val="15"/>
                <w:color w:val="auto"/>
                <w:w w:val="97"/>
              </w:rPr>
              <w:t>comprehensive</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income,</w:t>
            </w:r>
          </w:p>
        </w:tc>
        <w:tc>
          <w:tcPr>
            <w:tcW w:w="16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net of related</w:t>
            </w:r>
          </w:p>
        </w:tc>
        <w:tc>
          <w:tcPr>
            <w:tcW w:w="400" w:type="dxa"/>
            <w:vAlign w:val="bottom"/>
          </w:tcPr>
          <w:p>
            <w:pPr>
              <w:spacing w:after="0"/>
              <w:rPr>
                <w:sz w:val="20"/>
                <w:szCs w:val="20"/>
                <w:color w:val="auto"/>
              </w:rPr>
            </w:pPr>
            <w:r>
              <w:rPr>
                <w:rFonts w:ascii="Courier New" w:cs="Courier New" w:eastAsia="Courier New" w:hAnsi="Courier New"/>
                <w:sz w:val="15"/>
                <w:szCs w:val="15"/>
                <w:color w:val="auto"/>
              </w:rPr>
              <w:t>tax,</w:t>
            </w:r>
          </w:p>
        </w:tc>
        <w:tc>
          <w:tcPr>
            <w:tcW w:w="2300" w:type="dxa"/>
            <w:vAlign w:val="bottom"/>
            <w:gridSpan w:val="4"/>
          </w:tcPr>
          <w:p>
            <w:pPr>
              <w:jc w:val="right"/>
              <w:ind w:right="465"/>
              <w:spacing w:after="0"/>
              <w:rPr>
                <w:sz w:val="20"/>
                <w:szCs w:val="20"/>
                <w:color w:val="auto"/>
              </w:rPr>
            </w:pPr>
            <w:r>
              <w:rPr>
                <w:rFonts w:ascii="Courier New" w:cs="Courier New" w:eastAsia="Courier New" w:hAnsi="Courier New"/>
                <w:sz w:val="15"/>
                <w:szCs w:val="15"/>
                <w:color w:val="auto"/>
              </w:rPr>
              <w:t>are as follows (in</w:t>
            </w:r>
          </w:p>
        </w:tc>
        <w:tc>
          <w:tcPr>
            <w:tcW w:w="13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3"/>
        </w:trPr>
        <w:tc>
          <w:tcPr>
            <w:tcW w:w="1080" w:type="dxa"/>
            <w:vAlign w:val="bottom"/>
            <w:gridSpan w:val="2"/>
          </w:tcPr>
          <w:p>
            <w:pPr>
              <w:spacing w:after="0"/>
              <w:rPr>
                <w:sz w:val="20"/>
                <w:szCs w:val="20"/>
                <w:color w:val="auto"/>
              </w:rPr>
            </w:pPr>
            <w:r>
              <w:rPr>
                <w:rFonts w:ascii="Courier New" w:cs="Courier New" w:eastAsia="Courier New" w:hAnsi="Courier New"/>
                <w:sz w:val="15"/>
                <w:szCs w:val="15"/>
                <w:color w:val="auto"/>
              </w:rPr>
              <w:t>thousands):</w:t>
            </w: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694"/>
        </w:trPr>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40" w:type="dxa"/>
            <w:vAlign w:val="bottom"/>
            <w:gridSpan w:val="3"/>
          </w:tcPr>
          <w:p>
            <w:pPr>
              <w:ind w:left="720"/>
              <w:spacing w:after="0"/>
              <w:rPr>
                <w:sz w:val="20"/>
                <w:szCs w:val="20"/>
                <w:color w:val="auto"/>
              </w:rPr>
            </w:pPr>
            <w:r>
              <w:rPr>
                <w:rFonts w:ascii="Courier New" w:cs="Courier New" w:eastAsia="Courier New" w:hAnsi="Courier New"/>
                <w:sz w:val="15"/>
                <w:szCs w:val="15"/>
                <w:color w:val="auto"/>
              </w:rPr>
              <w:t>Three months ended March 31,</w:t>
            </w:r>
          </w:p>
        </w:tc>
      </w:tr>
      <w:tr>
        <w:trPr>
          <w:trHeight w:val="173"/>
        </w:trPr>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6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1998</w:t>
            </w:r>
          </w:p>
        </w:tc>
        <w:tc>
          <w:tcPr>
            <w:tcW w:w="11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1997</w:t>
            </w:r>
          </w:p>
        </w:tc>
      </w:tr>
      <w:tr>
        <w:trPr>
          <w:trHeight w:val="173"/>
        </w:trPr>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60" w:type="dxa"/>
            <w:vAlign w:val="bottom"/>
            <w:gridSpan w:val="2"/>
          </w:tcPr>
          <w:p>
            <w:pPr>
              <w:ind w:left="720"/>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20"/>
                <w:szCs w:val="20"/>
                <w:color w:val="auto"/>
              </w:rPr>
            </w:pPr>
            <w:r>
              <w:rPr>
                <w:rFonts w:ascii="Courier New" w:cs="Courier New" w:eastAsia="Courier New" w:hAnsi="Courier New"/>
                <w:sz w:val="15"/>
                <w:szCs w:val="15"/>
                <w:color w:val="auto"/>
                <w:w w:val="99"/>
              </w:rPr>
              <w:t>-------------</w:t>
            </w:r>
          </w:p>
        </w:tc>
      </w:tr>
      <w:tr>
        <w:trPr>
          <w:trHeight w:val="347"/>
        </w:trPr>
        <w:tc>
          <w:tcPr>
            <w:tcW w:w="5040" w:type="dxa"/>
            <w:vAlign w:val="bottom"/>
            <w:gridSpan w:val="10"/>
          </w:tcPr>
          <w:p>
            <w:pPr>
              <w:spacing w:after="0"/>
              <w:rPr>
                <w:sz w:val="20"/>
                <w:szCs w:val="20"/>
                <w:color w:val="auto"/>
              </w:rPr>
            </w:pPr>
            <w:r>
              <w:rPr>
                <w:rFonts w:ascii="Courier New" w:cs="Courier New" w:eastAsia="Courier New" w:hAnsi="Courier New"/>
                <w:sz w:val="15"/>
                <w:szCs w:val="15"/>
                <w:color w:val="auto"/>
              </w:rPr>
              <w:t>Income (loss) attributable to common shareholders</w:t>
            </w: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$153</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$(3,259)</w:t>
            </w:r>
          </w:p>
        </w:tc>
      </w:tr>
      <w:tr>
        <w:trPr>
          <w:trHeight w:val="173"/>
        </w:trPr>
        <w:tc>
          <w:tcPr>
            <w:tcW w:w="4280" w:type="dxa"/>
            <w:vAlign w:val="bottom"/>
            <w:gridSpan w:val="9"/>
          </w:tcPr>
          <w:p>
            <w:pPr>
              <w:spacing w:after="0"/>
              <w:rPr>
                <w:sz w:val="20"/>
                <w:szCs w:val="20"/>
                <w:color w:val="auto"/>
              </w:rPr>
            </w:pPr>
            <w:r>
              <w:rPr>
                <w:rFonts w:ascii="Courier New" w:cs="Courier New" w:eastAsia="Courier New" w:hAnsi="Courier New"/>
                <w:sz w:val="15"/>
                <w:szCs w:val="15"/>
                <w:color w:val="auto"/>
              </w:rPr>
              <w:t>Foreign Currency translation adjustment</w:t>
            </w: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(87)</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c>
          <w:tcPr>
            <w:tcW w:w="1180" w:type="dxa"/>
            <w:vAlign w:val="bottom"/>
          </w:tcPr>
          <w:p>
            <w:pPr>
              <w:spacing w:after="0"/>
              <w:rPr>
                <w:sz w:val="15"/>
                <w:szCs w:val="15"/>
                <w:color w:val="auto"/>
              </w:rPr>
            </w:pPr>
          </w:p>
        </w:tc>
      </w:tr>
      <w:tr>
        <w:trPr>
          <w:trHeight w:val="173"/>
        </w:trPr>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60" w:type="dxa"/>
            <w:vAlign w:val="bottom"/>
            <w:gridSpan w:val="2"/>
          </w:tcPr>
          <w:p>
            <w:pPr>
              <w:ind w:left="720"/>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20"/>
                <w:szCs w:val="20"/>
                <w:color w:val="auto"/>
              </w:rPr>
            </w:pPr>
            <w:r>
              <w:rPr>
                <w:rFonts w:ascii="Courier New" w:cs="Courier New" w:eastAsia="Courier New" w:hAnsi="Courier New"/>
                <w:sz w:val="15"/>
                <w:szCs w:val="15"/>
                <w:color w:val="auto"/>
                <w:w w:val="99"/>
              </w:rPr>
              <w:t>-------------</w:t>
            </w:r>
          </w:p>
        </w:tc>
      </w:tr>
      <w:tr>
        <w:trPr>
          <w:trHeight w:val="347"/>
        </w:trPr>
        <w:tc>
          <w:tcPr>
            <w:tcW w:w="1940" w:type="dxa"/>
            <w:vAlign w:val="bottom"/>
            <w:gridSpan w:val="4"/>
          </w:tcPr>
          <w:p>
            <w:pPr>
              <w:spacing w:after="0"/>
              <w:rPr>
                <w:sz w:val="20"/>
                <w:szCs w:val="20"/>
                <w:color w:val="auto"/>
              </w:rPr>
            </w:pPr>
            <w:r>
              <w:rPr>
                <w:rFonts w:ascii="Courier New" w:cs="Courier New" w:eastAsia="Courier New" w:hAnsi="Courier New"/>
                <w:sz w:val="15"/>
                <w:szCs w:val="15"/>
                <w:color w:val="auto"/>
              </w:rPr>
              <w:t>Comprehensive income</w:t>
            </w: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$66</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$(3,269)</w:t>
            </w:r>
          </w:p>
        </w:tc>
      </w:tr>
      <w:tr>
        <w:trPr>
          <w:trHeight w:val="173"/>
        </w:trPr>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60" w:type="dxa"/>
            <w:vAlign w:val="bottom"/>
            <w:gridSpan w:val="2"/>
          </w:tcPr>
          <w:p>
            <w:pPr>
              <w:ind w:left="720"/>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20"/>
                <w:szCs w:val="20"/>
                <w:color w:val="auto"/>
              </w:rPr>
            </w:pPr>
            <w:r>
              <w:rPr>
                <w:rFonts w:ascii="Courier New" w:cs="Courier New" w:eastAsia="Courier New" w:hAnsi="Courier New"/>
                <w:sz w:val="15"/>
                <w:szCs w:val="15"/>
                <w:color w:val="auto"/>
                <w:w w:val="99"/>
              </w:rPr>
              <w:t>=============</w:t>
            </w:r>
          </w:p>
        </w:tc>
      </w:tr>
      <w:tr>
        <w:trPr>
          <w:trHeight w:val="520"/>
        </w:trPr>
        <w:tc>
          <w:tcPr>
            <w:tcW w:w="1940" w:type="dxa"/>
            <w:vAlign w:val="bottom"/>
            <w:gridSpan w:val="4"/>
          </w:tcPr>
          <w:p>
            <w:pPr>
              <w:spacing w:after="0"/>
              <w:rPr>
                <w:sz w:val="20"/>
                <w:szCs w:val="20"/>
                <w:color w:val="auto"/>
              </w:rPr>
            </w:pPr>
            <w:r>
              <w:rPr>
                <w:rFonts w:ascii="Courier New" w:cs="Courier New" w:eastAsia="Courier New" w:hAnsi="Courier New"/>
                <w:sz w:val="15"/>
                <w:szCs w:val="15"/>
                <w:color w:val="auto"/>
              </w:rPr>
              <w:t>Segment Reporting</w:t>
            </w: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3"/>
        </w:trPr>
        <w:tc>
          <w:tcPr>
            <w:tcW w:w="1080" w:type="dxa"/>
            <w:vAlign w:val="bottom"/>
            <w:gridSpan w:val="2"/>
          </w:tcPr>
          <w:p>
            <w:pPr>
              <w:spacing w:after="0"/>
              <w:rPr>
                <w:sz w:val="20"/>
                <w:szCs w:val="20"/>
                <w:color w:val="auto"/>
              </w:rPr>
            </w:pPr>
            <w:r>
              <w:rPr>
                <w:rFonts w:ascii="Courier New" w:cs="Courier New" w:eastAsia="Courier New" w:hAnsi="Courier New"/>
                <w:sz w:val="15"/>
                <w:szCs w:val="15"/>
                <w:color w:val="auto"/>
              </w:rPr>
              <w:t>The Company</w:t>
            </w:r>
          </w:p>
        </w:tc>
        <w:tc>
          <w:tcPr>
            <w:tcW w:w="112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will adopt</w:t>
            </w:r>
          </w:p>
        </w:tc>
        <w:tc>
          <w:tcPr>
            <w:tcW w:w="20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Statement of Financial</w:t>
            </w:r>
          </w:p>
        </w:tc>
        <w:tc>
          <w:tcPr>
            <w:tcW w:w="11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Accounting</w:t>
            </w:r>
          </w:p>
        </w:tc>
        <w:tc>
          <w:tcPr>
            <w:tcW w:w="10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Standards</w:t>
            </w:r>
          </w:p>
        </w:tc>
        <w:tc>
          <w:tcPr>
            <w:tcW w:w="126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w w:val="97"/>
              </w:rPr>
              <w:t>No. 131,</w:t>
            </w:r>
          </w:p>
        </w:tc>
        <w:tc>
          <w:tcPr>
            <w:tcW w:w="13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3"/>
        </w:trPr>
        <w:tc>
          <w:tcPr>
            <w:tcW w:w="1080" w:type="dxa"/>
            <w:vAlign w:val="bottom"/>
            <w:gridSpan w:val="2"/>
          </w:tcPr>
          <w:p>
            <w:pPr>
              <w:spacing w:after="0"/>
              <w:rPr>
                <w:sz w:val="20"/>
                <w:szCs w:val="20"/>
                <w:color w:val="auto"/>
              </w:rPr>
            </w:pPr>
            <w:r>
              <w:rPr>
                <w:rFonts w:ascii="Courier New" w:cs="Courier New" w:eastAsia="Courier New" w:hAnsi="Courier New"/>
                <w:sz w:val="15"/>
                <w:szCs w:val="15"/>
                <w:color w:val="auto"/>
                <w:w w:val="98"/>
              </w:rPr>
              <w:t>(SFAS  131),</w:t>
            </w:r>
          </w:p>
        </w:tc>
        <w:tc>
          <w:tcPr>
            <w:tcW w:w="260" w:type="dxa"/>
            <w:vAlign w:val="bottom"/>
          </w:tcPr>
          <w:p>
            <w:pPr>
              <w:spacing w:after="0"/>
              <w:rPr>
                <w:sz w:val="15"/>
                <w:szCs w:val="15"/>
                <w:color w:val="auto"/>
              </w:rPr>
            </w:pPr>
          </w:p>
        </w:tc>
        <w:tc>
          <w:tcPr>
            <w:tcW w:w="1260" w:type="dxa"/>
            <w:vAlign w:val="bottom"/>
            <w:gridSpan w:val="3"/>
          </w:tcPr>
          <w:p>
            <w:pPr>
              <w:spacing w:after="0"/>
              <w:rPr>
                <w:sz w:val="20"/>
                <w:szCs w:val="20"/>
                <w:color w:val="auto"/>
              </w:rPr>
            </w:pPr>
            <w:r>
              <w:rPr>
                <w:rFonts w:ascii="Courier New" w:cs="Courier New" w:eastAsia="Courier New" w:hAnsi="Courier New"/>
                <w:sz w:val="15"/>
                <w:szCs w:val="15"/>
                <w:color w:val="auto"/>
              </w:rPr>
              <w:t>"Disclosures</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About</w:t>
            </w:r>
          </w:p>
        </w:tc>
        <w:tc>
          <w:tcPr>
            <w:tcW w:w="2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7"/>
              </w:rPr>
              <w:t>Segments</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of  an</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Enterprise</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and</w:t>
            </w:r>
          </w:p>
        </w:tc>
        <w:tc>
          <w:tcPr>
            <w:tcW w:w="126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Related</w:t>
            </w:r>
          </w:p>
        </w:tc>
        <w:tc>
          <w:tcPr>
            <w:tcW w:w="13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3"/>
        </w:trPr>
        <w:tc>
          <w:tcPr>
            <w:tcW w:w="1340" w:type="dxa"/>
            <w:vAlign w:val="bottom"/>
            <w:gridSpan w:val="3"/>
          </w:tcPr>
          <w:p>
            <w:pPr>
              <w:spacing w:after="0"/>
              <w:rPr>
                <w:sz w:val="20"/>
                <w:szCs w:val="20"/>
                <w:color w:val="auto"/>
              </w:rPr>
            </w:pPr>
            <w:r>
              <w:rPr>
                <w:rFonts w:ascii="Courier New" w:cs="Courier New" w:eastAsia="Courier New" w:hAnsi="Courier New"/>
                <w:sz w:val="15"/>
                <w:szCs w:val="15"/>
                <w:color w:val="auto"/>
              </w:rPr>
              <w:t>Information,"</w:t>
            </w:r>
          </w:p>
        </w:tc>
        <w:tc>
          <w:tcPr>
            <w:tcW w:w="860" w:type="dxa"/>
            <w:vAlign w:val="bottom"/>
            <w:gridSpan w:val="2"/>
          </w:tcPr>
          <w:p>
            <w:pPr>
              <w:spacing w:after="0"/>
              <w:rPr>
                <w:sz w:val="20"/>
                <w:szCs w:val="20"/>
                <w:color w:val="auto"/>
              </w:rPr>
            </w:pPr>
            <w:r>
              <w:rPr>
                <w:rFonts w:ascii="Courier New" w:cs="Courier New" w:eastAsia="Courier New" w:hAnsi="Courier New"/>
                <w:sz w:val="15"/>
                <w:szCs w:val="15"/>
                <w:color w:val="auto"/>
              </w:rPr>
              <w:t>effective</w:t>
            </w:r>
          </w:p>
        </w:tc>
        <w:tc>
          <w:tcPr>
            <w:tcW w:w="5540" w:type="dxa"/>
            <w:vAlign w:val="bottom"/>
            <w:gridSpan w:val="10"/>
          </w:tcPr>
          <w:p>
            <w:pPr>
              <w:jc w:val="right"/>
              <w:ind w:right="465"/>
              <w:spacing w:after="0"/>
              <w:rPr>
                <w:sz w:val="20"/>
                <w:szCs w:val="20"/>
                <w:color w:val="auto"/>
              </w:rPr>
            </w:pPr>
            <w:r>
              <w:rPr>
                <w:rFonts w:ascii="Courier New" w:cs="Courier New" w:eastAsia="Courier New" w:hAnsi="Courier New"/>
                <w:sz w:val="15"/>
                <w:szCs w:val="15"/>
                <w:color w:val="auto"/>
              </w:rPr>
              <w:t>December 31, 1998.  SFAS 131 relates to the nature and</w:t>
            </w:r>
          </w:p>
        </w:tc>
        <w:tc>
          <w:tcPr>
            <w:tcW w:w="13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3"/>
        </w:trPr>
        <w:tc>
          <w:tcPr>
            <w:tcW w:w="900" w:type="dxa"/>
            <w:vAlign w:val="bottom"/>
          </w:tcPr>
          <w:p>
            <w:pPr>
              <w:spacing w:after="0"/>
              <w:rPr>
                <w:sz w:val="20"/>
                <w:szCs w:val="20"/>
                <w:color w:val="auto"/>
              </w:rPr>
            </w:pPr>
            <w:r>
              <w:rPr>
                <w:rFonts w:ascii="Courier New" w:cs="Courier New" w:eastAsia="Courier New" w:hAnsi="Courier New"/>
                <w:sz w:val="15"/>
                <w:szCs w:val="15"/>
                <w:color w:val="auto"/>
                <w:w w:val="97"/>
              </w:rPr>
              <w:t>disclosure</w:t>
            </w:r>
          </w:p>
        </w:tc>
        <w:tc>
          <w:tcPr>
            <w:tcW w:w="180" w:type="dxa"/>
            <w:vAlign w:val="bottom"/>
          </w:tcPr>
          <w:p>
            <w:pPr>
              <w:spacing w:after="0"/>
              <w:rPr>
                <w:sz w:val="15"/>
                <w:szCs w:val="15"/>
                <w:color w:val="auto"/>
              </w:rPr>
            </w:pPr>
          </w:p>
        </w:tc>
        <w:tc>
          <w:tcPr>
            <w:tcW w:w="6660" w:type="dxa"/>
            <w:vAlign w:val="bottom"/>
            <w:gridSpan w:val="13"/>
          </w:tcPr>
          <w:p>
            <w:pPr>
              <w:jc w:val="right"/>
              <w:ind w:right="465"/>
              <w:spacing w:after="0"/>
              <w:rPr>
                <w:sz w:val="20"/>
                <w:szCs w:val="20"/>
                <w:color w:val="auto"/>
              </w:rPr>
            </w:pPr>
            <w:r>
              <w:rPr>
                <w:rFonts w:ascii="Courier New" w:cs="Courier New" w:eastAsia="Courier New" w:hAnsi="Courier New"/>
                <w:sz w:val="15"/>
                <w:szCs w:val="15"/>
                <w:color w:val="auto"/>
                <w:w w:val="99"/>
              </w:rPr>
              <w:t>of  business  segment  results  and  financial  position  and is not</w:t>
            </w:r>
          </w:p>
        </w:tc>
        <w:tc>
          <w:tcPr>
            <w:tcW w:w="13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3"/>
        </w:trPr>
        <w:tc>
          <w:tcPr>
            <w:tcW w:w="6840" w:type="dxa"/>
            <w:vAlign w:val="bottom"/>
            <w:gridSpan w:val="14"/>
          </w:tcPr>
          <w:p>
            <w:pPr>
              <w:spacing w:after="0"/>
              <w:rPr>
                <w:sz w:val="20"/>
                <w:szCs w:val="20"/>
                <w:color w:val="auto"/>
              </w:rPr>
            </w:pPr>
            <w:r>
              <w:rPr>
                <w:rFonts w:ascii="Courier New" w:cs="Courier New" w:eastAsia="Courier New" w:hAnsi="Courier New"/>
                <w:sz w:val="15"/>
                <w:szCs w:val="15"/>
                <w:color w:val="auto"/>
                <w:w w:val="99"/>
              </w:rPr>
              <w:t>expected to have a significant impact on the Company's financial statements.</w:t>
            </w:r>
          </w:p>
        </w:tc>
        <w:tc>
          <w:tcPr>
            <w:tcW w:w="9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180" w:type="dxa"/>
            <w:vAlign w:val="bottom"/>
          </w:tcPr>
          <w:p>
            <w:pPr>
              <w:spacing w:after="0"/>
              <w:rPr>
                <w:sz w:val="15"/>
                <w:szCs w:val="15"/>
                <w:color w:val="auto"/>
              </w:rPr>
            </w:pPr>
          </w:p>
        </w:tc>
      </w:tr>
    </w:tbl>
    <w:p>
      <w:pPr>
        <w:sectPr>
          <w:pgSz w:w="11900" w:h="16838" w:orient="portrait"/>
          <w:cols w:equalWidth="0" w:num="1">
            <w:col w:w="10280"/>
          </w:cols>
          <w:pgMar w:left="240" w:top="811" w:right="1379" w:bottom="728" w:gutter="0" w:footer="0" w:header="0"/>
        </w:sectPr>
      </w:pPr>
    </w:p>
    <w:bookmarkStart w:id="4" w:name="page5"/>
    <w:bookmarkEnd w:id="4"/>
    <w:p>
      <w:pPr>
        <w:spacing w:after="0"/>
        <w:tabs>
          <w:tab w:leader="none" w:pos="780" w:val="left"/>
        </w:tabs>
        <w:rPr>
          <w:sz w:val="20"/>
          <w:szCs w:val="20"/>
          <w:color w:val="auto"/>
        </w:rPr>
      </w:pPr>
      <w:r>
        <w:rPr>
          <w:rFonts w:ascii="Courier New" w:cs="Courier New" w:eastAsia="Courier New" w:hAnsi="Courier New"/>
          <w:sz w:val="15"/>
          <w:szCs w:val="15"/>
          <w:color w:val="auto"/>
        </w:rPr>
        <w:t>Note 4:</w:t>
        <w:tab/>
        <w:t>Contingencies</w:t>
      </w:r>
    </w:p>
    <w:p>
      <w:pPr>
        <w:spacing w:after="0" w:line="178" w:lineRule="exact"/>
        <w:rPr>
          <w:sz w:val="20"/>
          <w:szCs w:val="20"/>
          <w:color w:val="auto"/>
        </w:rPr>
      </w:pPr>
    </w:p>
    <w:p>
      <w:pPr>
        <w:jc w:val="both"/>
        <w:ind w:right="3019"/>
        <w:spacing w:after="0" w:line="244" w:lineRule="auto"/>
        <w:rPr>
          <w:sz w:val="20"/>
          <w:szCs w:val="20"/>
          <w:color w:val="auto"/>
        </w:rPr>
      </w:pPr>
      <w:r>
        <w:rPr>
          <w:rFonts w:ascii="Courier New" w:cs="Courier New" w:eastAsia="Courier New" w:hAnsi="Courier New"/>
          <w:sz w:val="15"/>
          <w:szCs w:val="15"/>
          <w:color w:val="auto"/>
        </w:rPr>
        <w:t>The Company, together with certain directors and officers, is a defendant in two shareholder-initiated proposed class actions (one in Federal court and one in Washington State court), alleging securities and other statutory and common law violations arising out of alleged misleading disclosures or omissions made by the Company regarding its business and technology. The Company is also a defendant in a patent infringement lawsuit filed by CellNet Data Systems. The Company believes these actions are without merit and intends to vigorously defend against them. At this time, it is not possible to predict the ultimate outcome of these proceedings.</w:t>
      </w:r>
    </w:p>
    <w:p>
      <w:pPr>
        <w:sectPr>
          <w:pgSz w:w="11900" w:h="16838" w:orient="portrait"/>
          <w:cols w:equalWidth="0" w:num="1">
            <w:col w:w="10219"/>
          </w:cols>
          <w:pgMar w:left="240" w:top="811" w:right="1440" w:bottom="1440" w:gutter="0" w:footer="0" w:header="0"/>
        </w:sectPr>
      </w:pPr>
    </w:p>
    <w:bookmarkStart w:id="5" w:name="page6"/>
    <w:bookmarkEnd w:id="5"/>
    <w:p>
      <w:pPr>
        <w:ind w:right="3880"/>
        <w:spacing w:after="0" w:line="243" w:lineRule="auto"/>
        <w:rPr>
          <w:sz w:val="20"/>
          <w:szCs w:val="20"/>
          <w:color w:val="auto"/>
        </w:rPr>
      </w:pPr>
      <w:r>
        <w:rPr>
          <w:rFonts w:ascii="Courier New" w:cs="Courier New" w:eastAsia="Courier New" w:hAnsi="Courier New"/>
          <w:sz w:val="15"/>
          <w:szCs w:val="15"/>
          <w:color w:val="auto"/>
        </w:rPr>
        <w:t>Item 2: MANAGEMENT'S DISCUSSION AND ANALYSIS OF FINANCIAL CONDITION AND RESULTS OF OPERATIONS</w:t>
      </w:r>
    </w:p>
    <w:p>
      <w:pPr>
        <w:spacing w:after="0" w:line="3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8" w:lineRule="exact"/>
        <w:rPr>
          <w:sz w:val="20"/>
          <w:szCs w:val="20"/>
          <w:color w:val="auto"/>
        </w:rPr>
      </w:pPr>
    </w:p>
    <w:p>
      <w:pPr>
        <w:jc w:val="both"/>
        <w:ind w:right="3260"/>
        <w:spacing w:after="0" w:line="244" w:lineRule="auto"/>
        <w:rPr>
          <w:sz w:val="20"/>
          <w:szCs w:val="20"/>
          <w:color w:val="auto"/>
        </w:rPr>
      </w:pPr>
      <w:r>
        <w:rPr>
          <w:rFonts w:ascii="Courier New" w:cs="Courier New" w:eastAsia="Courier New" w:hAnsi="Courier New"/>
          <w:sz w:val="15"/>
          <w:szCs w:val="15"/>
          <w:color w:val="auto"/>
        </w:rPr>
        <w:t>The following table summarizes the major components of operating income for the three months ended March 31, 1998 and 1997, and changes between those two periods:</w:t>
      </w: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940" w:type="dxa"/>
            <w:vAlign w:val="bottom"/>
          </w:tcPr>
          <w:p>
            <w:pPr>
              <w:spacing w:after="0"/>
              <w:rPr>
                <w:sz w:val="14"/>
                <w:szCs w:val="14"/>
                <w:color w:val="auto"/>
              </w:rPr>
            </w:pPr>
          </w:p>
        </w:tc>
        <w:tc>
          <w:tcPr>
            <w:tcW w:w="316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Percentage of Total Revenue</w:t>
            </w:r>
          </w:p>
        </w:tc>
        <w:tc>
          <w:tcPr>
            <w:tcW w:w="1360" w:type="dxa"/>
            <w:vAlign w:val="bottom"/>
          </w:tcPr>
          <w:p>
            <w:pPr>
              <w:spacing w:after="0"/>
              <w:rPr>
                <w:sz w:val="14"/>
                <w:szCs w:val="14"/>
                <w:color w:val="auto"/>
              </w:rPr>
            </w:pPr>
          </w:p>
        </w:tc>
      </w:tr>
      <w:tr>
        <w:trPr>
          <w:trHeight w:val="173"/>
        </w:trPr>
        <w:tc>
          <w:tcPr>
            <w:tcW w:w="5940" w:type="dxa"/>
            <w:vAlign w:val="bottom"/>
          </w:tcPr>
          <w:p>
            <w:pPr>
              <w:spacing w:after="0"/>
              <w:rPr>
                <w:sz w:val="15"/>
                <w:szCs w:val="15"/>
                <w:color w:val="auto"/>
              </w:rPr>
            </w:pPr>
          </w:p>
        </w:tc>
        <w:tc>
          <w:tcPr>
            <w:tcW w:w="316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spacing w:after="0"/>
              <w:rPr>
                <w:sz w:val="15"/>
                <w:szCs w:val="15"/>
                <w:color w:val="auto"/>
              </w:rPr>
            </w:pPr>
          </w:p>
        </w:tc>
      </w:tr>
      <w:tr>
        <w:trPr>
          <w:trHeight w:val="173"/>
        </w:trPr>
        <w:tc>
          <w:tcPr>
            <w:tcW w:w="5940" w:type="dxa"/>
            <w:vAlign w:val="bottom"/>
          </w:tcPr>
          <w:p>
            <w:pPr>
              <w:spacing w:after="0"/>
              <w:rPr>
                <w:sz w:val="20"/>
                <w:szCs w:val="20"/>
                <w:color w:val="auto"/>
              </w:rPr>
            </w:pPr>
            <w:r>
              <w:rPr>
                <w:rFonts w:ascii="Courier New" w:cs="Courier New" w:eastAsia="Courier New" w:hAnsi="Courier New"/>
                <w:sz w:val="15"/>
                <w:szCs w:val="15"/>
                <w:color w:val="auto"/>
              </w:rPr>
              <w:t>Three months ended March 31,</w:t>
            </w:r>
          </w:p>
        </w:tc>
        <w:tc>
          <w:tcPr>
            <w:tcW w:w="154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1998</w:t>
            </w:r>
          </w:p>
        </w:tc>
        <w:tc>
          <w:tcPr>
            <w:tcW w:w="162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1997</w:t>
            </w:r>
          </w:p>
        </w:tc>
        <w:tc>
          <w:tcPr>
            <w:tcW w:w="13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 Change</w:t>
            </w:r>
          </w:p>
        </w:tc>
      </w:tr>
      <w:tr>
        <w:trPr>
          <w:trHeight w:val="173"/>
        </w:trPr>
        <w:tc>
          <w:tcPr>
            <w:tcW w:w="7480" w:type="dxa"/>
            <w:vAlign w:val="bottom"/>
            <w:gridSpan w:val="2"/>
          </w:tcPr>
          <w:p>
            <w:pPr>
              <w:spacing w:after="0"/>
              <w:rPr>
                <w:sz w:val="20"/>
                <w:szCs w:val="20"/>
                <w:color w:val="auto"/>
              </w:rPr>
            </w:pPr>
            <w:r>
              <w:rPr>
                <w:rFonts w:ascii="Courier New" w:cs="Courier New" w:eastAsia="Courier New" w:hAnsi="Courier New"/>
                <w:sz w:val="15"/>
                <w:szCs w:val="15"/>
                <w:color w:val="auto"/>
                <w:w w:val="98"/>
              </w:rPr>
              <w:t>- ------------------------------------------------------------------ ---------------</w:t>
            </w:r>
          </w:p>
        </w:tc>
        <w:tc>
          <w:tcPr>
            <w:tcW w:w="16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594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5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73"/>
        </w:trPr>
        <w:tc>
          <w:tcPr>
            <w:tcW w:w="5940" w:type="dxa"/>
            <w:vAlign w:val="bottom"/>
          </w:tcPr>
          <w:p>
            <w:pPr>
              <w:ind w:left="360"/>
              <w:spacing w:after="0"/>
              <w:rPr>
                <w:sz w:val="20"/>
                <w:szCs w:val="20"/>
                <w:color w:val="auto"/>
              </w:rPr>
            </w:pPr>
            <w:r>
              <w:rPr>
                <w:rFonts w:ascii="Courier New" w:cs="Courier New" w:eastAsia="Courier New" w:hAnsi="Courier New"/>
                <w:sz w:val="15"/>
                <w:szCs w:val="15"/>
                <w:color w:val="auto"/>
              </w:rPr>
              <w:t>AMR systems</w:t>
            </w:r>
          </w:p>
        </w:tc>
        <w:tc>
          <w:tcPr>
            <w:tcW w:w="15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79%</w:t>
            </w:r>
          </w:p>
        </w:tc>
        <w:tc>
          <w:tcPr>
            <w:tcW w:w="16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62%</w:t>
            </w:r>
          </w:p>
        </w:tc>
        <w:tc>
          <w:tcPr>
            <w:tcW w:w="1360" w:type="dxa"/>
            <w:vAlign w:val="bottom"/>
          </w:tcPr>
          <w:p>
            <w:pPr>
              <w:jc w:val="right"/>
              <w:ind w:right="485"/>
              <w:spacing w:after="0"/>
              <w:rPr>
                <w:sz w:val="20"/>
                <w:szCs w:val="20"/>
                <w:color w:val="auto"/>
              </w:rPr>
            </w:pPr>
            <w:r>
              <w:rPr>
                <w:rFonts w:ascii="Courier New" w:cs="Courier New" w:eastAsia="Courier New" w:hAnsi="Courier New"/>
                <w:sz w:val="15"/>
                <w:szCs w:val="15"/>
                <w:color w:val="auto"/>
              </w:rPr>
              <w:t>99%</w:t>
            </w:r>
          </w:p>
        </w:tc>
      </w:tr>
      <w:tr>
        <w:trPr>
          <w:trHeight w:val="173"/>
        </w:trPr>
        <w:tc>
          <w:tcPr>
            <w:tcW w:w="5940" w:type="dxa"/>
            <w:vAlign w:val="bottom"/>
          </w:tcPr>
          <w:p>
            <w:pPr>
              <w:ind w:left="360"/>
              <w:spacing w:after="0"/>
              <w:rPr>
                <w:sz w:val="20"/>
                <w:szCs w:val="20"/>
                <w:color w:val="auto"/>
              </w:rPr>
            </w:pPr>
            <w:r>
              <w:rPr>
                <w:rFonts w:ascii="Courier New" w:cs="Courier New" w:eastAsia="Courier New" w:hAnsi="Courier New"/>
                <w:sz w:val="15"/>
                <w:szCs w:val="15"/>
                <w:color w:val="auto"/>
              </w:rPr>
              <w:t>Handheld systems</w:t>
            </w:r>
          </w:p>
        </w:tc>
        <w:tc>
          <w:tcPr>
            <w:tcW w:w="15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15%</w:t>
            </w:r>
          </w:p>
        </w:tc>
        <w:tc>
          <w:tcPr>
            <w:tcW w:w="16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24%</w:t>
            </w:r>
          </w:p>
        </w:tc>
        <w:tc>
          <w:tcPr>
            <w:tcW w:w="1360" w:type="dxa"/>
            <w:vAlign w:val="bottom"/>
          </w:tcPr>
          <w:p>
            <w:pPr>
              <w:jc w:val="right"/>
              <w:ind w:right="485"/>
              <w:spacing w:after="0"/>
              <w:rPr>
                <w:sz w:val="20"/>
                <w:szCs w:val="20"/>
                <w:color w:val="auto"/>
              </w:rPr>
            </w:pPr>
            <w:r>
              <w:rPr>
                <w:rFonts w:ascii="Courier New" w:cs="Courier New" w:eastAsia="Courier New" w:hAnsi="Courier New"/>
                <w:sz w:val="15"/>
                <w:szCs w:val="15"/>
                <w:color w:val="auto"/>
              </w:rPr>
              <w:t>1%</w:t>
            </w:r>
          </w:p>
        </w:tc>
      </w:tr>
      <w:tr>
        <w:trPr>
          <w:trHeight w:val="173"/>
        </w:trPr>
        <w:tc>
          <w:tcPr>
            <w:tcW w:w="5940" w:type="dxa"/>
            <w:vAlign w:val="bottom"/>
          </w:tcPr>
          <w:p>
            <w:pPr>
              <w:ind w:left="360"/>
              <w:spacing w:after="0"/>
              <w:rPr>
                <w:sz w:val="20"/>
                <w:szCs w:val="20"/>
                <w:color w:val="auto"/>
              </w:rPr>
            </w:pPr>
            <w:r>
              <w:rPr>
                <w:rFonts w:ascii="Courier New" w:cs="Courier New" w:eastAsia="Courier New" w:hAnsi="Courier New"/>
                <w:sz w:val="15"/>
                <w:szCs w:val="15"/>
                <w:color w:val="auto"/>
              </w:rPr>
              <w:t>Outsourcing</w:t>
            </w:r>
          </w:p>
        </w:tc>
        <w:tc>
          <w:tcPr>
            <w:tcW w:w="15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6%</w:t>
            </w:r>
          </w:p>
        </w:tc>
        <w:tc>
          <w:tcPr>
            <w:tcW w:w="16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14%</w:t>
            </w:r>
          </w:p>
        </w:tc>
        <w:tc>
          <w:tcPr>
            <w:tcW w:w="13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(36%)</w:t>
            </w:r>
          </w:p>
        </w:tc>
      </w:tr>
      <w:tr>
        <w:trPr>
          <w:trHeight w:val="173"/>
        </w:trPr>
        <w:tc>
          <w:tcPr>
            <w:tcW w:w="5940" w:type="dxa"/>
            <w:vAlign w:val="bottom"/>
          </w:tcPr>
          <w:p>
            <w:pPr>
              <w:spacing w:after="0"/>
              <w:rPr>
                <w:sz w:val="15"/>
                <w:szCs w:val="15"/>
                <w:color w:val="auto"/>
              </w:rPr>
            </w:pPr>
          </w:p>
        </w:tc>
        <w:tc>
          <w:tcPr>
            <w:tcW w:w="15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9"/>
              </w:rPr>
              <w:t>---------------</w:t>
            </w:r>
          </w:p>
        </w:tc>
        <w:tc>
          <w:tcPr>
            <w:tcW w:w="162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8"/>
              </w:rPr>
              <w:t>--------------</w:t>
            </w:r>
          </w:p>
        </w:tc>
        <w:tc>
          <w:tcPr>
            <w:tcW w:w="1360" w:type="dxa"/>
            <w:vAlign w:val="bottom"/>
          </w:tcPr>
          <w:p>
            <w:pPr>
              <w:spacing w:after="0"/>
              <w:rPr>
                <w:sz w:val="15"/>
                <w:szCs w:val="15"/>
                <w:color w:val="auto"/>
              </w:rPr>
            </w:pPr>
          </w:p>
        </w:tc>
      </w:tr>
      <w:tr>
        <w:trPr>
          <w:trHeight w:val="173"/>
        </w:trPr>
        <w:tc>
          <w:tcPr>
            <w:tcW w:w="5940" w:type="dxa"/>
            <w:vAlign w:val="bottom"/>
          </w:tcPr>
          <w:p>
            <w:pPr>
              <w:ind w:left="360"/>
              <w:spacing w:after="0"/>
              <w:rPr>
                <w:sz w:val="20"/>
                <w:szCs w:val="20"/>
                <w:color w:val="auto"/>
              </w:rPr>
            </w:pPr>
            <w:r>
              <w:rPr>
                <w:rFonts w:ascii="Courier New" w:cs="Courier New" w:eastAsia="Courier New" w:hAnsi="Courier New"/>
                <w:sz w:val="15"/>
                <w:szCs w:val="15"/>
                <w:color w:val="auto"/>
              </w:rPr>
              <w:t>Total revenues</w:t>
            </w:r>
          </w:p>
        </w:tc>
        <w:tc>
          <w:tcPr>
            <w:tcW w:w="15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100%</w:t>
            </w:r>
          </w:p>
        </w:tc>
        <w:tc>
          <w:tcPr>
            <w:tcW w:w="16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100%</w:t>
            </w:r>
          </w:p>
        </w:tc>
        <w:tc>
          <w:tcPr>
            <w:tcW w:w="1360" w:type="dxa"/>
            <w:vAlign w:val="bottom"/>
          </w:tcPr>
          <w:p>
            <w:pPr>
              <w:jc w:val="right"/>
              <w:ind w:right="485"/>
              <w:spacing w:after="0"/>
              <w:rPr>
                <w:sz w:val="20"/>
                <w:szCs w:val="20"/>
                <w:color w:val="auto"/>
              </w:rPr>
            </w:pPr>
            <w:r>
              <w:rPr>
                <w:rFonts w:ascii="Courier New" w:cs="Courier New" w:eastAsia="Courier New" w:hAnsi="Courier New"/>
                <w:sz w:val="15"/>
                <w:szCs w:val="15"/>
                <w:color w:val="auto"/>
              </w:rPr>
              <w:t>57%</w:t>
            </w:r>
          </w:p>
        </w:tc>
      </w:tr>
      <w:tr>
        <w:trPr>
          <w:trHeight w:val="347"/>
        </w:trPr>
        <w:tc>
          <w:tcPr>
            <w:tcW w:w="5940" w:type="dxa"/>
            <w:vAlign w:val="bottom"/>
          </w:tcPr>
          <w:p>
            <w:pPr>
              <w:spacing w:after="0"/>
              <w:rPr>
                <w:sz w:val="20"/>
                <w:szCs w:val="20"/>
                <w:color w:val="auto"/>
              </w:rPr>
            </w:pPr>
            <w:r>
              <w:rPr>
                <w:rFonts w:ascii="Courier New" w:cs="Courier New" w:eastAsia="Courier New" w:hAnsi="Courier New"/>
                <w:sz w:val="15"/>
                <w:szCs w:val="15"/>
                <w:color w:val="auto"/>
              </w:rPr>
              <w:t>Cost of revenues</w:t>
            </w:r>
          </w:p>
        </w:tc>
        <w:tc>
          <w:tcPr>
            <w:tcW w:w="15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73"/>
        </w:trPr>
        <w:tc>
          <w:tcPr>
            <w:tcW w:w="5940" w:type="dxa"/>
            <w:vAlign w:val="bottom"/>
          </w:tcPr>
          <w:p>
            <w:pPr>
              <w:ind w:left="360"/>
              <w:spacing w:after="0"/>
              <w:rPr>
                <w:sz w:val="20"/>
                <w:szCs w:val="20"/>
                <w:color w:val="auto"/>
              </w:rPr>
            </w:pPr>
            <w:r>
              <w:rPr>
                <w:rFonts w:ascii="Courier New" w:cs="Courier New" w:eastAsia="Courier New" w:hAnsi="Courier New"/>
                <w:sz w:val="15"/>
                <w:szCs w:val="15"/>
                <w:color w:val="auto"/>
              </w:rPr>
              <w:t>AMR systems</w:t>
            </w:r>
          </w:p>
        </w:tc>
        <w:tc>
          <w:tcPr>
            <w:tcW w:w="15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69%</w:t>
            </w:r>
          </w:p>
        </w:tc>
        <w:tc>
          <w:tcPr>
            <w:tcW w:w="16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60%</w:t>
            </w:r>
          </w:p>
        </w:tc>
        <w:tc>
          <w:tcPr>
            <w:tcW w:w="1360" w:type="dxa"/>
            <w:vAlign w:val="bottom"/>
          </w:tcPr>
          <w:p>
            <w:pPr>
              <w:jc w:val="right"/>
              <w:ind w:right="485"/>
              <w:spacing w:after="0"/>
              <w:rPr>
                <w:sz w:val="20"/>
                <w:szCs w:val="20"/>
                <w:color w:val="auto"/>
              </w:rPr>
            </w:pPr>
            <w:r>
              <w:rPr>
                <w:rFonts w:ascii="Courier New" w:cs="Courier New" w:eastAsia="Courier New" w:hAnsi="Courier New"/>
                <w:sz w:val="15"/>
                <w:szCs w:val="15"/>
                <w:color w:val="auto"/>
              </w:rPr>
              <w:t>129%</w:t>
            </w:r>
          </w:p>
        </w:tc>
      </w:tr>
      <w:tr>
        <w:trPr>
          <w:trHeight w:val="173"/>
        </w:trPr>
        <w:tc>
          <w:tcPr>
            <w:tcW w:w="5940" w:type="dxa"/>
            <w:vAlign w:val="bottom"/>
          </w:tcPr>
          <w:p>
            <w:pPr>
              <w:ind w:left="360"/>
              <w:spacing w:after="0"/>
              <w:rPr>
                <w:sz w:val="20"/>
                <w:szCs w:val="20"/>
                <w:color w:val="auto"/>
              </w:rPr>
            </w:pPr>
            <w:r>
              <w:rPr>
                <w:rFonts w:ascii="Courier New" w:cs="Courier New" w:eastAsia="Courier New" w:hAnsi="Courier New"/>
                <w:sz w:val="15"/>
                <w:szCs w:val="15"/>
                <w:color w:val="auto"/>
              </w:rPr>
              <w:t>Handheld systems</w:t>
            </w:r>
          </w:p>
        </w:tc>
        <w:tc>
          <w:tcPr>
            <w:tcW w:w="15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53%</w:t>
            </w:r>
          </w:p>
        </w:tc>
        <w:tc>
          <w:tcPr>
            <w:tcW w:w="16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73%</w:t>
            </w:r>
          </w:p>
        </w:tc>
        <w:tc>
          <w:tcPr>
            <w:tcW w:w="13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(26%)</w:t>
            </w:r>
          </w:p>
        </w:tc>
      </w:tr>
      <w:tr>
        <w:trPr>
          <w:trHeight w:val="173"/>
        </w:trPr>
        <w:tc>
          <w:tcPr>
            <w:tcW w:w="5940" w:type="dxa"/>
            <w:vAlign w:val="bottom"/>
          </w:tcPr>
          <w:p>
            <w:pPr>
              <w:ind w:left="360"/>
              <w:spacing w:after="0"/>
              <w:rPr>
                <w:sz w:val="20"/>
                <w:szCs w:val="20"/>
                <w:color w:val="auto"/>
              </w:rPr>
            </w:pPr>
            <w:r>
              <w:rPr>
                <w:rFonts w:ascii="Courier New" w:cs="Courier New" w:eastAsia="Courier New" w:hAnsi="Courier New"/>
                <w:sz w:val="15"/>
                <w:szCs w:val="15"/>
                <w:color w:val="auto"/>
              </w:rPr>
              <w:t>Outsourcing</w:t>
            </w:r>
          </w:p>
        </w:tc>
        <w:tc>
          <w:tcPr>
            <w:tcW w:w="15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82%</w:t>
            </w:r>
          </w:p>
        </w:tc>
        <w:tc>
          <w:tcPr>
            <w:tcW w:w="16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84%</w:t>
            </w:r>
          </w:p>
        </w:tc>
        <w:tc>
          <w:tcPr>
            <w:tcW w:w="13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(38%)</w:t>
            </w:r>
          </w:p>
        </w:tc>
      </w:tr>
      <w:tr>
        <w:trPr>
          <w:trHeight w:val="173"/>
        </w:trPr>
        <w:tc>
          <w:tcPr>
            <w:tcW w:w="5940" w:type="dxa"/>
            <w:vAlign w:val="bottom"/>
          </w:tcPr>
          <w:p>
            <w:pPr>
              <w:spacing w:after="0"/>
              <w:rPr>
                <w:sz w:val="15"/>
                <w:szCs w:val="15"/>
                <w:color w:val="auto"/>
              </w:rPr>
            </w:pPr>
          </w:p>
        </w:tc>
        <w:tc>
          <w:tcPr>
            <w:tcW w:w="15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9"/>
              </w:rPr>
              <w:t>---------------</w:t>
            </w:r>
          </w:p>
        </w:tc>
        <w:tc>
          <w:tcPr>
            <w:tcW w:w="162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8"/>
              </w:rPr>
              <w:t>--------------</w:t>
            </w:r>
          </w:p>
        </w:tc>
        <w:tc>
          <w:tcPr>
            <w:tcW w:w="1360" w:type="dxa"/>
            <w:vAlign w:val="bottom"/>
          </w:tcPr>
          <w:p>
            <w:pPr>
              <w:spacing w:after="0"/>
              <w:rPr>
                <w:sz w:val="15"/>
                <w:szCs w:val="15"/>
                <w:color w:val="auto"/>
              </w:rPr>
            </w:pPr>
          </w:p>
        </w:tc>
      </w:tr>
      <w:tr>
        <w:trPr>
          <w:trHeight w:val="173"/>
        </w:trPr>
        <w:tc>
          <w:tcPr>
            <w:tcW w:w="5940" w:type="dxa"/>
            <w:vAlign w:val="bottom"/>
          </w:tcPr>
          <w:p>
            <w:pPr>
              <w:ind w:left="360"/>
              <w:spacing w:after="0"/>
              <w:rPr>
                <w:sz w:val="20"/>
                <w:szCs w:val="20"/>
                <w:color w:val="auto"/>
              </w:rPr>
            </w:pPr>
            <w:r>
              <w:rPr>
                <w:rFonts w:ascii="Courier New" w:cs="Courier New" w:eastAsia="Courier New" w:hAnsi="Courier New"/>
                <w:sz w:val="15"/>
                <w:szCs w:val="15"/>
                <w:color w:val="auto"/>
              </w:rPr>
              <w:t>Total cost of revenues</w:t>
            </w:r>
          </w:p>
        </w:tc>
        <w:tc>
          <w:tcPr>
            <w:tcW w:w="15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67%</w:t>
            </w:r>
          </w:p>
        </w:tc>
        <w:tc>
          <w:tcPr>
            <w:tcW w:w="16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66%</w:t>
            </w:r>
          </w:p>
        </w:tc>
        <w:tc>
          <w:tcPr>
            <w:tcW w:w="1360" w:type="dxa"/>
            <w:vAlign w:val="bottom"/>
          </w:tcPr>
          <w:p>
            <w:pPr>
              <w:jc w:val="right"/>
              <w:ind w:right="485"/>
              <w:spacing w:after="0"/>
              <w:rPr>
                <w:sz w:val="20"/>
                <w:szCs w:val="20"/>
                <w:color w:val="auto"/>
              </w:rPr>
            </w:pPr>
            <w:r>
              <w:rPr>
                <w:rFonts w:ascii="Courier New" w:cs="Courier New" w:eastAsia="Courier New" w:hAnsi="Courier New"/>
                <w:sz w:val="15"/>
                <w:szCs w:val="15"/>
                <w:color w:val="auto"/>
              </w:rPr>
              <w:t>59%</w:t>
            </w:r>
          </w:p>
        </w:tc>
      </w:tr>
      <w:tr>
        <w:trPr>
          <w:trHeight w:val="347"/>
        </w:trPr>
        <w:tc>
          <w:tcPr>
            <w:tcW w:w="594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15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33%</w:t>
            </w:r>
          </w:p>
        </w:tc>
        <w:tc>
          <w:tcPr>
            <w:tcW w:w="16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34%</w:t>
            </w:r>
          </w:p>
        </w:tc>
        <w:tc>
          <w:tcPr>
            <w:tcW w:w="1360" w:type="dxa"/>
            <w:vAlign w:val="bottom"/>
          </w:tcPr>
          <w:p>
            <w:pPr>
              <w:jc w:val="right"/>
              <w:ind w:right="485"/>
              <w:spacing w:after="0"/>
              <w:rPr>
                <w:sz w:val="20"/>
                <w:szCs w:val="20"/>
                <w:color w:val="auto"/>
              </w:rPr>
            </w:pPr>
            <w:r>
              <w:rPr>
                <w:rFonts w:ascii="Courier New" w:cs="Courier New" w:eastAsia="Courier New" w:hAnsi="Courier New"/>
                <w:sz w:val="15"/>
                <w:szCs w:val="15"/>
                <w:color w:val="auto"/>
              </w:rPr>
              <w:t>53%</w:t>
            </w:r>
          </w:p>
        </w:tc>
      </w:tr>
      <w:tr>
        <w:trPr>
          <w:trHeight w:val="347"/>
        </w:trPr>
        <w:tc>
          <w:tcPr>
            <w:tcW w:w="594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5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73"/>
        </w:trPr>
        <w:tc>
          <w:tcPr>
            <w:tcW w:w="5940" w:type="dxa"/>
            <w:vAlign w:val="bottom"/>
          </w:tcPr>
          <w:p>
            <w:pPr>
              <w:ind w:left="360"/>
              <w:spacing w:after="0"/>
              <w:rPr>
                <w:sz w:val="20"/>
                <w:szCs w:val="20"/>
                <w:color w:val="auto"/>
              </w:rPr>
            </w:pPr>
            <w:r>
              <w:rPr>
                <w:rFonts w:ascii="Courier New" w:cs="Courier New" w:eastAsia="Courier New" w:hAnsi="Courier New"/>
                <w:sz w:val="15"/>
                <w:szCs w:val="15"/>
                <w:color w:val="auto"/>
              </w:rPr>
              <w:t>Sales and marketing</w:t>
            </w:r>
          </w:p>
        </w:tc>
        <w:tc>
          <w:tcPr>
            <w:tcW w:w="15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10%</w:t>
            </w:r>
          </w:p>
        </w:tc>
        <w:tc>
          <w:tcPr>
            <w:tcW w:w="16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19%</w:t>
            </w:r>
          </w:p>
        </w:tc>
        <w:tc>
          <w:tcPr>
            <w:tcW w:w="13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(12%)</w:t>
            </w:r>
          </w:p>
        </w:tc>
      </w:tr>
      <w:tr>
        <w:trPr>
          <w:trHeight w:val="173"/>
        </w:trPr>
        <w:tc>
          <w:tcPr>
            <w:tcW w:w="5940" w:type="dxa"/>
            <w:vAlign w:val="bottom"/>
          </w:tcPr>
          <w:p>
            <w:pPr>
              <w:ind w:left="360"/>
              <w:spacing w:after="0"/>
              <w:rPr>
                <w:sz w:val="20"/>
                <w:szCs w:val="20"/>
                <w:color w:val="auto"/>
              </w:rPr>
            </w:pPr>
            <w:r>
              <w:rPr>
                <w:rFonts w:ascii="Courier New" w:cs="Courier New" w:eastAsia="Courier New" w:hAnsi="Courier New"/>
                <w:sz w:val="15"/>
                <w:szCs w:val="15"/>
                <w:color w:val="auto"/>
              </w:rPr>
              <w:t>Product development</w:t>
            </w:r>
          </w:p>
        </w:tc>
        <w:tc>
          <w:tcPr>
            <w:tcW w:w="15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14%</w:t>
            </w:r>
          </w:p>
        </w:tc>
        <w:tc>
          <w:tcPr>
            <w:tcW w:w="16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18%</w:t>
            </w:r>
          </w:p>
        </w:tc>
        <w:tc>
          <w:tcPr>
            <w:tcW w:w="1360" w:type="dxa"/>
            <w:vAlign w:val="bottom"/>
          </w:tcPr>
          <w:p>
            <w:pPr>
              <w:jc w:val="right"/>
              <w:ind w:right="485"/>
              <w:spacing w:after="0"/>
              <w:rPr>
                <w:sz w:val="20"/>
                <w:szCs w:val="20"/>
                <w:color w:val="auto"/>
              </w:rPr>
            </w:pPr>
            <w:r>
              <w:rPr>
                <w:rFonts w:ascii="Courier New" w:cs="Courier New" w:eastAsia="Courier New" w:hAnsi="Courier New"/>
                <w:sz w:val="15"/>
                <w:szCs w:val="15"/>
                <w:color w:val="auto"/>
              </w:rPr>
              <w:t>22%</w:t>
            </w:r>
          </w:p>
        </w:tc>
      </w:tr>
      <w:tr>
        <w:trPr>
          <w:trHeight w:val="173"/>
        </w:trPr>
        <w:tc>
          <w:tcPr>
            <w:tcW w:w="5940" w:type="dxa"/>
            <w:vAlign w:val="bottom"/>
          </w:tcPr>
          <w:p>
            <w:pPr>
              <w:ind w:left="360"/>
              <w:spacing w:after="0"/>
              <w:rPr>
                <w:sz w:val="20"/>
                <w:szCs w:val="20"/>
                <w:color w:val="auto"/>
              </w:rPr>
            </w:pPr>
            <w:r>
              <w:rPr>
                <w:rFonts w:ascii="Courier New" w:cs="Courier New" w:eastAsia="Courier New" w:hAnsi="Courier New"/>
                <w:sz w:val="15"/>
                <w:szCs w:val="15"/>
                <w:color w:val="auto"/>
              </w:rPr>
              <w:t>General and administrative</w:t>
            </w:r>
          </w:p>
        </w:tc>
        <w:tc>
          <w:tcPr>
            <w:tcW w:w="15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5%</w:t>
            </w:r>
          </w:p>
        </w:tc>
        <w:tc>
          <w:tcPr>
            <w:tcW w:w="16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6%</w:t>
            </w:r>
          </w:p>
        </w:tc>
        <w:tc>
          <w:tcPr>
            <w:tcW w:w="1360" w:type="dxa"/>
            <w:vAlign w:val="bottom"/>
          </w:tcPr>
          <w:p>
            <w:pPr>
              <w:jc w:val="right"/>
              <w:ind w:right="485"/>
              <w:spacing w:after="0"/>
              <w:rPr>
                <w:sz w:val="20"/>
                <w:szCs w:val="20"/>
                <w:color w:val="auto"/>
              </w:rPr>
            </w:pPr>
            <w:r>
              <w:rPr>
                <w:rFonts w:ascii="Courier New" w:cs="Courier New" w:eastAsia="Courier New" w:hAnsi="Courier New"/>
                <w:sz w:val="15"/>
                <w:szCs w:val="15"/>
                <w:color w:val="auto"/>
              </w:rPr>
              <w:t>24%</w:t>
            </w:r>
          </w:p>
        </w:tc>
      </w:tr>
      <w:tr>
        <w:trPr>
          <w:trHeight w:val="173"/>
        </w:trPr>
        <w:tc>
          <w:tcPr>
            <w:tcW w:w="5940" w:type="dxa"/>
            <w:vAlign w:val="bottom"/>
          </w:tcPr>
          <w:p>
            <w:pPr>
              <w:ind w:left="360"/>
              <w:spacing w:after="0"/>
              <w:rPr>
                <w:sz w:val="20"/>
                <w:szCs w:val="20"/>
                <w:color w:val="auto"/>
              </w:rPr>
            </w:pPr>
            <w:r>
              <w:rPr>
                <w:rFonts w:ascii="Courier New" w:cs="Courier New" w:eastAsia="Courier New" w:hAnsi="Courier New"/>
                <w:sz w:val="15"/>
                <w:szCs w:val="15"/>
                <w:color w:val="auto"/>
              </w:rPr>
              <w:t>Amortization of intangibles</w:t>
            </w:r>
          </w:p>
        </w:tc>
        <w:tc>
          <w:tcPr>
            <w:tcW w:w="15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w:t>
            </w:r>
          </w:p>
        </w:tc>
        <w:tc>
          <w:tcPr>
            <w:tcW w:w="16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w:t>
            </w:r>
          </w:p>
        </w:tc>
        <w:tc>
          <w:tcPr>
            <w:tcW w:w="1360" w:type="dxa"/>
            <w:vAlign w:val="bottom"/>
          </w:tcPr>
          <w:p>
            <w:pPr>
              <w:jc w:val="right"/>
              <w:ind w:right="485"/>
              <w:spacing w:after="0"/>
              <w:rPr>
                <w:sz w:val="20"/>
                <w:szCs w:val="20"/>
                <w:color w:val="auto"/>
              </w:rPr>
            </w:pPr>
            <w:r>
              <w:rPr>
                <w:rFonts w:ascii="Courier New" w:cs="Courier New" w:eastAsia="Courier New" w:hAnsi="Courier New"/>
                <w:sz w:val="15"/>
                <w:szCs w:val="15"/>
                <w:color w:val="auto"/>
              </w:rPr>
              <w:t>10%</w:t>
            </w:r>
          </w:p>
        </w:tc>
      </w:tr>
      <w:tr>
        <w:trPr>
          <w:trHeight w:val="173"/>
        </w:trPr>
        <w:tc>
          <w:tcPr>
            <w:tcW w:w="5940" w:type="dxa"/>
            <w:vAlign w:val="bottom"/>
          </w:tcPr>
          <w:p>
            <w:pPr>
              <w:spacing w:after="0"/>
              <w:rPr>
                <w:sz w:val="15"/>
                <w:szCs w:val="15"/>
                <w:color w:val="auto"/>
              </w:rPr>
            </w:pPr>
          </w:p>
        </w:tc>
        <w:tc>
          <w:tcPr>
            <w:tcW w:w="15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9"/>
              </w:rPr>
              <w:t>---------------</w:t>
            </w:r>
          </w:p>
        </w:tc>
        <w:tc>
          <w:tcPr>
            <w:tcW w:w="162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8"/>
              </w:rPr>
              <w:t>--------------</w:t>
            </w:r>
          </w:p>
        </w:tc>
        <w:tc>
          <w:tcPr>
            <w:tcW w:w="1360" w:type="dxa"/>
            <w:vAlign w:val="bottom"/>
          </w:tcPr>
          <w:p>
            <w:pPr>
              <w:spacing w:after="0"/>
              <w:rPr>
                <w:sz w:val="15"/>
                <w:szCs w:val="15"/>
                <w:color w:val="auto"/>
              </w:rPr>
            </w:pPr>
          </w:p>
        </w:tc>
      </w:tr>
      <w:tr>
        <w:trPr>
          <w:trHeight w:val="173"/>
        </w:trPr>
        <w:tc>
          <w:tcPr>
            <w:tcW w:w="5940" w:type="dxa"/>
            <w:vAlign w:val="bottom"/>
          </w:tcPr>
          <w:p>
            <w:pPr>
              <w:ind w:left="360"/>
              <w:spacing w:after="0"/>
              <w:rPr>
                <w:sz w:val="20"/>
                <w:szCs w:val="20"/>
                <w:color w:val="auto"/>
              </w:rPr>
            </w:pPr>
            <w:r>
              <w:rPr>
                <w:rFonts w:ascii="Courier New" w:cs="Courier New" w:eastAsia="Courier New" w:hAnsi="Courier New"/>
                <w:sz w:val="15"/>
                <w:szCs w:val="15"/>
                <w:color w:val="auto"/>
              </w:rPr>
              <w:t>Total operating expenses</w:t>
            </w:r>
          </w:p>
        </w:tc>
        <w:tc>
          <w:tcPr>
            <w:tcW w:w="15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30%</w:t>
            </w:r>
          </w:p>
        </w:tc>
        <w:tc>
          <w:tcPr>
            <w:tcW w:w="16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44%</w:t>
            </w:r>
          </w:p>
        </w:tc>
        <w:tc>
          <w:tcPr>
            <w:tcW w:w="1360" w:type="dxa"/>
            <w:vAlign w:val="bottom"/>
          </w:tcPr>
          <w:p>
            <w:pPr>
              <w:jc w:val="right"/>
              <w:ind w:right="485"/>
              <w:spacing w:after="0"/>
              <w:rPr>
                <w:sz w:val="20"/>
                <w:szCs w:val="20"/>
                <w:color w:val="auto"/>
              </w:rPr>
            </w:pPr>
            <w:r>
              <w:rPr>
                <w:rFonts w:ascii="Courier New" w:cs="Courier New" w:eastAsia="Courier New" w:hAnsi="Courier New"/>
                <w:sz w:val="15"/>
                <w:szCs w:val="15"/>
                <w:color w:val="auto"/>
              </w:rPr>
              <w:t>7%</w:t>
            </w:r>
          </w:p>
        </w:tc>
      </w:tr>
      <w:tr>
        <w:trPr>
          <w:trHeight w:val="347"/>
        </w:trPr>
        <w:tc>
          <w:tcPr>
            <w:tcW w:w="594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15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3%</w:t>
            </w:r>
          </w:p>
        </w:tc>
        <w:tc>
          <w:tcPr>
            <w:tcW w:w="162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(10%)</w:t>
            </w:r>
          </w:p>
        </w:tc>
        <w:tc>
          <w:tcPr>
            <w:tcW w:w="1360" w:type="dxa"/>
            <w:vAlign w:val="bottom"/>
          </w:tcPr>
          <w:p>
            <w:pPr>
              <w:jc w:val="right"/>
              <w:ind w:right="485"/>
              <w:spacing w:after="0"/>
              <w:rPr>
                <w:sz w:val="20"/>
                <w:szCs w:val="20"/>
                <w:color w:val="auto"/>
              </w:rPr>
            </w:pPr>
            <w:r>
              <w:rPr>
                <w:rFonts w:ascii="Courier New" w:cs="Courier New" w:eastAsia="Courier New" w:hAnsi="Courier New"/>
                <w:sz w:val="15"/>
                <w:szCs w:val="15"/>
                <w:color w:val="auto"/>
              </w:rPr>
              <w:t>140%</w:t>
            </w:r>
          </w:p>
        </w:tc>
      </w:tr>
      <w:tr>
        <w:trPr>
          <w:trHeight w:val="173"/>
        </w:trPr>
        <w:tc>
          <w:tcPr>
            <w:tcW w:w="5940" w:type="dxa"/>
            <w:vAlign w:val="bottom"/>
          </w:tcPr>
          <w:p>
            <w:pPr>
              <w:spacing w:after="0"/>
              <w:rPr>
                <w:sz w:val="15"/>
                <w:szCs w:val="15"/>
                <w:color w:val="auto"/>
              </w:rPr>
            </w:pPr>
          </w:p>
        </w:tc>
        <w:tc>
          <w:tcPr>
            <w:tcW w:w="15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9"/>
              </w:rPr>
              <w:t>===============</w:t>
            </w:r>
          </w:p>
        </w:tc>
        <w:tc>
          <w:tcPr>
            <w:tcW w:w="162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8"/>
              </w:rPr>
              <w:t>==============</w:t>
            </w:r>
          </w:p>
        </w:tc>
        <w:tc>
          <w:tcPr>
            <w:tcW w:w="1360" w:type="dxa"/>
            <w:vAlign w:val="bottom"/>
          </w:tcPr>
          <w:p>
            <w:pPr>
              <w:spacing w:after="0"/>
              <w:rPr>
                <w:sz w:val="15"/>
                <w:szCs w:val="15"/>
                <w:color w:val="auto"/>
              </w:rPr>
            </w:pPr>
          </w:p>
        </w:tc>
      </w:tr>
    </w:tbl>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Revenues</w:t>
      </w:r>
    </w:p>
    <w:p>
      <w:pPr>
        <w:spacing w:after="0" w:line="4" w:lineRule="exact"/>
        <w:rPr>
          <w:sz w:val="20"/>
          <w:szCs w:val="20"/>
          <w:color w:val="auto"/>
        </w:rPr>
      </w:pPr>
    </w:p>
    <w:p>
      <w:pPr>
        <w:jc w:val="both"/>
        <w:ind w:right="3260" w:firstLine="451"/>
        <w:spacing w:after="0" w:line="244" w:lineRule="auto"/>
        <w:rPr>
          <w:sz w:val="20"/>
          <w:szCs w:val="20"/>
          <w:color w:val="auto"/>
        </w:rPr>
      </w:pPr>
      <w:r>
        <w:rPr>
          <w:rFonts w:ascii="Courier New" w:cs="Courier New" w:eastAsia="Courier New" w:hAnsi="Courier New"/>
          <w:sz w:val="15"/>
          <w:szCs w:val="15"/>
          <w:color w:val="auto"/>
        </w:rPr>
        <w:t>The Company's total revenues increased $23.1 million, or 57%, to $63.7 million in the first quarter of 1998 from $40.6 million in the first quarter of 1997. AMR systems revenues nearly doubled in the quarter ended March 31, 1998 over the comparable quarter in 1997. Total meter module shipments for the current quarter exceeded 650,000 units, all of which were shipped under sales contracts. This compares to approximately 425,000 units shipped under sales contracts in the prior year's quarter, and 200,000 units shipped under outsourcing agreements. Equipment shipped and installed under a large fixed network system contract booked in 1997 generated approximately 60% of the quarter-to-quarter revenue growth. Shipments and installations of water meter modules for a single multi-year contract, also awarded in 1997, and slightly higher international AMR sales, accounted for most of the remaining revenue growth. The Company expects that AMR sales will grow over the longer term. However, much of the expected growth in AMR continues to be dependent upon the timing and resolution of industry regulatory reform issues in the United States, mergers and acquisitions in the utility industry, development of international markets, and various other factors.</w:t>
      </w:r>
    </w:p>
    <w:p>
      <w:pPr>
        <w:spacing w:after="0" w:line="184" w:lineRule="exact"/>
        <w:rPr>
          <w:sz w:val="20"/>
          <w:szCs w:val="20"/>
          <w:color w:val="auto"/>
        </w:rPr>
      </w:pPr>
    </w:p>
    <w:p>
      <w:pPr>
        <w:jc w:val="both"/>
        <w:ind w:right="3260"/>
        <w:spacing w:after="0" w:line="244" w:lineRule="auto"/>
        <w:rPr>
          <w:sz w:val="20"/>
          <w:szCs w:val="20"/>
          <w:color w:val="auto"/>
        </w:rPr>
      </w:pPr>
      <w:r>
        <w:rPr>
          <w:rFonts w:ascii="Courier New" w:cs="Courier New" w:eastAsia="Courier New" w:hAnsi="Courier New"/>
          <w:sz w:val="15"/>
          <w:szCs w:val="15"/>
          <w:color w:val="auto"/>
        </w:rPr>
        <w:t>Handheld systems revenue was level to the prior year's quarter at $9.7 million. However, the mix of revenues was quite different in the 1998 quarter. The first quarter of 1997 included significant handheld shipments to a Korean customer. Shipments to that customer were completed late in 1997. The absence of similar international handheld shipments in the 1998 quarter was offset by higher domestic revenues. The Company believes that handheld systems revenues will continue to decline as a percentage of total revenues as more utilities adopt and expand AMR system deployments. Future handheld systems revenues are expected to be derived primarily from domestic upgrade and replacement business and further penetration into international markets.</w:t>
      </w:r>
    </w:p>
    <w:p>
      <w:pPr>
        <w:spacing w:after="0" w:line="180" w:lineRule="exact"/>
        <w:rPr>
          <w:sz w:val="20"/>
          <w:szCs w:val="20"/>
          <w:color w:val="auto"/>
        </w:rPr>
      </w:pPr>
    </w:p>
    <w:p>
      <w:pPr>
        <w:jc w:val="both"/>
        <w:ind w:right="3260"/>
        <w:spacing w:after="0" w:line="263" w:lineRule="auto"/>
        <w:rPr>
          <w:sz w:val="20"/>
          <w:szCs w:val="20"/>
          <w:color w:val="auto"/>
        </w:rPr>
      </w:pPr>
      <w:r>
        <w:rPr>
          <w:rFonts w:ascii="Courier New" w:cs="Courier New" w:eastAsia="Courier New" w:hAnsi="Courier New"/>
          <w:sz w:val="14"/>
          <w:szCs w:val="14"/>
          <w:color w:val="auto"/>
        </w:rPr>
        <w:t>Outsourcing revenues declined 36% from $5.8 million in the 1997 quarter to $3.7 million in the 1998 quarter. Lower installation related expenses at Duquesne Light Company ("Duquesne"), which is substantially complete, resulted in lower reported revenues. At March 31, 1998, Itron had installed approximately 550,000 meter modules for this project out of an expected total of 615,000 modules. The Company's agreement with Duquesne provides for certain one-time monetary penalties for failure to meet specified milestones, including certain milestones that are designated as critical. There is one remaining critical milestone. The maximum penalty, should the Company fail to meet that milestone, is $10 million. The Company believes it will fully satisfy the future critical milestone. In addition, there is one remaining non-critical milestone that carries a $2 million penality should the company fail to meet that milestone. (For additional information see "Amended Duquesne Agreement," an exhibit to the Company's Form 10-Q filed on November 14, 1997, and "Description of Business--Certain Risk Factors--Dependence on the Installation, Operations and Maintenance of AMR</w:t>
      </w:r>
    </w:p>
    <w:p>
      <w:pPr>
        <w:sectPr>
          <w:pgSz w:w="11900" w:h="16838" w:orient="portrait"/>
          <w:cols w:equalWidth="0" w:num="1">
            <w:col w:w="10460"/>
          </w:cols>
          <w:pgMar w:left="240" w:top="812" w:right="1199" w:bottom="0" w:gutter="0" w:footer="0" w:header="0"/>
        </w:sectPr>
      </w:pPr>
    </w:p>
    <w:bookmarkStart w:id="6" w:name="page7"/>
    <w:bookmarkEnd w:id="6"/>
    <w:p>
      <w:pPr>
        <w:jc w:val="both"/>
        <w:ind w:right="3019"/>
        <w:spacing w:after="0" w:line="244" w:lineRule="auto"/>
        <w:rPr>
          <w:sz w:val="20"/>
          <w:szCs w:val="20"/>
          <w:color w:val="auto"/>
        </w:rPr>
      </w:pPr>
      <w:r>
        <w:rPr>
          <w:rFonts w:ascii="Courier New" w:cs="Courier New" w:eastAsia="Courier New" w:hAnsi="Courier New"/>
          <w:sz w:val="15"/>
          <w:szCs w:val="15"/>
          <w:color w:val="auto"/>
        </w:rPr>
        <w:t>Systems Pursuant to Outsourcing Contracts" in the Company's Annual Report on Form 10-K for the year ended December 31, 1997.) Outsourcing revenues are expected to decrease in 1998 from the level experienced in 1997, both in terms of absolute dollars and as a percentage of total revenues, as the Company did not sign any new outsourcing contracts during 1997.</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Cost of Revenues</w:t>
      </w:r>
    </w:p>
    <w:p>
      <w:pPr>
        <w:spacing w:after="0" w:line="4" w:lineRule="exact"/>
        <w:rPr>
          <w:sz w:val="20"/>
          <w:szCs w:val="20"/>
          <w:color w:val="auto"/>
        </w:rPr>
      </w:pPr>
    </w:p>
    <w:p>
      <w:pPr>
        <w:jc w:val="both"/>
        <w:ind w:right="3019"/>
        <w:spacing w:after="0" w:line="244" w:lineRule="auto"/>
        <w:rPr>
          <w:sz w:val="20"/>
          <w:szCs w:val="20"/>
          <w:color w:val="auto"/>
        </w:rPr>
      </w:pPr>
      <w:r>
        <w:rPr>
          <w:rFonts w:ascii="Courier New" w:cs="Courier New" w:eastAsia="Courier New" w:hAnsi="Courier New"/>
          <w:sz w:val="15"/>
          <w:szCs w:val="15"/>
          <w:color w:val="auto"/>
        </w:rPr>
        <w:t>Gross margin of 33% of revenues for the current quarter was slightly less than 1997's first quarter of 34%. AMR gross margins declined to 31% from 40% in the prior year's quarter due to a higher mix of fixed network revenues and a higher level of installation activities instead of product sales. Lower margins on fixed network products are caused, in part, by the early life cycle status of those products. Handheld systems gross margin increased to 47% of revenues due primarily to a lower mix of international business. Outsourcing gross margins remained approximately level for the comparative quarters. The Company expects overall gross margins for the full year 1998 may be slightly less than 1997 as a result of the large fixed network AMR order at below-average margin in 1998. Future gross margins may be affected by competitive price pressure, the Company's ability to utilize existing manufacturing capacity, the mix and volumes of meter modules shipped, the risks inherent in cost estimation for outsourcing contracts, potential performance-related contractual penalties and other factors.</w:t>
      </w:r>
    </w:p>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Operating Expenses</w:t>
      </w:r>
    </w:p>
    <w:p>
      <w:pPr>
        <w:spacing w:after="0" w:line="4" w:lineRule="exact"/>
        <w:rPr>
          <w:sz w:val="20"/>
          <w:szCs w:val="20"/>
          <w:color w:val="auto"/>
        </w:rPr>
      </w:pPr>
    </w:p>
    <w:p>
      <w:pPr>
        <w:jc w:val="both"/>
        <w:ind w:right="3019"/>
        <w:spacing w:after="0" w:line="244" w:lineRule="auto"/>
        <w:rPr>
          <w:sz w:val="20"/>
          <w:szCs w:val="20"/>
          <w:color w:val="auto"/>
        </w:rPr>
      </w:pPr>
      <w:r>
        <w:rPr>
          <w:rFonts w:ascii="Courier New" w:cs="Courier New" w:eastAsia="Courier New" w:hAnsi="Courier New"/>
          <w:sz w:val="15"/>
          <w:szCs w:val="15"/>
          <w:color w:val="auto"/>
        </w:rPr>
        <w:t>Sales and marketing expenses of $6.6 million for the three month period ended March 31, 1998, decreased 12% from the comparable period in 1997 and also decreased as a percentage of revenue. Last year's first quarter sales and marketing expenses were unusually high from non-recurring consulting services. The Company expects that sales and marketing expenses will remain at approximately 10% to 12% of total revenues for the remainder of the year.</w:t>
      </w:r>
    </w:p>
    <w:p>
      <w:pPr>
        <w:spacing w:after="0" w:line="177" w:lineRule="exact"/>
        <w:rPr>
          <w:sz w:val="20"/>
          <w:szCs w:val="20"/>
          <w:color w:val="auto"/>
        </w:rPr>
      </w:pPr>
    </w:p>
    <w:p>
      <w:pPr>
        <w:jc w:val="both"/>
        <w:ind w:right="3019"/>
        <w:spacing w:after="0" w:line="244" w:lineRule="auto"/>
        <w:rPr>
          <w:sz w:val="20"/>
          <w:szCs w:val="20"/>
          <w:color w:val="auto"/>
        </w:rPr>
      </w:pPr>
      <w:r>
        <w:rPr>
          <w:rFonts w:ascii="Courier New" w:cs="Courier New" w:eastAsia="Courier New" w:hAnsi="Courier New"/>
          <w:sz w:val="15"/>
          <w:szCs w:val="15"/>
          <w:color w:val="auto"/>
        </w:rPr>
        <w:t>Product development expenses of $8.9 million in the current quarter increased $1.6 million, or 22%, from the comparable quarter in 1997, but decreased as a percentage of revenues from 18% to 14%. The increased expenses for the 1998 quarter were due to the acquisition of DCI in 1997, and a higher level of development activities for products for the commercial and industrial segment of the utility marketplace. The Company expects that 1998 product development expenses will remain at approximately 13% to 15% of total revenues for the remainder of the year.</w:t>
      </w:r>
    </w:p>
    <w:p>
      <w:pPr>
        <w:spacing w:after="0" w:line="178" w:lineRule="exact"/>
        <w:rPr>
          <w:sz w:val="20"/>
          <w:szCs w:val="20"/>
          <w:color w:val="auto"/>
        </w:rPr>
      </w:pPr>
    </w:p>
    <w:p>
      <w:pPr>
        <w:jc w:val="both"/>
        <w:ind w:right="3019"/>
        <w:spacing w:after="0" w:line="244" w:lineRule="auto"/>
        <w:rPr>
          <w:sz w:val="20"/>
          <w:szCs w:val="20"/>
          <w:color w:val="auto"/>
        </w:rPr>
      </w:pPr>
      <w:r>
        <w:rPr>
          <w:rFonts w:ascii="Courier New" w:cs="Courier New" w:eastAsia="Courier New" w:hAnsi="Courier New"/>
          <w:sz w:val="15"/>
          <w:szCs w:val="15"/>
          <w:color w:val="auto"/>
        </w:rPr>
        <w:t>General and administrative expenses of $3 million for the three months ended March 31, 1998, increased approximately $600,000, or 24%, over the first quarter of 1997, but decreased as a percentage of total revenues from 6% to 5%. The higher level of expenses resulted from the inclusion of DCI for the full quarter in 1998 and increased investments in corporate support functions. General and administrative expenses are expected to remain at 5% to 6% of total revenues for the remainder of the year.</w:t>
      </w:r>
    </w:p>
    <w:p>
      <w:pPr>
        <w:spacing w:after="0" w:line="178" w:lineRule="exact"/>
        <w:rPr>
          <w:sz w:val="20"/>
          <w:szCs w:val="20"/>
          <w:color w:val="auto"/>
        </w:rPr>
      </w:pPr>
    </w:p>
    <w:p>
      <w:pPr>
        <w:jc w:val="both"/>
        <w:ind w:right="3019"/>
        <w:spacing w:after="0" w:line="243" w:lineRule="auto"/>
        <w:rPr>
          <w:sz w:val="20"/>
          <w:szCs w:val="20"/>
          <w:color w:val="auto"/>
        </w:rPr>
      </w:pPr>
      <w:r>
        <w:rPr>
          <w:rFonts w:ascii="Courier New" w:cs="Courier New" w:eastAsia="Courier New" w:hAnsi="Courier New"/>
          <w:sz w:val="15"/>
          <w:szCs w:val="15"/>
          <w:color w:val="auto"/>
        </w:rPr>
        <w:t>Amortization of intangibles increased slightly in the 1998 quarter and are expected to remain approximately level over the remainder of the year.</w:t>
      </w:r>
    </w:p>
    <w:p>
      <w:pPr>
        <w:spacing w:after="0" w:line="3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and Other, Net</w:t>
      </w:r>
    </w:p>
    <w:p>
      <w:pPr>
        <w:spacing w:after="0" w:line="4" w:lineRule="exact"/>
        <w:rPr>
          <w:sz w:val="20"/>
          <w:szCs w:val="20"/>
          <w:color w:val="auto"/>
        </w:rPr>
      </w:pPr>
    </w:p>
    <w:p>
      <w:pPr>
        <w:jc w:val="both"/>
        <w:ind w:right="3019"/>
        <w:spacing w:after="0" w:line="244" w:lineRule="auto"/>
        <w:rPr>
          <w:sz w:val="20"/>
          <w:szCs w:val="20"/>
          <w:color w:val="auto"/>
        </w:rPr>
      </w:pPr>
      <w:r>
        <w:rPr>
          <w:rFonts w:ascii="Courier New" w:cs="Courier New" w:eastAsia="Courier New" w:hAnsi="Courier New"/>
          <w:sz w:val="15"/>
          <w:szCs w:val="15"/>
          <w:color w:val="auto"/>
        </w:rPr>
        <w:t>Net interest expense increased to $1.3 million for the first quarter of 1998 as compared to $1.0 million in the 1997 quarter from the full quarter affect of the $63.4 million subordinated debt offering completed in March and April of 1997, and from the project financing initially received in mid-1997. Interest capitalized in the first quarter of 1998 was $270,000 compared to $217,000 capitalized in the first quarter of 1997. Capitalized interest relates to construction costs for outsourcing agreements. The Company expects net interest expense to gradually increase over the course of the year, as outsourcing installations near completion, resulting in lower interest capitalization, and from expected additional drawings on the project financing facility.</w:t>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Taxes</w:t>
      </w:r>
    </w:p>
    <w:p>
      <w:pPr>
        <w:spacing w:after="0" w:line="4" w:lineRule="exact"/>
        <w:rPr>
          <w:sz w:val="20"/>
          <w:szCs w:val="20"/>
          <w:color w:val="auto"/>
        </w:rPr>
      </w:pPr>
    </w:p>
    <w:p>
      <w:pPr>
        <w:jc w:val="both"/>
        <w:ind w:right="3019"/>
        <w:spacing w:after="0" w:line="244" w:lineRule="auto"/>
        <w:rPr>
          <w:sz w:val="20"/>
          <w:szCs w:val="20"/>
          <w:color w:val="auto"/>
        </w:rPr>
      </w:pPr>
      <w:r>
        <w:rPr>
          <w:rFonts w:ascii="Courier New" w:cs="Courier New" w:eastAsia="Courier New" w:hAnsi="Courier New"/>
          <w:sz w:val="15"/>
          <w:szCs w:val="15"/>
          <w:color w:val="auto"/>
        </w:rPr>
        <w:t>The income tax provision for the current quarter was slightly less than 40% of pre-tax income compared to a tax benefit percentage of 38% in the first quarter of 1997. The Company's tax rate may vary because of varying foreign operating results, changes in tax jurisdictions in which the Company operates, and changes in tax legislation.</w:t>
      </w:r>
    </w:p>
    <w:p>
      <w:pPr>
        <w:sectPr>
          <w:pgSz w:w="11900" w:h="16838" w:orient="portrait"/>
          <w:cols w:equalWidth="0" w:num="1">
            <w:col w:w="10219"/>
          </w:cols>
          <w:pgMar w:left="240" w:top="141"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5"/>
          <w:szCs w:val="15"/>
          <w:color w:val="auto"/>
        </w:rPr>
        <w:t>FINANCIAL CONDITION</w:t>
      </w:r>
    </w:p>
    <w:p>
      <w:pPr>
        <w:spacing w:after="0" w:line="178" w:lineRule="exact"/>
        <w:rPr>
          <w:sz w:val="20"/>
          <w:szCs w:val="20"/>
          <w:color w:val="auto"/>
        </w:rPr>
      </w:pPr>
    </w:p>
    <w:p>
      <w:pPr>
        <w:jc w:val="both"/>
        <w:ind w:right="3019"/>
        <w:spacing w:after="0" w:line="244" w:lineRule="auto"/>
        <w:rPr>
          <w:sz w:val="20"/>
          <w:szCs w:val="20"/>
          <w:color w:val="auto"/>
        </w:rPr>
      </w:pPr>
      <w:r>
        <w:rPr>
          <w:rFonts w:ascii="Courier New" w:cs="Courier New" w:eastAsia="Courier New" w:hAnsi="Courier New"/>
          <w:sz w:val="15"/>
          <w:szCs w:val="15"/>
          <w:color w:val="auto"/>
        </w:rPr>
        <w:t>Cash required for operating activities was $7.3 million for the first quarter of 1998 compared to cash provided from operating activities of $3.7 million in last year's first quarter. The shift in operating cash for the comparative quarters resulted primarily from increased accounts receivable. Most of this increase was due to a higher level of current year turnkey installations, which typically have deferred billing terms. The increase in the current portion of long-term contracts receivable caused by an excess of revenue recognition for outsourcing contracts over actual billings. Outsourcing revenues are recognized using the percentage-of-completion method of accounting while billing occurs when meters are read. Payment of 1997 performance incentives were also made in the first quarter of 1998.</w:t>
      </w:r>
    </w:p>
    <w:p>
      <w:pPr>
        <w:spacing w:after="0" w:line="180" w:lineRule="exact"/>
        <w:rPr>
          <w:sz w:val="20"/>
          <w:szCs w:val="20"/>
          <w:color w:val="auto"/>
        </w:rPr>
      </w:pPr>
    </w:p>
    <w:p>
      <w:pPr>
        <w:jc w:val="both"/>
        <w:ind w:right="3019"/>
        <w:spacing w:after="0" w:line="244" w:lineRule="auto"/>
        <w:rPr>
          <w:sz w:val="20"/>
          <w:szCs w:val="20"/>
          <w:color w:val="auto"/>
        </w:rPr>
      </w:pPr>
      <w:r>
        <w:rPr>
          <w:rFonts w:ascii="Courier New" w:cs="Courier New" w:eastAsia="Courier New" w:hAnsi="Courier New"/>
          <w:sz w:val="15"/>
          <w:szCs w:val="15"/>
          <w:color w:val="auto"/>
        </w:rPr>
        <w:t>Investments totaled $8.0 million during the 1998 quarter, down from $11.8 million in the prior year's quarter due to a slowing of equipment needed for outsourcing installations. Overall 1998 investments are expected to be less than the full year 1997 as outsourcing installations near completion.</w:t>
      </w:r>
    </w:p>
    <w:p>
      <w:pPr>
        <w:spacing w:after="0" w:line="176" w:lineRule="exact"/>
        <w:rPr>
          <w:sz w:val="20"/>
          <w:szCs w:val="20"/>
          <w:color w:val="auto"/>
        </w:rPr>
      </w:pPr>
    </w:p>
    <w:p>
      <w:pPr>
        <w:jc w:val="both"/>
        <w:ind w:right="3019"/>
        <w:spacing w:after="0" w:line="244" w:lineRule="auto"/>
        <w:rPr>
          <w:sz w:val="20"/>
          <w:szCs w:val="20"/>
          <w:color w:val="auto"/>
        </w:rPr>
      </w:pPr>
      <w:r>
        <w:rPr>
          <w:rFonts w:ascii="Courier New" w:cs="Courier New" w:eastAsia="Courier New" w:hAnsi="Courier New"/>
          <w:sz w:val="15"/>
          <w:szCs w:val="15"/>
          <w:color w:val="auto"/>
        </w:rPr>
        <w:t>Financing activities for the first quarter of 1998 consisted mostly of drawings on the Company's bank line of credit. Financing sources in the 1997 quarter included proceeds from the initial sale of the Company's $63.4 million subordinated debt.</w:t>
      </w:r>
    </w:p>
    <w:p>
      <w:pPr>
        <w:spacing w:after="0" w:line="176"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Existing sources of liquidity at March 31, 1998 include $1.7 million of existing cash and cash equivalents and approximately $35 million of available borrowings under the Company's bank line of credit. The Company expects to renew this agreement upon its expiration on May 31, 1998. Cash requirements for the remainder of 1998 are expected to be provided from the bank line of credit, from operations, and from an existing project financing facility. The Company believes these sources of liquidity are sufficient to fund its operations for the next twelve months.</w:t>
      </w: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Forward-Looking Statements</w:t>
      </w:r>
    </w:p>
    <w:p>
      <w:pPr>
        <w:spacing w:after="0" w:line="178" w:lineRule="exact"/>
        <w:rPr>
          <w:sz w:val="20"/>
          <w:szCs w:val="20"/>
          <w:color w:val="auto"/>
        </w:rPr>
      </w:pPr>
    </w:p>
    <w:p>
      <w:pPr>
        <w:jc w:val="both"/>
        <w:ind w:right="3019"/>
        <w:spacing w:after="0" w:line="244" w:lineRule="auto"/>
        <w:rPr>
          <w:sz w:val="20"/>
          <w:szCs w:val="20"/>
          <w:color w:val="auto"/>
        </w:rPr>
      </w:pPr>
      <w:r>
        <w:rPr>
          <w:rFonts w:ascii="Courier New" w:cs="Courier New" w:eastAsia="Courier New" w:hAnsi="Courier New"/>
          <w:sz w:val="15"/>
          <w:szCs w:val="15"/>
          <w:color w:val="auto"/>
        </w:rPr>
        <w:t>When included in this Quarterly Report on Form 10-Q, the words "expects," "intends," "anticipates," "plans," "projects" and "estimates," and analogous or similar expressions are intended to identify forward-looking statements. Such statements, which include, but are not limited to, statements contained in "Management's Discussion and Analysis of Financial Condition and Results of Operations" are inherently subject to a variety of risks and uncertainties that could cause actual results to differ materially from those reflected in such forward-looking statements. Such risks and uncertainties include, among others, changes in the utility regulatory environment, delays or difficulties in introducing new products, increased competition and various other matters, many of which are beyond the Company's control. These and other risks are described in more detail in "Description of Business -- Certain Risk Factors" in the Company's most recent Annual Report on Form 10-K, and such description is hereby incorporated herein by reference. These forward-looking statements speak only as of the date of this report. The Company expressly disclaims any obligation or undertaking to release publicly any updates or revisions to any forward-looking statement contained herein to reflect any change on the Company's expectations with regard thereto or any change in events, conditions or circumstances on which any such statement is based.</w:t>
      </w:r>
    </w:p>
    <w:p>
      <w:pPr>
        <w:sectPr>
          <w:pgSz w:w="11900" w:h="16838" w:orient="portrait"/>
          <w:cols w:equalWidth="0" w:num="1">
            <w:col w:w="10219"/>
          </w:cols>
          <w:pgMar w:left="240" w:top="811" w:right="1440" w:bottom="1440" w:gutter="0" w:footer="0" w:header="0"/>
        </w:sectPr>
      </w:pPr>
    </w:p>
    <w:bookmarkStart w:id="8" w:name="page9"/>
    <w:bookmarkEnd w:id="8"/>
    <w:p>
      <w:pPr>
        <w:ind w:left="8"/>
        <w:spacing w:after="0"/>
        <w:tabs>
          <w:tab w:leader="none" w:pos="787" w:val="left"/>
        </w:tabs>
        <w:rPr>
          <w:sz w:val="20"/>
          <w:szCs w:val="20"/>
          <w:color w:val="auto"/>
        </w:rPr>
      </w:pPr>
      <w:r>
        <w:rPr>
          <w:rFonts w:ascii="Courier New" w:cs="Courier New" w:eastAsia="Courier New" w:hAnsi="Courier New"/>
          <w:sz w:val="15"/>
          <w:szCs w:val="15"/>
          <w:color w:val="auto"/>
        </w:rPr>
        <w:t>Part 2:</w:t>
        <w:tab/>
        <w:t>Other Information</w:t>
      </w:r>
    </w:p>
    <w:p>
      <w:pPr>
        <w:spacing w:after="0" w:line="177" w:lineRule="exact"/>
        <w:rPr>
          <w:sz w:val="20"/>
          <w:szCs w:val="20"/>
          <w:color w:val="auto"/>
        </w:rPr>
      </w:pPr>
    </w:p>
    <w:p>
      <w:pPr>
        <w:ind w:left="8"/>
        <w:spacing w:after="0"/>
        <w:tabs>
          <w:tab w:leader="none" w:pos="787"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Exhibits and Reports on Form 8-K</w:t>
      </w:r>
    </w:p>
    <w:p>
      <w:pPr>
        <w:spacing w:after="0" w:line="177" w:lineRule="exact"/>
        <w:rPr>
          <w:sz w:val="20"/>
          <w:szCs w:val="20"/>
          <w:color w:val="auto"/>
        </w:rPr>
      </w:pPr>
    </w:p>
    <w:p>
      <w:pPr>
        <w:ind w:left="808" w:hanging="808"/>
        <w:spacing w:after="0"/>
        <w:tabs>
          <w:tab w:leader="none" w:pos="80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spacing w:after="0" w:line="177" w:lineRule="exact"/>
        <w:rPr>
          <w:rFonts w:ascii="Courier New" w:cs="Courier New" w:eastAsia="Courier New" w:hAnsi="Courier New"/>
          <w:sz w:val="15"/>
          <w:szCs w:val="15"/>
          <w:color w:val="auto"/>
        </w:rPr>
      </w:pPr>
    </w:p>
    <w:p>
      <w:pPr>
        <w:ind w:left="808" w:right="4099"/>
        <w:spacing w:after="0" w:line="48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Exhibit 11 - Statement re Computation of Earnings per Share Exhibit 27 - Financial Data Schedule</w:t>
      </w:r>
    </w:p>
    <w:p>
      <w:pPr>
        <w:spacing w:after="0" w:line="1" w:lineRule="exact"/>
        <w:rPr>
          <w:rFonts w:ascii="Courier New" w:cs="Courier New" w:eastAsia="Courier New" w:hAnsi="Courier New"/>
          <w:sz w:val="15"/>
          <w:szCs w:val="15"/>
          <w:color w:val="auto"/>
        </w:rPr>
      </w:pPr>
    </w:p>
    <w:p>
      <w:pPr>
        <w:ind w:left="808" w:hanging="808"/>
        <w:spacing w:after="0"/>
        <w:tabs>
          <w:tab w:leader="none" w:pos="80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w:t>
      </w:r>
    </w:p>
    <w:p>
      <w:pPr>
        <w:spacing w:after="0" w:line="178" w:lineRule="exact"/>
        <w:rPr>
          <w:sz w:val="20"/>
          <w:szCs w:val="20"/>
          <w:color w:val="auto"/>
        </w:rPr>
      </w:pPr>
    </w:p>
    <w:p>
      <w:pPr>
        <w:ind w:left="8" w:right="3019" w:firstLine="811"/>
        <w:spacing w:after="0" w:line="243" w:lineRule="auto"/>
        <w:rPr>
          <w:sz w:val="20"/>
          <w:szCs w:val="20"/>
          <w:color w:val="auto"/>
        </w:rPr>
      </w:pPr>
      <w:r>
        <w:rPr>
          <w:rFonts w:ascii="Courier New" w:cs="Courier New" w:eastAsia="Courier New" w:hAnsi="Courier New"/>
          <w:sz w:val="15"/>
          <w:szCs w:val="15"/>
          <w:color w:val="auto"/>
        </w:rPr>
        <w:t>No reports on Form 8-K were filed by the registrant during the quarter ended March 31, 1998.</w:t>
      </w:r>
    </w:p>
    <w:p>
      <w:pPr>
        <w:sectPr>
          <w:pgSz w:w="11900" w:h="16838" w:orient="portrait"/>
          <w:cols w:equalWidth="0" w:num="1">
            <w:col w:w="10227"/>
          </w:cols>
          <w:pgMar w:left="232" w:top="811" w:right="1440" w:bottom="1440" w:gutter="0" w:footer="0" w:header="0"/>
        </w:sectPr>
      </w:pPr>
    </w:p>
    <w:bookmarkStart w:id="9" w:name="page10"/>
    <w:bookmarkEnd w:id="9"/>
    <w:p>
      <w:pPr>
        <w:ind w:left="3240"/>
        <w:spacing w:after="0"/>
        <w:rPr>
          <w:sz w:val="20"/>
          <w:szCs w:val="20"/>
          <w:color w:val="auto"/>
        </w:rPr>
      </w:pPr>
      <w:r>
        <w:rPr>
          <w:rFonts w:ascii="Courier New" w:cs="Courier New" w:eastAsia="Courier New" w:hAnsi="Courier New"/>
          <w:sz w:val="15"/>
          <w:szCs w:val="15"/>
          <w:color w:val="auto"/>
        </w:rPr>
        <w:t>SIGNATURE</w:t>
      </w:r>
    </w:p>
    <w:p>
      <w:pPr>
        <w:spacing w:after="0" w:line="351" w:lineRule="exact"/>
        <w:rPr>
          <w:sz w:val="20"/>
          <w:szCs w:val="20"/>
          <w:color w:val="auto"/>
        </w:rPr>
      </w:pPr>
    </w:p>
    <w:p>
      <w:pPr>
        <w:jc w:val="both"/>
        <w:ind w:right="3019"/>
        <w:spacing w:after="0" w:line="244" w:lineRule="auto"/>
        <w:rPr>
          <w:sz w:val="20"/>
          <w:szCs w:val="20"/>
          <w:color w:val="auto"/>
        </w:rPr>
      </w:pPr>
      <w:r>
        <w:rPr>
          <w:rFonts w:ascii="Courier New" w:cs="Courier New" w:eastAsia="Courier New" w:hAnsi="Courier New"/>
          <w:sz w:val="15"/>
          <w:szCs w:val="15"/>
          <w:color w:val="auto"/>
        </w:rPr>
        <w:t>Pursuant to the requirements of the Securities Exchange Commission Act of 1934, the registrant has duly caused this report to be signed on its behalf by the undersigned thereunto duly authorized.</w:t>
      </w:r>
    </w:p>
    <w:p>
      <w:pPr>
        <w:spacing w:after="0" w:line="348"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ITRON, INC.</w:t>
      </w:r>
    </w:p>
    <w:p>
      <w:pPr>
        <w:spacing w:after="0" w:line="3"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(Registrant)</w:t>
      </w:r>
    </w:p>
    <w:p>
      <w:pPr>
        <w:spacing w:after="0" w:line="200" w:lineRule="exact"/>
        <w:rPr>
          <w:sz w:val="20"/>
          <w:szCs w:val="20"/>
          <w:color w:val="auto"/>
        </w:rPr>
      </w:pPr>
    </w:p>
    <w:p>
      <w:pPr>
        <w:spacing w:after="0" w:line="324" w:lineRule="exact"/>
        <w:rPr>
          <w:sz w:val="20"/>
          <w:szCs w:val="20"/>
          <w:color w:val="auto"/>
        </w:rPr>
      </w:pPr>
    </w:p>
    <w:p>
      <w:pPr>
        <w:ind w:left="2420"/>
        <w:spacing w:after="0"/>
        <w:tabs>
          <w:tab w:leader="none" w:pos="312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DAVID G. REMINGTON</w:t>
      </w:r>
    </w:p>
    <w:p>
      <w:pPr>
        <w:spacing w:after="0" w:line="3"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David G. Remington</w:t>
      </w:r>
    </w:p>
    <w:p>
      <w:pPr>
        <w:spacing w:after="0" w:line="3"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Vice President and Chief Financial Officer</w:t>
      </w:r>
    </w:p>
    <w:p>
      <w:pPr>
        <w:spacing w:after="0" w:line="3"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(Authorized Officer and Principal Financial</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Officer)</w:t>
      </w:r>
    </w:p>
    <w:p>
      <w:pPr>
        <w:spacing w:after="0" w:line="350"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Date:</w:t>
        <w:tab/>
        <w:t>May 15, 1998</w:t>
      </w:r>
    </w:p>
    <w:p>
      <w:pPr>
        <w:sectPr>
          <w:pgSz w:w="11900" w:h="16838" w:orient="portrait"/>
          <w:cols w:equalWidth="0" w:num="1">
            <w:col w:w="10219"/>
          </w:cols>
          <w:pgMar w:left="240" w:top="1158"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5"/>
          <w:szCs w:val="15"/>
          <w:color w:val="auto"/>
        </w:rPr>
        <w:t>ITRON, INC.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COMPUTATION OF EARNINGS PER SHARE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thousands)</w:t>
      </w:r>
    </w:p>
    <w:p>
      <w:pPr>
        <w:spacing w:after="0" w:line="350"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Three Months Ending March 31,</w:t>
      </w:r>
    </w:p>
    <w:p>
      <w:pPr>
        <w:spacing w:after="0" w:line="3" w:lineRule="exact"/>
        <w:rPr>
          <w:sz w:val="20"/>
          <w:szCs w:val="20"/>
          <w:color w:val="auto"/>
        </w:rPr>
      </w:pPr>
    </w:p>
    <w:p>
      <w:pPr>
        <w:ind w:left="8640"/>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280" w:type="dxa"/>
            <w:vAlign w:val="bottom"/>
          </w:tcPr>
          <w:p>
            <w:pPr>
              <w:spacing w:after="0"/>
              <w:rPr>
                <w:sz w:val="14"/>
                <w:szCs w:val="14"/>
                <w:color w:val="auto"/>
              </w:rPr>
            </w:pPr>
          </w:p>
        </w:tc>
        <w:tc>
          <w:tcPr>
            <w:tcW w:w="172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1998</w:t>
            </w:r>
          </w:p>
        </w:tc>
        <w:tc>
          <w:tcPr>
            <w:tcW w:w="13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1997</w:t>
            </w:r>
          </w:p>
        </w:tc>
      </w:tr>
      <w:tr>
        <w:trPr>
          <w:trHeight w:val="173"/>
        </w:trPr>
        <w:tc>
          <w:tcPr>
            <w:tcW w:w="8280" w:type="dxa"/>
            <w:vAlign w:val="bottom"/>
          </w:tcPr>
          <w:p>
            <w:pPr>
              <w:spacing w:after="0"/>
              <w:rPr>
                <w:sz w:val="15"/>
                <w:szCs w:val="15"/>
                <w:color w:val="auto"/>
              </w:rPr>
            </w:pPr>
          </w:p>
        </w:tc>
        <w:tc>
          <w:tcPr>
            <w:tcW w:w="1720" w:type="dxa"/>
            <w:vAlign w:val="bottom"/>
          </w:tcPr>
          <w:p>
            <w:pPr>
              <w:jc w:val="center"/>
              <w:ind w:left="185"/>
              <w:spacing w:after="0"/>
              <w:rPr>
                <w:sz w:val="20"/>
                <w:szCs w:val="20"/>
                <w:color w:val="auto"/>
              </w:rPr>
            </w:pPr>
            <w:r>
              <w:rPr>
                <w:rFonts w:ascii="Courier New" w:cs="Courier New" w:eastAsia="Courier New" w:hAnsi="Courier New"/>
                <w:sz w:val="15"/>
                <w:szCs w:val="15"/>
                <w:color w:val="auto"/>
                <w:w w:val="99"/>
              </w:rPr>
              <w:t>--------------</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20"/>
        </w:trPr>
        <w:tc>
          <w:tcPr>
            <w:tcW w:w="8280" w:type="dxa"/>
            <w:vAlign w:val="bottom"/>
          </w:tcPr>
          <w:p>
            <w:pPr>
              <w:spacing w:after="0"/>
              <w:rPr>
                <w:sz w:val="20"/>
                <w:szCs w:val="20"/>
                <w:color w:val="auto"/>
              </w:rPr>
            </w:pPr>
            <w:r>
              <w:rPr>
                <w:rFonts w:ascii="Courier New" w:cs="Courier New" w:eastAsia="Courier New" w:hAnsi="Courier New"/>
                <w:sz w:val="15"/>
                <w:szCs w:val="15"/>
                <w:color w:val="auto"/>
              </w:rPr>
              <w:t>Weighted average number of common shares outstanding</w:t>
            </w:r>
          </w:p>
        </w:tc>
        <w:tc>
          <w:tcPr>
            <w:tcW w:w="17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14,631</w:t>
            </w:r>
          </w:p>
        </w:tc>
        <w:tc>
          <w:tcPr>
            <w:tcW w:w="13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13,419</w:t>
            </w:r>
          </w:p>
        </w:tc>
      </w:tr>
      <w:tr>
        <w:trPr>
          <w:trHeight w:val="173"/>
        </w:trPr>
        <w:tc>
          <w:tcPr>
            <w:tcW w:w="8280" w:type="dxa"/>
            <w:vAlign w:val="bottom"/>
          </w:tcPr>
          <w:p>
            <w:pPr>
              <w:spacing w:after="0"/>
              <w:rPr>
                <w:sz w:val="15"/>
                <w:szCs w:val="15"/>
                <w:color w:val="auto"/>
              </w:rPr>
            </w:pPr>
          </w:p>
        </w:tc>
        <w:tc>
          <w:tcPr>
            <w:tcW w:w="1720" w:type="dxa"/>
            <w:vAlign w:val="bottom"/>
          </w:tcPr>
          <w:p>
            <w:pPr>
              <w:jc w:val="center"/>
              <w:ind w:left="185"/>
              <w:spacing w:after="0"/>
              <w:rPr>
                <w:sz w:val="20"/>
                <w:szCs w:val="20"/>
                <w:color w:val="auto"/>
              </w:rPr>
            </w:pPr>
            <w:r>
              <w:rPr>
                <w:rFonts w:ascii="Courier New" w:cs="Courier New" w:eastAsia="Courier New" w:hAnsi="Courier New"/>
                <w:sz w:val="15"/>
                <w:szCs w:val="15"/>
                <w:color w:val="auto"/>
                <w:w w:val="99"/>
              </w:rPr>
              <w:t>==============</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8280" w:type="dxa"/>
            <w:vAlign w:val="bottom"/>
          </w:tcPr>
          <w:p>
            <w:pPr>
              <w:ind w:left="80"/>
              <w:spacing w:after="0"/>
              <w:rPr>
                <w:sz w:val="20"/>
                <w:szCs w:val="20"/>
                <w:color w:val="auto"/>
              </w:rPr>
            </w:pPr>
            <w:r>
              <w:rPr>
                <w:rFonts w:ascii="Courier New" w:cs="Courier New" w:eastAsia="Courier New" w:hAnsi="Courier New"/>
                <w:sz w:val="15"/>
                <w:szCs w:val="15"/>
                <w:color w:val="auto"/>
              </w:rPr>
              <w:t>EPS based on average market price</w:t>
            </w:r>
          </w:p>
        </w:tc>
        <w:tc>
          <w:tcPr>
            <w:tcW w:w="17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$0.01</w:t>
            </w:r>
          </w:p>
        </w:tc>
        <w:tc>
          <w:tcPr>
            <w:tcW w:w="13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($0.24)</w:t>
            </w:r>
          </w:p>
        </w:tc>
      </w:tr>
      <w:tr>
        <w:trPr>
          <w:trHeight w:val="520"/>
        </w:trPr>
        <w:tc>
          <w:tcPr>
            <w:tcW w:w="8280" w:type="dxa"/>
            <w:vAlign w:val="bottom"/>
          </w:tcPr>
          <w:p>
            <w:pPr>
              <w:spacing w:after="0"/>
              <w:rPr>
                <w:sz w:val="24"/>
                <w:szCs w:val="24"/>
                <w:color w:val="auto"/>
              </w:rPr>
            </w:pPr>
          </w:p>
        </w:tc>
        <w:tc>
          <w:tcPr>
            <w:tcW w:w="1720" w:type="dxa"/>
            <w:vAlign w:val="bottom"/>
          </w:tcPr>
          <w:p>
            <w:pPr>
              <w:jc w:val="center"/>
              <w:ind w:left="205"/>
              <w:spacing w:after="0"/>
              <w:rPr>
                <w:sz w:val="20"/>
                <w:szCs w:val="20"/>
                <w:color w:val="auto"/>
              </w:rPr>
            </w:pPr>
            <w:r>
              <w:rPr>
                <w:rFonts w:ascii="Courier New" w:cs="Courier New" w:eastAsia="Courier New" w:hAnsi="Courier New"/>
                <w:sz w:val="15"/>
                <w:szCs w:val="15"/>
                <w:color w:val="auto"/>
                <w:w w:val="99"/>
              </w:rPr>
              <w:t>1998</w:t>
            </w:r>
          </w:p>
        </w:tc>
        <w:tc>
          <w:tcPr>
            <w:tcW w:w="13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1997</w:t>
            </w:r>
          </w:p>
        </w:tc>
      </w:tr>
      <w:tr>
        <w:trPr>
          <w:trHeight w:val="173"/>
        </w:trPr>
        <w:tc>
          <w:tcPr>
            <w:tcW w:w="8280" w:type="dxa"/>
            <w:vAlign w:val="bottom"/>
          </w:tcPr>
          <w:p>
            <w:pPr>
              <w:spacing w:after="0"/>
              <w:rPr>
                <w:sz w:val="15"/>
                <w:szCs w:val="15"/>
                <w:color w:val="auto"/>
              </w:rPr>
            </w:pPr>
          </w:p>
        </w:tc>
        <w:tc>
          <w:tcPr>
            <w:tcW w:w="1720" w:type="dxa"/>
            <w:vAlign w:val="bottom"/>
          </w:tcPr>
          <w:p>
            <w:pPr>
              <w:jc w:val="center"/>
              <w:ind w:left="185"/>
              <w:spacing w:after="0"/>
              <w:rPr>
                <w:sz w:val="20"/>
                <w:szCs w:val="20"/>
                <w:color w:val="auto"/>
              </w:rPr>
            </w:pPr>
            <w:r>
              <w:rPr>
                <w:rFonts w:ascii="Courier New" w:cs="Courier New" w:eastAsia="Courier New" w:hAnsi="Courier New"/>
                <w:sz w:val="15"/>
                <w:szCs w:val="15"/>
                <w:color w:val="auto"/>
                <w:w w:val="99"/>
              </w:rPr>
              <w:t>--------------</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8280" w:type="dxa"/>
            <w:vAlign w:val="bottom"/>
          </w:tcPr>
          <w:p>
            <w:pPr>
              <w:spacing w:after="0"/>
              <w:rPr>
                <w:sz w:val="20"/>
                <w:szCs w:val="20"/>
                <w:color w:val="auto"/>
              </w:rPr>
            </w:pPr>
            <w:r>
              <w:rPr>
                <w:rFonts w:ascii="Courier New" w:cs="Courier New" w:eastAsia="Courier New" w:hAnsi="Courier New"/>
                <w:sz w:val="15"/>
                <w:szCs w:val="15"/>
                <w:color w:val="auto"/>
              </w:rPr>
              <w:t>Weighted average number of common shares outstanding</w:t>
            </w:r>
          </w:p>
        </w:tc>
        <w:tc>
          <w:tcPr>
            <w:tcW w:w="1720" w:type="dxa"/>
            <w:vAlign w:val="bottom"/>
          </w:tcPr>
          <w:p>
            <w:pPr>
              <w:jc w:val="center"/>
              <w:ind w:left="185"/>
              <w:spacing w:after="0"/>
              <w:rPr>
                <w:sz w:val="20"/>
                <w:szCs w:val="20"/>
                <w:color w:val="auto"/>
              </w:rPr>
            </w:pPr>
            <w:r>
              <w:rPr>
                <w:rFonts w:ascii="Courier New" w:cs="Courier New" w:eastAsia="Courier New" w:hAnsi="Courier New"/>
                <w:sz w:val="15"/>
                <w:szCs w:val="15"/>
                <w:color w:val="auto"/>
                <w:w w:val="99"/>
              </w:rPr>
              <w:t>14,631</w:t>
            </w:r>
          </w:p>
        </w:tc>
        <w:tc>
          <w:tcPr>
            <w:tcW w:w="13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13,419</w:t>
            </w:r>
          </w:p>
        </w:tc>
      </w:tr>
      <w:tr>
        <w:trPr>
          <w:trHeight w:val="347"/>
        </w:trPr>
        <w:tc>
          <w:tcPr>
            <w:tcW w:w="8280" w:type="dxa"/>
            <w:vAlign w:val="bottom"/>
          </w:tcPr>
          <w:p>
            <w:pPr>
              <w:spacing w:after="0"/>
              <w:rPr>
                <w:sz w:val="20"/>
                <w:szCs w:val="20"/>
                <w:color w:val="auto"/>
              </w:rPr>
            </w:pPr>
            <w:r>
              <w:rPr>
                <w:rFonts w:ascii="Courier New" w:cs="Courier New" w:eastAsia="Courier New" w:hAnsi="Courier New"/>
                <w:sz w:val="15"/>
                <w:szCs w:val="15"/>
                <w:color w:val="auto"/>
              </w:rPr>
              <w:t>Dilutive effect of outstanding common stock options and warrants at average market price</w:t>
            </w:r>
          </w:p>
        </w:tc>
        <w:tc>
          <w:tcPr>
            <w:tcW w:w="17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221</w:t>
            </w:r>
          </w:p>
        </w:tc>
        <w:tc>
          <w:tcPr>
            <w:tcW w:w="136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w:t>
            </w:r>
          </w:p>
        </w:tc>
      </w:tr>
      <w:tr>
        <w:trPr>
          <w:trHeight w:val="173"/>
        </w:trPr>
        <w:tc>
          <w:tcPr>
            <w:tcW w:w="8280" w:type="dxa"/>
            <w:vAlign w:val="bottom"/>
          </w:tcPr>
          <w:p>
            <w:pPr>
              <w:spacing w:after="0"/>
              <w:rPr>
                <w:sz w:val="15"/>
                <w:szCs w:val="15"/>
                <w:color w:val="auto"/>
              </w:rPr>
            </w:pPr>
          </w:p>
        </w:tc>
        <w:tc>
          <w:tcPr>
            <w:tcW w:w="1720" w:type="dxa"/>
            <w:vAlign w:val="bottom"/>
          </w:tcPr>
          <w:p>
            <w:pPr>
              <w:jc w:val="center"/>
              <w:ind w:left="185"/>
              <w:spacing w:after="0"/>
              <w:rPr>
                <w:sz w:val="20"/>
                <w:szCs w:val="20"/>
                <w:color w:val="auto"/>
              </w:rPr>
            </w:pPr>
            <w:r>
              <w:rPr>
                <w:rFonts w:ascii="Courier New" w:cs="Courier New" w:eastAsia="Courier New" w:hAnsi="Courier New"/>
                <w:sz w:val="15"/>
                <w:szCs w:val="15"/>
                <w:color w:val="auto"/>
                <w:w w:val="99"/>
              </w:rPr>
              <w:t>--------------</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8280" w:type="dxa"/>
            <w:vAlign w:val="bottom"/>
          </w:tcPr>
          <w:p>
            <w:pPr>
              <w:spacing w:after="0"/>
              <w:rPr>
                <w:sz w:val="20"/>
                <w:szCs w:val="20"/>
                <w:color w:val="auto"/>
              </w:rPr>
            </w:pPr>
            <w:r>
              <w:rPr>
                <w:rFonts w:ascii="Courier New" w:cs="Courier New" w:eastAsia="Courier New" w:hAnsi="Courier New"/>
                <w:sz w:val="15"/>
                <w:szCs w:val="15"/>
                <w:color w:val="auto"/>
              </w:rPr>
              <w:t>Weighted average shares outstanding based on ending market price</w:t>
            </w:r>
          </w:p>
        </w:tc>
        <w:tc>
          <w:tcPr>
            <w:tcW w:w="1720" w:type="dxa"/>
            <w:vAlign w:val="bottom"/>
          </w:tcPr>
          <w:p>
            <w:pPr>
              <w:jc w:val="center"/>
              <w:ind w:left="185"/>
              <w:spacing w:after="0"/>
              <w:rPr>
                <w:sz w:val="20"/>
                <w:szCs w:val="20"/>
                <w:color w:val="auto"/>
              </w:rPr>
            </w:pPr>
            <w:r>
              <w:rPr>
                <w:rFonts w:ascii="Courier New" w:cs="Courier New" w:eastAsia="Courier New" w:hAnsi="Courier New"/>
                <w:sz w:val="15"/>
                <w:szCs w:val="15"/>
                <w:color w:val="auto"/>
                <w:w w:val="99"/>
              </w:rPr>
              <w:t>14,852</w:t>
            </w:r>
          </w:p>
        </w:tc>
        <w:tc>
          <w:tcPr>
            <w:tcW w:w="13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13,419</w:t>
            </w:r>
          </w:p>
        </w:tc>
      </w:tr>
      <w:tr>
        <w:trPr>
          <w:trHeight w:val="173"/>
        </w:trPr>
        <w:tc>
          <w:tcPr>
            <w:tcW w:w="8280" w:type="dxa"/>
            <w:vAlign w:val="bottom"/>
          </w:tcPr>
          <w:p>
            <w:pPr>
              <w:spacing w:after="0"/>
              <w:rPr>
                <w:sz w:val="15"/>
                <w:szCs w:val="15"/>
                <w:color w:val="auto"/>
              </w:rPr>
            </w:pPr>
          </w:p>
        </w:tc>
        <w:tc>
          <w:tcPr>
            <w:tcW w:w="1720" w:type="dxa"/>
            <w:vAlign w:val="bottom"/>
          </w:tcPr>
          <w:p>
            <w:pPr>
              <w:jc w:val="center"/>
              <w:ind w:left="185"/>
              <w:spacing w:after="0"/>
              <w:rPr>
                <w:sz w:val="20"/>
                <w:szCs w:val="20"/>
                <w:color w:val="auto"/>
              </w:rPr>
            </w:pPr>
            <w:r>
              <w:rPr>
                <w:rFonts w:ascii="Courier New" w:cs="Courier New" w:eastAsia="Courier New" w:hAnsi="Courier New"/>
                <w:sz w:val="15"/>
                <w:szCs w:val="15"/>
                <w:color w:val="auto"/>
                <w:w w:val="99"/>
              </w:rPr>
              <w:t>==============</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8280" w:type="dxa"/>
            <w:vAlign w:val="bottom"/>
          </w:tcPr>
          <w:p>
            <w:pPr>
              <w:spacing w:after="0"/>
              <w:rPr>
                <w:sz w:val="20"/>
                <w:szCs w:val="20"/>
                <w:color w:val="auto"/>
              </w:rPr>
            </w:pPr>
            <w:r>
              <w:rPr>
                <w:rFonts w:ascii="Courier New" w:cs="Courier New" w:eastAsia="Courier New" w:hAnsi="Courier New"/>
                <w:sz w:val="15"/>
                <w:szCs w:val="15"/>
                <w:color w:val="auto"/>
              </w:rPr>
              <w:t>Diluted EPS based on average market price</w:t>
            </w:r>
          </w:p>
        </w:tc>
        <w:tc>
          <w:tcPr>
            <w:tcW w:w="17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$0.01</w:t>
            </w:r>
          </w:p>
        </w:tc>
        <w:tc>
          <w:tcPr>
            <w:tcW w:w="13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($0.24)</w:t>
            </w:r>
          </w:p>
        </w:tc>
      </w:tr>
    </w:tbl>
    <w:p>
      <w:pPr>
        <w:sectPr>
          <w:pgSz w:w="11900" w:h="16838" w:orient="portrait"/>
          <w:cols w:equalWidth="0" w:num="1">
            <w:col w:w="11440"/>
          </w:cols>
          <w:pgMar w:left="240" w:top="141" w:right="219"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5"/>
          <w:szCs w:val="15"/>
          <w:color w:val="auto"/>
        </w:rPr>
        <w:t>5</w:t>
      </w:r>
    </w:p>
    <w:p>
      <w:pPr>
        <w:spacing w:after="0" w:line="350"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3-MOS</w:t>
      </w:r>
    </w:p>
    <w:p>
      <w:pPr>
        <w:spacing w:after="0" w:line="3"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DEC-31-1998</w:t>
      </w:r>
    </w:p>
    <w:p>
      <w:pPr>
        <w:spacing w:after="0" w:line="3"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MAR-31-1998</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1,721</w:t>
      </w:r>
    </w:p>
    <w:p>
      <w:pPr>
        <w:spacing w:after="0" w:line="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0</w:t>
      </w:r>
    </w:p>
    <w:p>
      <w:pPr>
        <w:spacing w:after="0" w:line="3"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68,765</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(736)</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25,771</w:t>
      </w:r>
    </w:p>
    <w:p>
      <w:pPr>
        <w:spacing w:after="0" w:line="3"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113,841</w:t>
      </w:r>
    </w:p>
    <w:p>
      <w:pPr>
        <w:spacing w:after="0" w:line="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140,488</w:t>
      </w:r>
    </w:p>
    <w:p>
      <w:pPr>
        <w:spacing w:after="0" w:line="3" w:lineRule="exact"/>
        <w:rPr>
          <w:sz w:val="20"/>
          <w:szCs w:val="20"/>
          <w:color w:val="auto"/>
        </w:rPr>
      </w:pPr>
    </w:p>
    <w:p>
      <w:pPr>
        <w:jc w:val="right"/>
        <w:ind w:right="6619"/>
        <w:spacing w:after="0"/>
        <w:rPr>
          <w:sz w:val="20"/>
          <w:szCs w:val="20"/>
          <w:color w:val="auto"/>
        </w:rPr>
      </w:pPr>
      <w:r>
        <w:rPr>
          <w:rFonts w:ascii="Courier New" w:cs="Courier New" w:eastAsia="Courier New" w:hAnsi="Courier New"/>
          <w:sz w:val="15"/>
          <w:szCs w:val="15"/>
          <w:color w:val="auto"/>
        </w:rPr>
        <w:t>(45,093)</w:t>
      </w:r>
    </w:p>
    <w:p>
      <w:pPr>
        <w:spacing w:after="0" w:line="3" w:lineRule="exact"/>
        <w:rPr>
          <w:sz w:val="20"/>
          <w:szCs w:val="20"/>
          <w:color w:val="auto"/>
        </w:rPr>
      </w:pPr>
    </w:p>
    <w:p>
      <w:pPr>
        <w:jc w:val="right"/>
        <w:ind w:right="6619"/>
        <w:spacing w:after="0"/>
        <w:rPr>
          <w:sz w:val="20"/>
          <w:szCs w:val="20"/>
          <w:color w:val="auto"/>
        </w:rPr>
      </w:pPr>
      <w:r>
        <w:rPr>
          <w:rFonts w:ascii="Courier New" w:cs="Courier New" w:eastAsia="Courier New" w:hAnsi="Courier New"/>
          <w:sz w:val="15"/>
          <w:szCs w:val="15"/>
          <w:color w:val="auto"/>
        </w:rPr>
        <w:t>245,977</w:t>
      </w:r>
    </w:p>
    <w:p>
      <w:pPr>
        <w:spacing w:after="0" w:line="3"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48,810</w:t>
      </w:r>
    </w:p>
    <w:p>
      <w:pPr>
        <w:spacing w:after="0" w:line="3" w:lineRule="exact"/>
        <w:rPr>
          <w:sz w:val="20"/>
          <w:szCs w:val="20"/>
          <w:color w:val="auto"/>
        </w:rPr>
      </w:pPr>
    </w:p>
    <w:p>
      <w:pPr>
        <w:ind w:left="4060"/>
        <w:spacing w:after="0"/>
        <w:rPr>
          <w:sz w:val="20"/>
          <w:szCs w:val="20"/>
          <w:color w:val="auto"/>
        </w:rPr>
      </w:pPr>
      <w:r>
        <w:rPr>
          <w:rFonts w:ascii="Courier New" w:cs="Courier New" w:eastAsia="Courier New" w:hAnsi="Courier New"/>
          <w:sz w:val="15"/>
          <w:szCs w:val="15"/>
          <w:color w:val="auto"/>
        </w:rPr>
        <w:t>0</w:t>
      </w:r>
    </w:p>
    <w:p>
      <w:pPr>
        <w:spacing w:after="0" w:line="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0</w:t>
      </w:r>
    </w:p>
    <w:p>
      <w:pPr>
        <w:spacing w:after="0" w:line="3"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0</w:t>
      </w:r>
    </w:p>
    <w:p>
      <w:pPr>
        <w:spacing w:after="0" w:line="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105,736</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(1,226)</w:t>
      </w:r>
    </w:p>
    <w:p>
      <w:pPr>
        <w:spacing w:after="0" w:line="3"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245,977</w:t>
      </w:r>
    </w:p>
    <w:p>
      <w:pPr>
        <w:spacing w:after="0" w:line="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63,708</w:t>
      </w:r>
    </w:p>
    <w:p>
      <w:pPr>
        <w:spacing w:after="0" w:line="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63,708</w:t>
      </w:r>
    </w:p>
    <w:p>
      <w:pPr>
        <w:spacing w:after="0" w:line="3" w:lineRule="exact"/>
        <w:rPr>
          <w:sz w:val="20"/>
          <w:szCs w:val="20"/>
          <w:color w:val="auto"/>
        </w:rPr>
      </w:pPr>
    </w:p>
    <w:p>
      <w:pPr>
        <w:jc w:val="right"/>
        <w:ind w:right="5799"/>
        <w:spacing w:after="0"/>
        <w:rPr>
          <w:sz w:val="20"/>
          <w:szCs w:val="20"/>
          <w:color w:val="auto"/>
        </w:rPr>
      </w:pPr>
      <w:r>
        <w:rPr>
          <w:rFonts w:ascii="Courier New" w:cs="Courier New" w:eastAsia="Courier New" w:hAnsi="Courier New"/>
          <w:sz w:val="15"/>
          <w:szCs w:val="15"/>
          <w:color w:val="auto"/>
        </w:rPr>
        <w:t>42,913</w:t>
      </w:r>
    </w:p>
    <w:p>
      <w:pPr>
        <w:spacing w:after="0" w:line="3"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42,913</w:t>
      </w:r>
    </w:p>
    <w:p>
      <w:pPr>
        <w:spacing w:after="0" w:line="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19,125</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0</w:t>
      </w:r>
    </w:p>
    <w:p>
      <w:pPr>
        <w:spacing w:after="0" w:line="3"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(1,417)</w:t>
      </w:r>
    </w:p>
    <w:p>
      <w:pPr>
        <w:spacing w:after="0" w:line="3"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253</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(100)</w:t>
      </w:r>
    </w:p>
    <w:p>
      <w:pPr>
        <w:spacing w:after="0" w:line="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153</w:t>
      </w:r>
    </w:p>
    <w:p>
      <w:pPr>
        <w:spacing w:after="0" w:line="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0</w:t>
      </w:r>
    </w:p>
    <w:p>
      <w:pPr>
        <w:spacing w:after="0" w:line="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0</w:t>
      </w:r>
    </w:p>
    <w:p>
      <w:pPr>
        <w:spacing w:after="0" w:line="3" w:lineRule="exact"/>
        <w:rPr>
          <w:sz w:val="20"/>
          <w:szCs w:val="20"/>
          <w:color w:val="auto"/>
        </w:rPr>
      </w:pPr>
    </w:p>
    <w:p>
      <w:pPr>
        <w:ind w:left="3880"/>
        <w:spacing w:after="0"/>
        <w:rPr>
          <w:sz w:val="20"/>
          <w:szCs w:val="20"/>
          <w:color w:val="auto"/>
        </w:rPr>
      </w:pPr>
      <w:r>
        <w:rPr>
          <w:rFonts w:ascii="Courier New" w:cs="Courier New" w:eastAsia="Courier New" w:hAnsi="Courier New"/>
          <w:sz w:val="15"/>
          <w:szCs w:val="15"/>
          <w:color w:val="auto"/>
        </w:rPr>
        <w:t>0</w:t>
      </w:r>
    </w:p>
    <w:p>
      <w:pPr>
        <w:spacing w:after="0" w:line="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153</w:t>
      </w:r>
    </w:p>
    <w:p>
      <w:pPr>
        <w:spacing w:after="0" w:line="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.01</w:t>
      </w:r>
    </w:p>
    <w:p>
      <w:pPr>
        <w:spacing w:after="0" w:line="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.01</w:t>
      </w:r>
    </w:p>
    <w:sectPr>
      <w:pgSz w:w="11900" w:h="16838" w:orient="portrait"/>
      <w:cols w:equalWidth="0" w:num="1">
        <w:col w:w="10139"/>
      </w:cols>
      <w:pgMar w:left="320" w:top="48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2019-12-13T15:42:49Z</dcterms:created>
  <dcterms:modified xsi:type="dcterms:W3CDTF">2019-12-13T15:42:49Z</dcterms:modified>
</cp:coreProperties>
</file>