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96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HELMBRECHT STEVEN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2111 N MOLTER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ITRON INC /WA/</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ITRI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02/24/2011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Sr. VP &amp; CFO</w:t>
      </w:r>
    </w:p>
    <w:p>
      <w:pPr>
        <w:spacing w:after="0" w:line="33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0" w:type="dxa"/>
            <w:vAlign w:val="bottom"/>
            <w:gridSpan w:val="10"/>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color w:val="0000FF"/>
              </w:rPr>
              <w:t>LIBERTY</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color w:val="0000FF"/>
              </w:rPr>
              <w:t>WA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99019</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8"/>
                <w:szCs w:val="18"/>
                <w:color w:val="0000FF"/>
              </w:rPr>
              <w:t>LAKE</w:t>
            </w:r>
          </w:p>
        </w:tc>
        <w:tc>
          <w:tcPr>
            <w:tcW w:w="6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40" w:type="dxa"/>
            <w:vAlign w:val="bottom"/>
          </w:tcPr>
          <w:p>
            <w:pPr>
              <w:spacing w:after="0"/>
              <w:rPr>
                <w:sz w:val="7"/>
                <w:szCs w:val="7"/>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5"/>
          </w:tcPr>
          <w:p>
            <w:pPr>
              <w:spacing w:after="0"/>
              <w:rPr>
                <w:sz w:val="11"/>
                <w:szCs w:val="11"/>
                <w:color w:val="auto"/>
              </w:rPr>
            </w:pPr>
          </w:p>
        </w:tc>
        <w:tc>
          <w:tcPr>
            <w:tcW w:w="266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7"/>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6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3"/>
          </w:tcPr>
          <w:p>
            <w:pPr>
              <w:ind w:left="880"/>
              <w:spacing w:after="0"/>
              <w:rPr>
                <w:sz w:val="20"/>
                <w:szCs w:val="20"/>
                <w:color w:val="auto"/>
              </w:rPr>
            </w:pPr>
            <w:r>
              <w:rPr>
                <w:rFonts w:ascii="Arial" w:cs="Arial" w:eastAsia="Arial" w:hAnsi="Arial"/>
                <w:sz w:val="18"/>
                <w:szCs w:val="18"/>
                <w:color w:val="0000FF"/>
              </w:rPr>
              <w:t>02/24/2011</w:t>
            </w: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A</w:t>
            </w:r>
          </w:p>
        </w:tc>
        <w:tc>
          <w:tcPr>
            <w:tcW w:w="160" w:type="dxa"/>
            <w:vAlign w:val="bottom"/>
          </w:tcPr>
          <w:p>
            <w:pPr>
              <w:spacing w:after="0"/>
              <w:rPr>
                <w:sz w:val="23"/>
                <w:szCs w:val="23"/>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0000FF"/>
                <w:w w:val="83"/>
              </w:rPr>
              <w:t>13,820</w:t>
            </w:r>
          </w:p>
        </w:tc>
        <w:tc>
          <w:tcPr>
            <w:tcW w:w="640" w:type="dxa"/>
            <w:vAlign w:val="bottom"/>
          </w:tcPr>
          <w:p>
            <w:pPr>
              <w:ind w:left="380"/>
              <w:spacing w:after="0"/>
              <w:rPr>
                <w:sz w:val="20"/>
                <w:szCs w:val="20"/>
                <w:color w:val="auto"/>
              </w:rPr>
            </w:pPr>
            <w:r>
              <w:rPr>
                <w:rFonts w:ascii="Arial" w:cs="Arial" w:eastAsia="Arial" w:hAnsi="Arial"/>
                <w:sz w:val="18"/>
                <w:szCs w:val="18"/>
                <w:color w:val="0000FF"/>
              </w:rPr>
              <w:t>A</w:t>
            </w:r>
          </w:p>
        </w:tc>
        <w:tc>
          <w:tcPr>
            <w:tcW w:w="700" w:type="dxa"/>
            <w:vAlign w:val="bottom"/>
            <w:gridSpan w:val="2"/>
          </w:tcPr>
          <w:p>
            <w:pPr>
              <w:ind w:left="16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61.56</w:t>
            </w:r>
          </w:p>
        </w:tc>
        <w:tc>
          <w:tcPr>
            <w:tcW w:w="1260" w:type="dxa"/>
            <w:vAlign w:val="bottom"/>
            <w:gridSpan w:val="3"/>
          </w:tcPr>
          <w:p>
            <w:pPr>
              <w:jc w:val="right"/>
              <w:ind w:right="319"/>
              <w:spacing w:after="0"/>
              <w:rPr>
                <w:sz w:val="20"/>
                <w:szCs w:val="20"/>
                <w:color w:val="auto"/>
              </w:rPr>
            </w:pPr>
            <w:r>
              <w:rPr>
                <w:rFonts w:ascii="Arial" w:cs="Arial" w:eastAsia="Arial" w:hAnsi="Arial"/>
                <w:sz w:val="18"/>
                <w:szCs w:val="18"/>
                <w:color w:val="0000FF"/>
              </w:rPr>
              <w:t>37,743</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3"/>
          </w:tcPr>
          <w:p>
            <w:pPr>
              <w:ind w:left="880"/>
              <w:spacing w:after="0"/>
              <w:rPr>
                <w:sz w:val="20"/>
                <w:szCs w:val="20"/>
                <w:color w:val="auto"/>
              </w:rPr>
            </w:pPr>
            <w:r>
              <w:rPr>
                <w:rFonts w:ascii="Arial" w:cs="Arial" w:eastAsia="Arial" w:hAnsi="Arial"/>
                <w:sz w:val="18"/>
                <w:szCs w:val="18"/>
                <w:color w:val="0000FF"/>
              </w:rPr>
              <w:t>02/24/2011</w:t>
            </w: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A</w:t>
            </w:r>
          </w:p>
        </w:tc>
        <w:tc>
          <w:tcPr>
            <w:tcW w:w="160" w:type="dxa"/>
            <w:vAlign w:val="bottom"/>
          </w:tcPr>
          <w:p>
            <w:pPr>
              <w:spacing w:after="0"/>
              <w:rPr>
                <w:sz w:val="23"/>
                <w:szCs w:val="23"/>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0000FF"/>
                <w:w w:val="84"/>
              </w:rPr>
              <w:t>3,750</w:t>
            </w:r>
          </w:p>
        </w:tc>
        <w:tc>
          <w:tcPr>
            <w:tcW w:w="20" w:type="dxa"/>
            <w:vAlign w:val="bottom"/>
          </w:tcPr>
          <w:p>
            <w:pPr>
              <w:spacing w:after="0"/>
              <w:rPr>
                <w:sz w:val="23"/>
                <w:szCs w:val="23"/>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0000FF"/>
              </w:rPr>
              <w:t>A</w:t>
            </w:r>
          </w:p>
        </w:tc>
        <w:tc>
          <w:tcPr>
            <w:tcW w:w="700" w:type="dxa"/>
            <w:vAlign w:val="bottom"/>
            <w:gridSpan w:val="2"/>
          </w:tcPr>
          <w:p>
            <w:pPr>
              <w:ind w:left="16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56.65</w:t>
            </w:r>
          </w:p>
        </w:tc>
        <w:tc>
          <w:tcPr>
            <w:tcW w:w="1260" w:type="dxa"/>
            <w:vAlign w:val="bottom"/>
            <w:gridSpan w:val="3"/>
          </w:tcPr>
          <w:p>
            <w:pPr>
              <w:jc w:val="right"/>
              <w:ind w:right="319"/>
              <w:spacing w:after="0"/>
              <w:rPr>
                <w:sz w:val="20"/>
                <w:szCs w:val="20"/>
                <w:color w:val="auto"/>
              </w:rPr>
            </w:pPr>
            <w:r>
              <w:rPr>
                <w:rFonts w:ascii="Arial" w:cs="Arial" w:eastAsia="Arial" w:hAnsi="Arial"/>
                <w:sz w:val="18"/>
                <w:szCs w:val="18"/>
                <w:color w:val="0000FF"/>
              </w:rPr>
              <w:t>41,493</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8"/>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7"/>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80" w:type="dxa"/>
            <w:vAlign w:val="bottom"/>
            <w:gridSpan w:val="14"/>
          </w:tcPr>
          <w:p>
            <w:pPr>
              <w:jc w:val="center"/>
              <w:ind w:left="39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640" w:type="dxa"/>
            <w:vAlign w:val="bottom"/>
          </w:tcPr>
          <w:p>
            <w:pPr>
              <w:ind w:left="240"/>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56.65</w:t>
            </w:r>
          </w:p>
        </w:tc>
        <w:tc>
          <w:tcPr>
            <w:tcW w:w="18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4"/>
                <w:szCs w:val="14"/>
                <w:color w:val="0000FF"/>
              </w:rPr>
              <w:t>02/24/2011</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ind w:left="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17"/>
                <w:szCs w:val="17"/>
                <w:color w:val="auto"/>
              </w:rPr>
            </w:pPr>
          </w:p>
        </w:tc>
        <w:tc>
          <w:tcPr>
            <w:tcW w:w="500" w:type="dxa"/>
            <w:vAlign w:val="bottom"/>
          </w:tcPr>
          <w:p>
            <w:pPr>
              <w:ind w:left="100"/>
              <w:spacing w:after="0"/>
              <w:rPr>
                <w:sz w:val="20"/>
                <w:szCs w:val="20"/>
                <w:color w:val="auto"/>
              </w:rPr>
            </w:pPr>
            <w:r>
              <w:rPr>
                <w:rFonts w:ascii="Arial" w:cs="Arial" w:eastAsia="Arial" w:hAnsi="Arial"/>
                <w:sz w:val="14"/>
                <w:szCs w:val="14"/>
                <w:color w:val="0000FF"/>
              </w:rPr>
              <w:t>8,810</w:t>
            </w:r>
          </w:p>
        </w:tc>
        <w:tc>
          <w:tcPr>
            <w:tcW w:w="32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80" w:type="dxa"/>
            <w:vAlign w:val="bottom"/>
            <w:gridSpan w:val="2"/>
          </w:tcPr>
          <w:p>
            <w:pPr>
              <w:ind w:left="60"/>
              <w:spacing w:after="0"/>
              <w:rPr>
                <w:sz w:val="20"/>
                <w:szCs w:val="20"/>
                <w:color w:val="auto"/>
              </w:rPr>
            </w:pPr>
            <w:r>
              <w:rPr>
                <w:rFonts w:ascii="Arial" w:cs="Arial" w:eastAsia="Arial" w:hAnsi="Arial"/>
                <w:sz w:val="14"/>
                <w:szCs w:val="14"/>
                <w:color w:val="0000FF"/>
                <w:w w:val="99"/>
              </w:rPr>
              <w:t>02/24/2021</w:t>
            </w:r>
          </w:p>
        </w:tc>
        <w:tc>
          <w:tcPr>
            <w:tcW w:w="20" w:type="dxa"/>
            <w:vAlign w:val="bottom"/>
          </w:tcPr>
          <w:p>
            <w:pPr>
              <w:spacing w:after="0"/>
              <w:rPr>
                <w:sz w:val="17"/>
                <w:szCs w:val="17"/>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8,810</w:t>
            </w:r>
          </w:p>
        </w:tc>
        <w:tc>
          <w:tcPr>
            <w:tcW w:w="140" w:type="dxa"/>
            <w:vAlign w:val="bottom"/>
          </w:tcPr>
          <w:p>
            <w:pPr>
              <w:spacing w:after="0"/>
              <w:rPr>
                <w:sz w:val="17"/>
                <w:szCs w:val="17"/>
                <w:color w:val="auto"/>
              </w:rPr>
            </w:pPr>
          </w:p>
        </w:tc>
        <w:tc>
          <w:tcPr>
            <w:tcW w:w="640" w:type="dxa"/>
            <w:vAlign w:val="bottom"/>
            <w:gridSpan w:val="2"/>
          </w:tcPr>
          <w:p>
            <w:pPr>
              <w:jc w:val="right"/>
              <w:ind w:right="178"/>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56.65</w:t>
            </w:r>
          </w:p>
        </w:tc>
        <w:tc>
          <w:tcPr>
            <w:tcW w:w="620" w:type="dxa"/>
            <w:vAlign w:val="bottom"/>
          </w:tcPr>
          <w:p>
            <w:pPr>
              <w:ind w:left="280"/>
              <w:spacing w:after="0"/>
              <w:rPr>
                <w:sz w:val="20"/>
                <w:szCs w:val="20"/>
                <w:color w:val="auto"/>
              </w:rPr>
            </w:pPr>
            <w:r>
              <w:rPr>
                <w:rFonts w:ascii="Arial" w:cs="Arial" w:eastAsia="Arial" w:hAnsi="Arial"/>
                <w:sz w:val="14"/>
                <w:szCs w:val="14"/>
                <w:color w:val="0000FF"/>
                <w:w w:val="91"/>
              </w:rPr>
              <w:t>8,810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ind w:left="10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33 1/3% of the option is exercisable on each of February 24, 2012, February 24, 2013, and February 24, 2014.</w:t>
      </w:r>
    </w:p>
    <w:p>
      <w:pPr>
        <w:ind w:left="6860"/>
        <w:spacing w:after="0" w:line="184" w:lineRule="auto"/>
        <w:rPr>
          <w:sz w:val="20"/>
          <w:szCs w:val="20"/>
          <w:color w:val="auto"/>
        </w:rPr>
      </w:pPr>
      <w:r>
        <w:rPr>
          <w:rFonts w:ascii="Arial" w:cs="Arial" w:eastAsia="Arial" w:hAnsi="Arial"/>
          <w:sz w:val="17"/>
          <w:szCs w:val="17"/>
          <w:color w:val="0000FF"/>
        </w:rPr>
        <w:t xml:space="preserve">Carol C. Cameron, attorney-in- </w:t>
      </w:r>
      <w:r>
        <w:rPr>
          <w:rFonts w:ascii="Arial" w:cs="Arial" w:eastAsia="Arial" w:hAnsi="Arial"/>
          <w:sz w:val="34"/>
          <w:szCs w:val="34"/>
          <w:color w:val="0000FF"/>
          <w:vertAlign w:val="subscript"/>
        </w:rPr>
        <w:t>02/28/2011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6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63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Mr. Helmbrecht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64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648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4" w:lineRule="exact"/>
        <w:rPr>
          <w:sz w:val="20"/>
          <w:szCs w:val="20"/>
          <w:color w:val="auto"/>
        </w:rPr>
      </w:pPr>
    </w:p>
    <w:p>
      <w:pPr>
        <w:jc w:val="both"/>
        <w:ind w:right="325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MariLyn R. Hill and Carol C. Cameron, signing singly, the undersigned's true and lawful attorney-in-fact to:</w:t>
      </w:r>
    </w:p>
    <w:p>
      <w:pPr>
        <w:spacing w:after="0" w:line="1" w:lineRule="exact"/>
        <w:rPr>
          <w:sz w:val="20"/>
          <w:szCs w:val="20"/>
          <w:color w:val="auto"/>
        </w:rPr>
      </w:pPr>
    </w:p>
    <w:p>
      <w:pPr>
        <w:ind w:right="2939"/>
        <w:spacing w:after="0" w:line="268" w:lineRule="auto"/>
        <w:rPr>
          <w:sz w:val="20"/>
          <w:szCs w:val="20"/>
          <w:color w:val="auto"/>
        </w:rPr>
      </w:pPr>
      <w:r>
        <w:rPr>
          <w:rFonts w:ascii="Courier New" w:cs="Courier New" w:eastAsia="Courier New" w:hAnsi="Courier New"/>
          <w:sz w:val="16"/>
          <w:szCs w:val="16"/>
          <w:color w:val="auto"/>
        </w:rPr>
        <w:t>(1)execute for and on behalf of the undersigned, in the undersigned's capacity as an officer and/or director of Itron, Inc., a Washington corporation (the "Company"), Forms 3, 4 and 5 (including amendments thereto) in accordance with Section 16(a) of the Securities Exchange Act of 1934 and the rules and regulations thereunder and a Form ID, Uniform Application for Access Codes to File on Edgar;</w:t>
      </w:r>
    </w:p>
    <w:p>
      <w:pPr>
        <w:spacing w:after="0" w:line="1" w:lineRule="exact"/>
        <w:rPr>
          <w:sz w:val="20"/>
          <w:szCs w:val="20"/>
          <w:color w:val="auto"/>
        </w:rPr>
      </w:pPr>
    </w:p>
    <w:p>
      <w:pPr>
        <w:ind w:right="2619"/>
        <w:spacing w:after="0" w:line="269" w:lineRule="auto"/>
        <w:rPr>
          <w:sz w:val="20"/>
          <w:szCs w:val="20"/>
          <w:color w:val="auto"/>
        </w:rPr>
      </w:pPr>
      <w:r>
        <w:rPr>
          <w:rFonts w:ascii="Courier New" w:cs="Courier New" w:eastAsia="Courier New" w:hAnsi="Courier New"/>
          <w:sz w:val="16"/>
          <w:szCs w:val="16"/>
          <w:color w:val="auto"/>
        </w:rPr>
        <w:t>(2)do and perform any and all acts for and on behalf of the undersigned which may be necessary or desirable to complete and execute any such Forms 3, 4 or 5 or Form ID and timely file such forms (including amendments thereto) and application with the United States Securities and Exchange Commission and any stock exchange or similar authority; and (3)take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0" w:lineRule="exact"/>
        <w:rPr>
          <w:sz w:val="20"/>
          <w:szCs w:val="20"/>
          <w:color w:val="auto"/>
        </w:rPr>
      </w:pPr>
    </w:p>
    <w:p>
      <w:pPr>
        <w:spacing w:after="0" w:line="395" w:lineRule="exact"/>
        <w:rPr>
          <w:sz w:val="20"/>
          <w:szCs w:val="20"/>
          <w:color w:val="auto"/>
        </w:rPr>
      </w:pPr>
    </w:p>
    <w:p>
      <w:pPr>
        <w:ind w:right="2519"/>
        <w:spacing w:after="0" w:line="270" w:lineRule="auto"/>
        <w:rPr>
          <w:sz w:val="20"/>
          <w:szCs w:val="20"/>
          <w:color w:val="auto"/>
        </w:rPr>
      </w:pPr>
      <w:r>
        <w:rPr>
          <w:rFonts w:ascii="Courier New" w:cs="Courier New" w:eastAsia="Courier New" w:hAnsi="Courier New"/>
          <w:sz w:val="16"/>
          <w:szCs w:val="16"/>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or Form ID and agrees to reimburse the Company and such attorney-in-fact for any legal or other expenses reasonably incurred</w:t>
      </w:r>
    </w:p>
    <w:p>
      <w:pPr>
        <w:spacing w:after="0" w:line="189"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in connection with investigating or defending against any such loss, claim, damage, liability or action.</w:t>
      </w:r>
    </w:p>
    <w:p>
      <w:pPr>
        <w:spacing w:after="0" w:line="6"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This Power of Attorney supersedes any power of attorney previously executed by the undersigned regarding the purposes outlined in the first paragraph hereof ("Prior Powers of Attorney"), and the authority of the attorneys-in-fact named in any Prior Powers of Attorney is hereby revoked. This Power of Attorney shall remain in full force and effect until the undersigned is no longer required to file Forms 3, 4 or 5 with respect</w:t>
      </w:r>
    </w:p>
    <w:p>
      <w:pPr>
        <w:spacing w:after="0" w:line="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to the undersigned's holdings of and transactions in securities issued by the Company, unless earlier (a) revoked by the undersigned in a signed writing delivered to the foregoing attorneys-in-fact or(b) superseded by a new power of attorney regarding the purposes outlined in the first paragraph hereof dated as of a later date.</w:t>
      </w:r>
    </w:p>
    <w:p>
      <w:pPr>
        <w:spacing w:after="0" w:line="6"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23rd day of February, 2011.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Steven M. Helmbrecht</w:t>
      </w:r>
    </w:p>
    <w:p>
      <w:pPr>
        <w:spacing w:after="0" w:line="238" w:lineRule="auto"/>
        <w:rPr>
          <w:sz w:val="20"/>
          <w:szCs w:val="20"/>
          <w:color w:val="auto"/>
        </w:rPr>
      </w:pPr>
      <w:r>
        <w:rPr>
          <w:rFonts w:ascii="Courier New" w:cs="Courier New" w:eastAsia="Courier New" w:hAnsi="Courier New"/>
          <w:sz w:val="18"/>
          <w:szCs w:val="18"/>
          <w:color w:val="auto"/>
        </w:rPr>
        <w:t>Steven M. Helmbrecht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9881" TargetMode="External"/><Relationship Id="rId13" Type="http://schemas.openxmlformats.org/officeDocument/2006/relationships/hyperlink" Target="http://www.sec.gov/cgi-bin/browse-edgar?action=getcompany&amp;CIK=00007805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2019-12-17T00:41:31Z</dcterms:created>
  <dcterms:modified xsi:type="dcterms:W3CDTF">2019-12-17T00:41:31Z</dcterms:modified>
</cp:coreProperties>
</file>