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172" w:lineRule="exact"/>
        <w:rPr>
          <w:sz w:val="24"/>
          <w:szCs w:val="24"/>
          <w:color w:val="auto"/>
        </w:rPr>
      </w:pPr>
    </w:p>
    <w:p>
      <w:pPr>
        <w:ind w:left="4140" w:right="1719" w:hanging="4132"/>
        <w:spacing w:after="0" w:line="426" w:lineRule="auto"/>
        <w:tabs>
          <w:tab w:leader="none" w:pos="4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15(d) OF THE SECURITIES EXCHANGE ACT OF 1934 </w:t>
      </w:r>
      <w:r>
        <w:rPr>
          <w:rFonts w:ascii="Arial" w:cs="Arial" w:eastAsia="Arial" w:hAnsi="Arial"/>
          <w:sz w:val="18"/>
          <w:szCs w:val="18"/>
          <w:color w:val="auto"/>
        </w:rPr>
        <w:t>For the fiscal year ended December 31, 2004</w:t>
      </w: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1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15(d) OF THE SECURITIES EXCHANGE ACT OF 1934</w:t>
      </w:r>
    </w:p>
    <w:p>
      <w:pPr>
        <w:spacing w:after="0" w:line="187"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3676015</wp:posOffset>
            </wp:positionH>
            <wp:positionV relativeFrom="paragraph">
              <wp:posOffset>-13970</wp:posOffset>
            </wp:positionV>
            <wp:extent cx="1257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38"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0-22418</w:t>
      </w:r>
    </w:p>
    <w:p>
      <w:pPr>
        <w:spacing w:after="0" w:line="15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(Full title of the plan and address of the plan, if different from that of the issuer named below)</w:t>
      </w:r>
    </w:p>
    <w:p>
      <w:pPr>
        <w:spacing w:after="0" w:line="95"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ITRON, INC.</w:t>
      </w:r>
    </w:p>
    <w:p>
      <w:pPr>
        <w:spacing w:after="0" w:line="18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2818 North Sullivan Road</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Spokane, Washington 99216-1897</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ind w:left="2660"/>
        <w:spacing w:after="0"/>
        <w:rPr>
          <w:sz w:val="20"/>
          <w:szCs w:val="20"/>
          <w:color w:val="auto"/>
        </w:rPr>
      </w:pPr>
      <w:r>
        <w:rPr>
          <w:rFonts w:ascii="Arial" w:cs="Arial" w:eastAsia="Arial" w:hAnsi="Arial"/>
          <w:sz w:val="12"/>
          <w:szCs w:val="12"/>
          <w:b w:val="1"/>
          <w:bCs w:val="1"/>
          <w:color w:val="auto"/>
        </w:rPr>
        <w:t>(Name of issuer of the securities held pursuant to the plan 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19"/>
          </w:cols>
          <w:pgMar w:left="24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ITRON, INC. INCENTIVE SAVINGS PLAN</w:t>
      </w:r>
    </w:p>
    <w:p>
      <w:pPr>
        <w:spacing w:after="0" w:line="158" w:lineRule="exact"/>
        <w:rPr>
          <w:sz w:val="20"/>
          <w:szCs w:val="20"/>
          <w:color w:val="auto"/>
        </w:rPr>
      </w:pPr>
    </w:p>
    <w:p>
      <w:pPr>
        <w:jc w:val="right"/>
        <w:ind w:right="14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FINANCIAL STATEMENTS AND SUPPLEMENTAL SCHEDULES</w:t>
      </w:r>
    </w:p>
    <w:p>
      <w:pPr>
        <w:spacing w:after="0" w:line="14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DECEMBER 31, 2004 AND 2003</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560" w:type="dxa"/>
            <w:vAlign w:val="bottom"/>
            <w:gridSpan w:val="2"/>
          </w:tcPr>
          <w:p>
            <w:pPr>
              <w:ind w:left="42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r>
      <w:tr>
        <w:trPr>
          <w:trHeight w:val="326"/>
        </w:trPr>
        <w:tc>
          <w:tcPr>
            <w:tcW w:w="892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1"/>
        </w:trPr>
        <w:tc>
          <w:tcPr>
            <w:tcW w:w="566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FINANCIAL STATEMENTS</w:t>
            </w:r>
          </w:p>
        </w:tc>
        <w:tc>
          <w:tcPr>
            <w:tcW w:w="32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31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Statement of net assets available for benefits</w:t>
              </w:r>
            </w:hyperlink>
          </w:p>
        </w:tc>
        <w:tc>
          <w:tcPr>
            <w:tcW w:w="5340" w:type="dxa"/>
            <w:vAlign w:val="bottom"/>
            <w:gridSpan w:val="4"/>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440" w:type="dxa"/>
            <w:vAlign w:val="bottom"/>
          </w:tcPr>
          <w:p>
            <w:pPr>
              <w:spacing w:after="0"/>
              <w:rPr>
                <w:sz w:val="24"/>
                <w:szCs w:val="24"/>
                <w:color w:val="auto"/>
              </w:rPr>
            </w:pPr>
          </w:p>
        </w:tc>
        <w:tc>
          <w:tcPr>
            <w:tcW w:w="848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204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financial statements</w:t>
              </w:r>
            </w:hyperlink>
          </w:p>
        </w:tc>
        <w:tc>
          <w:tcPr>
            <w:tcW w:w="1880" w:type="dxa"/>
            <w:vAlign w:val="bottom"/>
            <w:tcBorders>
              <w:top w:val="single" w:sz="8" w:color="0000EE"/>
            </w:tcBorders>
            <w:gridSpan w:val="5"/>
          </w:tcPr>
          <w:p>
            <w:pPr>
              <w:spacing w:after="0"/>
              <w:rPr>
                <w:sz w:val="24"/>
                <w:szCs w:val="24"/>
                <w:color w:val="auto"/>
              </w:rPr>
            </w:pPr>
          </w:p>
        </w:tc>
        <w:tc>
          <w:tcPr>
            <w:tcW w:w="4560" w:type="dxa"/>
            <w:vAlign w:val="bottom"/>
            <w:gridSpan w:val="2"/>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51"/>
        </w:trPr>
        <w:tc>
          <w:tcPr>
            <w:tcW w:w="8920" w:type="dxa"/>
            <w:vAlign w:val="bottom"/>
            <w:gridSpan w:val="9"/>
          </w:tcPr>
          <w:p>
            <w:pPr>
              <w:spacing w:after="0"/>
              <w:rPr>
                <w:sz w:val="20"/>
                <w:szCs w:val="20"/>
                <w:color w:val="auto"/>
              </w:rPr>
            </w:pPr>
            <w:r>
              <w:rPr>
                <w:rFonts w:ascii="Arial" w:cs="Arial" w:eastAsia="Arial" w:hAnsi="Arial"/>
                <w:sz w:val="18"/>
                <w:szCs w:val="18"/>
                <w:color w:val="auto"/>
              </w:rPr>
              <w:t>SUPPLEMENTAL SCHEDULES</w:t>
            </w:r>
          </w:p>
        </w:tc>
        <w:tc>
          <w:tcPr>
            <w:tcW w:w="250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8480" w:type="dxa"/>
            <w:vAlign w:val="bottom"/>
            <w:gridSpan w:val="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Schedule of delinquent participant contributions</w:t>
              </w:r>
            </w:hyperlink>
          </w:p>
        </w:tc>
        <w:tc>
          <w:tcPr>
            <w:tcW w:w="2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440" w:type="dxa"/>
            <w:vAlign w:val="bottom"/>
          </w:tcPr>
          <w:p>
            <w:pPr>
              <w:spacing w:after="0"/>
              <w:rPr>
                <w:sz w:val="24"/>
                <w:szCs w:val="24"/>
                <w:color w:val="auto"/>
              </w:rPr>
            </w:pPr>
          </w:p>
        </w:tc>
        <w:tc>
          <w:tcPr>
            <w:tcW w:w="2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6"/>
              </w:rPr>
            </w:pPr>
            <w:hyperlink w:anchor="page14">
              <w:r>
                <w:rPr>
                  <w:rFonts w:ascii="Arial" w:cs="Arial" w:eastAsia="Arial" w:hAnsi="Arial"/>
                  <w:sz w:val="18"/>
                  <w:szCs w:val="18"/>
                  <w:color w:val="0000EE"/>
                  <w:w w:val="86"/>
                </w:rPr>
                <w:t>Schedule of assets (held at end of year)</w:t>
              </w:r>
            </w:hyperlink>
          </w:p>
        </w:tc>
        <w:tc>
          <w:tcPr>
            <w:tcW w:w="620" w:type="dxa"/>
            <w:vAlign w:val="bottom"/>
            <w:tcBorders>
              <w:top w:val="single" w:sz="8" w:color="0000EE"/>
            </w:tcBorders>
            <w:gridSpan w:val="2"/>
          </w:tcPr>
          <w:p>
            <w:pPr>
              <w:spacing w:after="0"/>
              <w:rPr>
                <w:sz w:val="24"/>
                <w:szCs w:val="24"/>
                <w:color w:val="auto"/>
              </w:rPr>
            </w:pPr>
          </w:p>
        </w:tc>
        <w:tc>
          <w:tcPr>
            <w:tcW w:w="5100" w:type="dxa"/>
            <w:vAlign w:val="bottom"/>
            <w:gridSpan w:val="3"/>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440" w:type="dxa"/>
            <w:vAlign w:val="bottom"/>
          </w:tcPr>
          <w:p>
            <w:pPr>
              <w:spacing w:after="0"/>
              <w:rPr>
                <w:sz w:val="24"/>
                <w:szCs w:val="24"/>
                <w:color w:val="auto"/>
              </w:rPr>
            </w:pPr>
          </w:p>
        </w:tc>
        <w:tc>
          <w:tcPr>
            <w:tcW w:w="248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5">
              <w:r>
                <w:rPr>
                  <w:rFonts w:ascii="Arial" w:cs="Arial" w:eastAsia="Arial" w:hAnsi="Arial"/>
                  <w:sz w:val="18"/>
                  <w:szCs w:val="18"/>
                  <w:color w:val="0000EE"/>
                  <w:w w:val="86"/>
                </w:rPr>
                <w:t>Schedule of reportable transactions</w:t>
              </w:r>
            </w:hyperlink>
          </w:p>
        </w:tc>
        <w:tc>
          <w:tcPr>
            <w:tcW w:w="6000" w:type="dxa"/>
            <w:vAlign w:val="bottom"/>
            <w:gridSpan w:val="6"/>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Advisory Committee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Itron, Inc. Incentive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audited the accompanying statement of net assets available for benefits of Itron, Inc. Incentive Savings Plan as of December 31, 2004 and 2003, and the related statement of changes in net assets available for benefits for the year ended December 31, 2004. These financial statements are the responsibility of the Plan’s management. Our responsibility is to express an opinion on these financial statements based on our audits.</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Itron, Inc. Incentive Savings Plan as of December 31, 2004 and 2003, and the changes in net assets available for benefits for the year ended December 31, 2004, in conformity with accounting principles generally accepted in the United States of America.</w:t>
      </w:r>
    </w:p>
    <w:p>
      <w:pPr>
        <w:spacing w:after="0" w:line="1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of delinquent participant contributions, the schedule of assets held at end of year and the schedule of reportable transactions are presented for purposes of additional analysis, and are not a required part of the basic financial statements but are supplementary information required by the Department of Labor’s Rules and Regulations for Reporting and Disclosure under the Employee Retirement Income Security Act of 1974. The supplemental schedules have been subjected to the auditing procedures applied in the audit of the basic financial statements and, in our opinion, are fairly stated in all material respects in relation to the basic financial statements taken as a whole.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5, 2005</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NET ASSETS AVAILABLE FOR BENEFITS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340" w:type="dxa"/>
            <w:vAlign w:val="bottom"/>
          </w:tcPr>
          <w:p>
            <w:pPr>
              <w:spacing w:after="0"/>
              <w:rPr>
                <w:sz w:val="15"/>
                <w:szCs w:val="15"/>
                <w:color w:val="auto"/>
              </w:rPr>
            </w:pPr>
          </w:p>
        </w:tc>
        <w:tc>
          <w:tcPr>
            <w:tcW w:w="20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340" w:type="dxa"/>
            <w:vAlign w:val="bottom"/>
          </w:tcPr>
          <w:p>
            <w:pPr>
              <w:spacing w:after="0"/>
              <w:rPr>
                <w:sz w:val="22"/>
                <w:szCs w:val="22"/>
                <w:color w:val="auto"/>
              </w:rPr>
            </w:pPr>
          </w:p>
        </w:tc>
        <w:tc>
          <w:tcPr>
            <w:tcW w:w="9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2004</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fair market value</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Registered investment company funds</w:t>
            </w:r>
          </w:p>
        </w:tc>
        <w:tc>
          <w:tcPr>
            <w:tcW w:w="920" w:type="dxa"/>
            <w:vAlign w:val="bottom"/>
          </w:tcPr>
          <w:p>
            <w:pPr>
              <w:jc w:val="right"/>
              <w:spacing w:after="0"/>
              <w:rPr>
                <w:sz w:val="20"/>
                <w:szCs w:val="20"/>
                <w:color w:val="auto"/>
              </w:rPr>
            </w:pPr>
            <w:r>
              <w:rPr>
                <w:rFonts w:ascii="Arial" w:cs="Arial" w:eastAsia="Arial" w:hAnsi="Arial"/>
                <w:sz w:val="18"/>
                <w:szCs w:val="18"/>
                <w:color w:val="auto"/>
                <w:w w:val="85"/>
              </w:rPr>
              <w:t>$ 33,066,250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$ 18,030,952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Common/collective trust funds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11,331,643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16,578,499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Pooled separate accounts</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10,836,917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8,186,249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Company stock fund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6,301,552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5,820,285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Individually directed accounts</w:t>
            </w:r>
          </w:p>
        </w:tc>
        <w:tc>
          <w:tcPr>
            <w:tcW w:w="920" w:type="dxa"/>
            <w:vAlign w:val="bottom"/>
          </w:tcPr>
          <w:p>
            <w:pPr>
              <w:jc w:val="right"/>
              <w:spacing w:after="0"/>
              <w:rPr>
                <w:sz w:val="20"/>
                <w:szCs w:val="20"/>
                <w:color w:val="auto"/>
              </w:rPr>
            </w:pPr>
            <w:r>
              <w:rPr>
                <w:rFonts w:ascii="Arial" w:cs="Arial" w:eastAsia="Arial" w:hAnsi="Arial"/>
                <w:sz w:val="18"/>
                <w:szCs w:val="18"/>
                <w:color w:val="auto"/>
              </w:rPr>
              <w:t>471,102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384,508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885,944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investments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62,869,237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49,886,437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Receivables: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Participants’ contributions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Employer contribution</w:t>
            </w:r>
          </w:p>
        </w:tc>
        <w:tc>
          <w:tcPr>
            <w:tcW w:w="920" w:type="dxa"/>
            <w:vAlign w:val="bottom"/>
          </w:tcPr>
          <w:p>
            <w:pPr>
              <w:jc w:val="right"/>
              <w:spacing w:after="0"/>
              <w:rPr>
                <w:sz w:val="20"/>
                <w:szCs w:val="20"/>
                <w:color w:val="auto"/>
              </w:rPr>
            </w:pPr>
            <w:r>
              <w:rPr>
                <w:rFonts w:ascii="Arial" w:cs="Arial" w:eastAsia="Arial" w:hAnsi="Arial"/>
                <w:sz w:val="18"/>
                <w:szCs w:val="18"/>
                <w:color w:val="auto"/>
              </w:rPr>
              <w:t>530,286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382,578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ASSETS AVAILABLE FOR BENEFITS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$ 63,460,389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$ 50,466,367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w w:val="89"/>
              </w:rPr>
              <w:t>Year Ended 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 TO NET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Investment income: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appreciation (depreciation) in fair value of investments: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1720"/>
              <w:spacing w:after="0"/>
              <w:rPr>
                <w:sz w:val="20"/>
                <w:szCs w:val="20"/>
                <w:color w:val="auto"/>
              </w:rPr>
            </w:pPr>
            <w:r>
              <w:rPr>
                <w:rFonts w:ascii="Arial" w:cs="Arial" w:eastAsia="Arial" w:hAnsi="Arial"/>
                <w:sz w:val="18"/>
                <w:szCs w:val="18"/>
                <w:color w:val="auto"/>
              </w:rPr>
              <w:t>Registered investment company funds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2,793,709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Common/collective trust funds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1720"/>
              <w:spacing w:after="0"/>
              <w:rPr>
                <w:sz w:val="20"/>
                <w:szCs w:val="20"/>
                <w:color w:val="auto"/>
              </w:rPr>
            </w:pPr>
            <w:r>
              <w:rPr>
                <w:rFonts w:ascii="Arial" w:cs="Arial" w:eastAsia="Arial" w:hAnsi="Arial"/>
                <w:sz w:val="18"/>
                <w:szCs w:val="18"/>
                <w:color w:val="auto"/>
              </w:rPr>
              <w:t>Company stock fund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1,600,253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Individually directed accounts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5,701,547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40" w:type="dxa"/>
            <w:vAlign w:val="bottom"/>
          </w:tcPr>
          <w:p>
            <w:pPr>
              <w:ind w:left="860"/>
              <w:spacing w:after="0"/>
              <w:rPr>
                <w:sz w:val="20"/>
                <w:szCs w:val="20"/>
                <w:color w:val="auto"/>
              </w:rPr>
            </w:pPr>
            <w:r>
              <w:rPr>
                <w:rFonts w:ascii="Arial" w:cs="Arial" w:eastAsia="Arial" w:hAnsi="Arial"/>
                <w:sz w:val="18"/>
                <w:szCs w:val="18"/>
                <w:color w:val="auto"/>
              </w:rPr>
              <w:t>Interest and dividends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1,529,620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860"/>
              <w:spacing w:after="0"/>
              <w:rPr>
                <w:sz w:val="20"/>
                <w:szCs w:val="20"/>
                <w:color w:val="auto"/>
              </w:rPr>
            </w:pPr>
            <w:r>
              <w:rPr>
                <w:rFonts w:ascii="Arial" w:cs="Arial" w:eastAsia="Arial" w:hAnsi="Arial"/>
                <w:sz w:val="18"/>
                <w:szCs w:val="18"/>
                <w:color w:val="auto"/>
              </w:rPr>
              <w:t>Participants’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5,968,722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Employer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40" w:type="dxa"/>
            <w:vAlign w:val="bottom"/>
          </w:tcPr>
          <w:p>
            <w:pPr>
              <w:ind w:left="860"/>
              <w:spacing w:after="0"/>
              <w:rPr>
                <w:sz w:val="20"/>
                <w:szCs w:val="20"/>
                <w:color w:val="auto"/>
              </w:rPr>
            </w:pPr>
            <w:r>
              <w:rPr>
                <w:rFonts w:ascii="Arial" w:cs="Arial" w:eastAsia="Arial" w:hAnsi="Arial"/>
                <w:sz w:val="18"/>
                <w:szCs w:val="18"/>
                <w:color w:val="auto"/>
              </w:rPr>
              <w:t>Rollovers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875,324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8,733,445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additions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15,964,612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DEDUCTIONS FROM NET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420"/>
              <w:spacing w:after="0"/>
              <w:rPr>
                <w:sz w:val="20"/>
                <w:szCs w:val="20"/>
                <w:color w:val="auto"/>
              </w:rPr>
            </w:pPr>
            <w:r>
              <w:rPr>
                <w:rFonts w:ascii="Arial" w:cs="Arial" w:eastAsia="Arial" w:hAnsi="Arial"/>
                <w:sz w:val="18"/>
                <w:szCs w:val="18"/>
                <w:color w:val="auto"/>
              </w:rPr>
              <w:t>Benefits paid to participants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2,967,250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deductions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INCREASE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12,994,022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b w:val="1"/>
                <w:bCs w:val="1"/>
                <w:color w:val="auto"/>
              </w:rPr>
              <w:t>NET ASSETS AVAILABLE FOR BENEFITS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year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50,466,367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year</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63,460,389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the Plan and Basis of Presentation</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Itron, Inc. (the Company or Employer) established Itron, Inc. Incentive Savings Plan (the Plan) effective as of March 1, 1985 (amended and restated August 1, 2004). The Plan is subject to the applicable provisions of the Employee Retirement Income Security Act of 1974 (ERISA) as amended. The Plan is administered by an internal Advisory Committee and is participant directed. The trustee of the Plan is New York Life Benefit Services LLC. Participants should refer to the Plan agreement for a more complete description of the Plan’s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Full-time and part-time employees of the Company shall become a participant under the Plan as soon as administratively possible following the employee’s employment date.</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employee qualifies to receive Employer match contributions if employed on the last day of the period for which the Employer contribution is made to the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7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Each year, participants may contribute up to 50% of pretax annual compensation, as defined in the Plan. Participants may also contribute amounts representing distributions from other qualified defined benefit or contribution plans. Participants direct the investment of their contributions into various investment options offered by the Plan. The Company may contribute (in cash or Company securities) to the Plan, on behalf of each employee eligible, a discretionary matching contribution equal to a percentage (as determined by the Company’s Board of Directors) of the elective deferrals made by each such employee. The Company’s Board of Directors may also determine to suspend or reduce its contribution for any Plan year or any portion thereof. In 2004, the Company matched 50% of participant contributions up to 6% of the participants’ pretax annual compensation, as defined in the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 accounts:</w:t>
      </w:r>
    </w:p>
    <w:p>
      <w:pPr>
        <w:spacing w:after="0" w:line="7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Each participant’s account is credited with the participant’s contribution and allocations of (a) the Company’s contribution and (b) Plan earnings (losses) and charged with an allocation of administrative expenses. Allocations are based on participant earnings or account balances, as defined. The benefit to which a participant is entitled is the benefit that can be provided from the participant’s vested amount.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w:t>
      </w:r>
    </w:p>
    <w:p>
      <w:pPr>
        <w:spacing w:after="0" w:line="7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Participants are immediately vested in their voluntary contributions plus actual earnings thereon. Vesting in the Company’s contribution portion of their accounts plus actual earnings thereon is based on years of continuous service. A participant is 100% vested after five years of credited service.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the Plan and Basis of Presentation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 loans:</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Participants may borrow from their fund accounts a minimum of $1,000 up to a maximum of $50,000 or 50% of their vested account balance, whichever is less. The loans are secured by the balance in the participant’s account and bear interest at rates determined by the Administrative Committee based on the yield rates of appropriate U.S. Treasury securities. Principal and interest is paid ratably through bi-weekly payroll deductions.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benefits: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Benefits will be paid to participants when they reach normal retirement age (age 59 ½ or later), terminate service with the Employer, death, disability or hardship. Distributions are made in lump-sum payments, or in periodic installments over a period not exceeding 20 years, if the participant’s vested account exceeds $5,000. A single payment distribution may also be made in the form of whole shares of Employer stock to the extent the participant’s account is invested in Employer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Forfeitures:</w:t>
      </w:r>
    </w:p>
    <w:p>
      <w:pPr>
        <w:spacing w:after="0" w:line="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Plan may treat forfeitures as a reduction of Employer contributions for the Plan year in which the forfeiture occurs or pay Plan expenses. Forfeitures used in the Plan year ended December 31, 2004 and 2003, amounted to $90,220 and $49,240, respectively. Unallocated forfeitures were $53,821 and $23,800 as of December 31, 2004 and 2003,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Hardship withdrawals: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Hardship withdrawals are permitted by the Plan in accordance with Internal Revenue Code Section 401(k).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and administrative expenses:</w:t>
      </w:r>
    </w:p>
    <w:p>
      <w:pPr>
        <w:spacing w:after="0" w:line="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Plan pays investment management fees. Expenses for administration of the Plan (recordkeeping, trustee services and consulting services) are paid directly by the Company at its election.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termination:</w:t>
      </w:r>
    </w:p>
    <w:p>
      <w:pPr>
        <w:spacing w:after="0" w:line="77" w:lineRule="exact"/>
        <w:rPr>
          <w:sz w:val="20"/>
          <w:szCs w:val="20"/>
          <w:color w:val="auto"/>
        </w:rPr>
      </w:pPr>
    </w:p>
    <w:p>
      <w:pPr>
        <w:jc w:val="both"/>
        <w:ind w:right="500"/>
        <w:spacing w:after="0" w:line="370" w:lineRule="auto"/>
        <w:rPr>
          <w:sz w:val="20"/>
          <w:szCs w:val="20"/>
          <w:color w:val="auto"/>
        </w:rPr>
      </w:pPr>
      <w:r>
        <w:rPr>
          <w:rFonts w:ascii="Arial" w:cs="Arial" w:eastAsia="Arial" w:hAnsi="Arial"/>
          <w:sz w:val="15"/>
          <w:szCs w:val="15"/>
          <w:color w:val="auto"/>
        </w:rPr>
        <w:t>Although it has not expressed any intent to do so, the Employer, by resolution of its Board of Directors, reserves the right to terminate the Plan at any time, subject to Plan provisions. Upon such termination of the Plan, the interest of each participant in the trust fund shall become fully vested and nonforfeitable.</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Plan’s investments are held by New York Life Benefit Services LLC and recorded at fair value. Investment in Employer stock represents shares of the Company’s common stock held by the Plan. Shares of registered investment company funds and common/collective trust funds are valued at quoted market prices which represent the net asset value of shares held by the Plan at year end. Units of pooled separate accounts are considered highly liquid instruments with original maturities of three months or less. Pooled separate accounts are recorded at cost which approximates fair value. Company stock is valued at its quoted market price. The fair value at December 31, 2004, was $23.91 per share. Participant loans are valued at cost which approximates fair value.</w:t>
      </w:r>
    </w:p>
    <w:p>
      <w:pPr>
        <w:spacing w:after="0" w:line="102"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Purchases and sales of securities are recorded on a trade date basis. Interest income is recorded on the accrual basis. Dividends are recorded on the ex-dividend date.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of benefits: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of the Plan have been prepared on the accrual basis of accounting.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7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Plan provides for various investment options in any combination of mutual funds provided by the Plan. Investment securities of these types are exposed to various risks, such as interest rate, market and credit. Due to the level of risk associated with certain investment securities, it is at least reasonably possible that changes in the values of investment securities will occur in the near-term, and that such changes could materially affect participants’ account balances and the amounts reported in the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Actual results could differ from those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loss on receivables:</w:t>
      </w:r>
    </w:p>
    <w:p>
      <w:pPr>
        <w:spacing w:after="0" w:line="7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An allowance for loss on receivables has not been recorded as all receivables are deemed to be 100% collectible or adequately secured as of the date of this report.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investments at December 31, 2004 and 2003, which represent 5% or more of the Plan’s net assets.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80" w:type="dxa"/>
            <w:vAlign w:val="bottom"/>
          </w:tcPr>
          <w:p>
            <w:pPr>
              <w:spacing w:after="0"/>
              <w:rPr>
                <w:sz w:val="22"/>
                <w:szCs w:val="22"/>
                <w:color w:val="auto"/>
              </w:rPr>
            </w:pPr>
          </w:p>
        </w:tc>
        <w:tc>
          <w:tcPr>
            <w:tcW w:w="328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2004</w:t>
            </w:r>
          </w:p>
        </w:tc>
        <w:tc>
          <w:tcPr>
            <w:tcW w:w="11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Registered investment company funds:</w:t>
            </w:r>
          </w:p>
        </w:tc>
        <w:tc>
          <w:tcPr>
            <w:tcW w:w="2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Artisan Mid Cap Fund (Inv Shrs)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$ 6,047,434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$4,253,639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PIMCO Total Return Fund (Admin)</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5,952,332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3,087,746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Artisan Small Cap Value Fund</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4,822,842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3,002,262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Artisan International Fund</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4,683,721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American Century Real Estate Fund</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3,470,778</w:t>
            </w:r>
          </w:p>
        </w:tc>
        <w:tc>
          <w:tcPr>
            <w:tcW w:w="30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funds:</w:t>
            </w:r>
          </w:p>
        </w:tc>
        <w:tc>
          <w:tcPr>
            <w:tcW w:w="2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Barclays Equity Index Fund Q</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11,331,643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9,393,291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Barclays LifePath 2020 Fund</w:t>
            </w:r>
          </w:p>
        </w:tc>
        <w:tc>
          <w:tcPr>
            <w:tcW w:w="2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6,171,047</w:t>
            </w:r>
          </w:p>
        </w:tc>
        <w:tc>
          <w:tcPr>
            <w:tcW w:w="0" w:type="dxa"/>
            <w:vAlign w:val="bottom"/>
          </w:tcPr>
          <w:p>
            <w:pPr>
              <w:spacing w:after="0"/>
              <w:rPr>
                <w:sz w:val="1"/>
                <w:szCs w:val="1"/>
                <w:color w:val="auto"/>
              </w:rPr>
            </w:pPr>
          </w:p>
        </w:tc>
      </w:tr>
      <w:tr>
        <w:trPr>
          <w:trHeight w:val="323"/>
        </w:trPr>
        <w:tc>
          <w:tcPr>
            <w:tcW w:w="5900" w:type="dxa"/>
            <w:vAlign w:val="bottom"/>
            <w:gridSpan w:val="2"/>
          </w:tcPr>
          <w:p>
            <w:pPr>
              <w:spacing w:after="0"/>
              <w:rPr>
                <w:sz w:val="20"/>
                <w:szCs w:val="20"/>
                <w:color w:val="auto"/>
              </w:rPr>
            </w:pPr>
            <w:r>
              <w:rPr>
                <w:rFonts w:ascii="Arial" w:cs="Arial" w:eastAsia="Arial" w:hAnsi="Arial"/>
                <w:sz w:val="18"/>
                <w:szCs w:val="18"/>
                <w:color w:val="auto"/>
              </w:rPr>
              <w:t>Pooled separate accounts:</w:t>
            </w: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New York Life Insurance Anchor Account I</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10,836,917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8,186,249</w:t>
            </w:r>
          </w:p>
        </w:tc>
        <w:tc>
          <w:tcPr>
            <w:tcW w:w="0" w:type="dxa"/>
            <w:vAlign w:val="bottom"/>
          </w:tcPr>
          <w:p>
            <w:pPr>
              <w:spacing w:after="0"/>
              <w:rPr>
                <w:sz w:val="1"/>
                <w:szCs w:val="1"/>
                <w:color w:val="auto"/>
              </w:rPr>
            </w:pPr>
          </w:p>
        </w:tc>
      </w:tr>
      <w:tr>
        <w:trPr>
          <w:trHeight w:val="323"/>
        </w:trPr>
        <w:tc>
          <w:tcPr>
            <w:tcW w:w="5900" w:type="dxa"/>
            <w:vAlign w:val="bottom"/>
            <w:gridSpan w:val="2"/>
          </w:tcPr>
          <w:p>
            <w:pPr>
              <w:spacing w:after="0"/>
              <w:rPr>
                <w:sz w:val="20"/>
                <w:szCs w:val="20"/>
                <w:color w:val="auto"/>
              </w:rPr>
            </w:pPr>
            <w:r>
              <w:rPr>
                <w:rFonts w:ascii="Arial" w:cs="Arial" w:eastAsia="Arial" w:hAnsi="Arial"/>
                <w:sz w:val="18"/>
                <w:szCs w:val="18"/>
                <w:color w:val="auto"/>
              </w:rPr>
              <w:t>Company stock fund:</w:t>
            </w: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Itron, Inc. Company Stock Fund</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6,301,552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5,820,285</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accordance with the Plan, participants can direct their contributions to invest in one or more of the following: PIMCO High Yield Fund (Admin), Artisan Mid Cap Fund (Inv Shrs), PIMCO Total Return Fund (Admin), Artisan Small Cap Value Fund, Artisan International Fund, American Century Real Estate Fund, Davis New York Venture Fund (A), TCW Galileo Select Equities Adv Fund, Mainstay A Mid Cap Value Fund, Mainstay Cash Reserves Fund I, Baron Growth Fund, Barclays Equity Index Fund Q, New York Life Insurance Anchor Account I, Itron, Inc. Company Stock Fund and individually directed accounts.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Tax Status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Plan obtained its latest determination letter dated February 10, 2005, in which the Internal Revenue Service stated that the Plan, as then designed, was in compliance with the applicable requirements of the Internal Revenue Code. The Plan has been amended since receiving the determination letter. However, the Plan administrator believes that the Plan is currently designed and is being operated in compliance with the applicable requirements of the Internal Revenue Code. Therefore, no provision for income taxes has been included in the Plan’s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Party in Interest Transactions</w:t>
      </w:r>
    </w:p>
    <w:p>
      <w:pPr>
        <w:spacing w:after="0" w:line="83"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Certain Plan assets are managed by New York Life Benefit Services LLC, the custodian of the assets. Therefore, these investments qualify as party in interest transactions. Certain Plan investments are shares in Itron, Inc. company common stock. These transactions represent investments in the Company and therefore, qualify as party in interest transactions. The Plan also has participant loans, which qualify as party in interest transactions.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Form 5500</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net assets available for benefits per the financial statements to the Form 5500:</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3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76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$63,460,389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$50,466,367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Participants’ contributions receivable</w:t>
            </w:r>
          </w:p>
        </w:tc>
        <w:tc>
          <w:tcPr>
            <w:tcW w:w="3020" w:type="dxa"/>
            <w:vAlign w:val="bottom"/>
            <w:gridSpan w:val="3"/>
          </w:tcPr>
          <w:p>
            <w:pPr>
              <w:jc w:val="right"/>
              <w:ind w:right="200"/>
              <w:spacing w:after="0"/>
              <w:rPr>
                <w:sz w:val="20"/>
                <w:szCs w:val="20"/>
                <w:color w:val="auto"/>
              </w:rPr>
            </w:pPr>
            <w:r>
              <w:rPr>
                <w:rFonts w:ascii="Arial" w:cs="Arial" w:eastAsia="Arial" w:hAnsi="Arial"/>
                <w:sz w:val="18"/>
                <w:szCs w:val="18"/>
                <w:color w:val="auto"/>
              </w:rPr>
              <w:t>(60,866)</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(197,352)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 receivable</w:t>
            </w:r>
          </w:p>
        </w:tc>
        <w:tc>
          <w:tcPr>
            <w:tcW w:w="3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(530,286)</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(382,578)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Form 5500</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$62,869,237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$49,886,437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contributions received from participants per the financial statements for the year ended December 31, 2004, to the Form 5500:</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Contributions received from participants per the financial statements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$5,968,722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Less: participants’ contributions receivable at December 31, 2004</w:t>
            </w:r>
          </w:p>
        </w:tc>
        <w:tc>
          <w:tcPr>
            <w:tcW w:w="2580" w:type="dxa"/>
            <w:vAlign w:val="bottom"/>
            <w:gridSpan w:val="3"/>
          </w:tcPr>
          <w:p>
            <w:pPr>
              <w:jc w:val="right"/>
              <w:ind w:right="20"/>
              <w:spacing w:after="0"/>
              <w:rPr>
                <w:sz w:val="20"/>
                <w:szCs w:val="20"/>
                <w:color w:val="auto"/>
              </w:rPr>
            </w:pPr>
            <w:r>
              <w:rPr>
                <w:rFonts w:ascii="Arial" w:cs="Arial" w:eastAsia="Arial" w:hAnsi="Arial"/>
                <w:sz w:val="18"/>
                <w:szCs w:val="18"/>
                <w:color w:val="auto"/>
              </w:rPr>
              <w:t>(60,866)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Add: participants’ contributions receivable at December 31, 2003</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Contributions received from participants per the Form 5500</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$6,105,208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is a reconciliation of contributions received from the Employer per the financial statements for the year ended December 31, 2004, to the Form 5500:</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Contributions received from the Employer per the financial statements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$1,889,399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Less: Employer contribution receivable at December 31, 2004</w:t>
            </w:r>
          </w:p>
        </w:tc>
        <w:tc>
          <w:tcPr>
            <w:tcW w:w="2520" w:type="dxa"/>
            <w:vAlign w:val="bottom"/>
            <w:gridSpan w:val="3"/>
          </w:tcPr>
          <w:p>
            <w:pPr>
              <w:jc w:val="right"/>
              <w:ind w:right="20"/>
              <w:spacing w:after="0"/>
              <w:rPr>
                <w:sz w:val="20"/>
                <w:szCs w:val="20"/>
                <w:color w:val="auto"/>
              </w:rPr>
            </w:pPr>
            <w:r>
              <w:rPr>
                <w:rFonts w:ascii="Arial" w:cs="Arial" w:eastAsia="Arial" w:hAnsi="Arial"/>
                <w:sz w:val="18"/>
                <w:szCs w:val="18"/>
                <w:color w:val="auto"/>
              </w:rPr>
              <w:t>(530,286)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Add: Employer contribution receivable at December 31, 2003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382,578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Contributions received from the Employer per the Form 5500</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620" w:type="dxa"/>
            <w:vAlign w:val="bottom"/>
            <w:gridSpan w:val="2"/>
            <w:vMerge w:val="restart"/>
          </w:tcPr>
          <w:p>
            <w:pPr>
              <w:jc w:val="right"/>
              <w:ind w:right="1912"/>
              <w:spacing w:after="0"/>
              <w:rPr>
                <w:sz w:val="20"/>
                <w:szCs w:val="20"/>
                <w:color w:val="auto"/>
              </w:rPr>
            </w:pPr>
            <w:r>
              <w:rPr>
                <w:rFonts w:ascii="Arial" w:cs="Arial" w:eastAsia="Arial" w:hAnsi="Arial"/>
                <w:sz w:val="18"/>
                <w:szCs w:val="18"/>
                <w:color w:val="auto"/>
              </w:rPr>
              <w:t>8</w:t>
            </w:r>
          </w:p>
        </w:tc>
        <w:tc>
          <w:tcPr>
            <w:tcW w:w="16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662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Nonexempt Transactions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2004 employee contributions, the Company did not remit the participant contributions of a special payroll period to the Plan on a timely basis. This late payment has been paid to the Plan with incremental lost earnings determined to be diminimus. This late payment is considered a prohibited transaction by the Department of Labor.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Subsequent Event</w:t>
      </w:r>
    </w:p>
    <w:p>
      <w:pPr>
        <w:spacing w:after="0" w:line="8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On July 1, 2004, the Company acquired Schlumberger’s electricity metering business (SEM). As part of the acquisition, $34,715,419 of SEM’s defined contribution plan assets were transferred into the Itron, Inc. Incentive Savings Plan in May 2005.</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240" w:top="459" w:right="5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080"/>
        <w:spacing w:after="0" w:line="270" w:lineRule="auto"/>
        <w:rPr>
          <w:sz w:val="20"/>
          <w:szCs w:val="20"/>
          <w:color w:val="auto"/>
        </w:rPr>
      </w:pPr>
      <w:r>
        <w:rPr>
          <w:rFonts w:ascii="Arial" w:cs="Arial" w:eastAsia="Arial" w:hAnsi="Arial"/>
          <w:sz w:val="18"/>
          <w:szCs w:val="18"/>
          <w:b w:val="1"/>
          <w:bCs w:val="1"/>
          <w:color w:val="auto"/>
        </w:rPr>
        <w:t>ITRON, INC. INCENTIVE SAVINGS PLAN SCHEDULE H, LINE 4a - SCHEDULE OF DELINQUENT PARTICIPANT CONTRIBUTIONS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Plan’s Sponsor EIN:</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91-1011792</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40" w:type="dxa"/>
            <w:vAlign w:val="bottom"/>
          </w:tcPr>
          <w:p>
            <w:pPr>
              <w:spacing w:after="0"/>
              <w:rPr>
                <w:sz w:val="20"/>
                <w:szCs w:val="20"/>
                <w:color w:val="auto"/>
              </w:rPr>
            </w:pPr>
            <w:r>
              <w:rPr>
                <w:rFonts w:ascii="Arial" w:cs="Arial" w:eastAsia="Arial" w:hAnsi="Arial"/>
                <w:sz w:val="18"/>
                <w:szCs w:val="18"/>
                <w:color w:val="auto"/>
              </w:rPr>
              <w:t>Plan Number:</w:t>
            </w:r>
          </w:p>
        </w:tc>
        <w:tc>
          <w:tcPr>
            <w:tcW w:w="740" w:type="dxa"/>
            <w:vAlign w:val="bottom"/>
          </w:tcPr>
          <w:p>
            <w:pPr>
              <w:ind w:left="200"/>
              <w:spacing w:after="0"/>
              <w:rPr>
                <w:sz w:val="20"/>
                <w:szCs w:val="20"/>
                <w:color w:val="auto"/>
              </w:rPr>
            </w:pPr>
            <w:r>
              <w:rPr>
                <w:rFonts w:ascii="Arial" w:cs="Arial" w:eastAsia="Arial" w:hAnsi="Arial"/>
                <w:sz w:val="18"/>
                <w:szCs w:val="18"/>
                <w:color w:val="auto"/>
              </w:rPr>
              <w:t>001</w:t>
            </w: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Total that Constitutes</w:t>
            </w: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Participant Contribution</w:t>
            </w:r>
          </w:p>
        </w:tc>
        <w:tc>
          <w:tcPr>
            <w:tcW w:w="2400" w:type="dxa"/>
            <w:vAlign w:val="bottom"/>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Nonexempt Prohibited</w:t>
            </w:r>
          </w:p>
        </w:tc>
        <w:tc>
          <w:tcPr>
            <w:tcW w:w="0" w:type="dxa"/>
            <w:vAlign w:val="bottom"/>
          </w:tcPr>
          <w:p>
            <w:pPr>
              <w:spacing w:after="0"/>
              <w:rPr>
                <w:sz w:val="1"/>
                <w:szCs w:val="1"/>
                <w:color w:val="auto"/>
              </w:rPr>
            </w:pPr>
          </w:p>
        </w:tc>
      </w:tr>
      <w:tr>
        <w:trPr>
          <w:trHeight w:val="174"/>
        </w:trPr>
        <w:tc>
          <w:tcPr>
            <w:tcW w:w="1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Transferred Late to Plan</w:t>
            </w:r>
          </w:p>
        </w:tc>
        <w:tc>
          <w:tcPr>
            <w:tcW w:w="2400" w:type="dxa"/>
            <w:vAlign w:val="bottom"/>
          </w:tcPr>
          <w:p>
            <w:pPr>
              <w:spacing w:after="0"/>
              <w:rPr>
                <w:sz w:val="15"/>
                <w:szCs w:val="15"/>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Transactions</w:t>
            </w:r>
          </w:p>
        </w:tc>
        <w:tc>
          <w:tcPr>
            <w:tcW w:w="0" w:type="dxa"/>
            <w:vAlign w:val="bottom"/>
          </w:tcPr>
          <w:p>
            <w:pPr>
              <w:spacing w:after="0"/>
              <w:rPr>
                <w:sz w:val="1"/>
                <w:szCs w:val="1"/>
                <w:color w:val="auto"/>
              </w:rPr>
            </w:pPr>
          </w:p>
        </w:tc>
      </w:tr>
      <w:tr>
        <w:trPr>
          <w:trHeight w:val="95"/>
        </w:trPr>
        <w:tc>
          <w:tcPr>
            <w:tcW w:w="1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640" w:type="dxa"/>
            <w:vAlign w:val="bottom"/>
          </w:tcPr>
          <w:p>
            <w:pPr>
              <w:spacing w:after="0"/>
              <w:rPr>
                <w:sz w:val="24"/>
                <w:szCs w:val="24"/>
                <w:color w:val="auto"/>
              </w:rPr>
            </w:pPr>
          </w:p>
        </w:tc>
        <w:tc>
          <w:tcPr>
            <w:tcW w:w="2280" w:type="dxa"/>
            <w:vAlign w:val="bottom"/>
            <w:gridSpan w:val="4"/>
          </w:tcPr>
          <w:p>
            <w:pPr>
              <w:jc w:val="center"/>
              <w:ind w:left="632"/>
              <w:spacing w:after="0"/>
              <w:rPr>
                <w:sz w:val="20"/>
                <w:szCs w:val="20"/>
                <w:color w:val="auto"/>
              </w:rPr>
            </w:pPr>
            <w:r>
              <w:rPr>
                <w:rFonts w:ascii="Arial" w:cs="Arial" w:eastAsia="Arial" w:hAnsi="Arial"/>
                <w:sz w:val="18"/>
                <w:szCs w:val="18"/>
                <w:color w:val="auto"/>
                <w:w w:val="87"/>
              </w:rPr>
              <w:t>$5,922</w:t>
            </w:r>
          </w:p>
        </w:tc>
        <w:tc>
          <w:tcPr>
            <w:tcW w:w="3940" w:type="dxa"/>
            <w:vAlign w:val="bottom"/>
            <w:gridSpan w:val="4"/>
          </w:tcPr>
          <w:p>
            <w:pPr>
              <w:jc w:val="center"/>
              <w:ind w:left="2292"/>
              <w:spacing w:after="0"/>
              <w:rPr>
                <w:sz w:val="20"/>
                <w:szCs w:val="20"/>
                <w:color w:val="auto"/>
              </w:rPr>
            </w:pPr>
            <w:r>
              <w:rPr>
                <w:rFonts w:ascii="Arial" w:cs="Arial" w:eastAsia="Arial" w:hAnsi="Arial"/>
                <w:sz w:val="18"/>
                <w:szCs w:val="18"/>
                <w:color w:val="auto"/>
                <w:w w:val="87"/>
              </w:rPr>
              <w:t>$5,922</w:t>
            </w:r>
          </w:p>
        </w:tc>
        <w:tc>
          <w:tcPr>
            <w:tcW w:w="0" w:type="dxa"/>
            <w:vAlign w:val="bottom"/>
          </w:tcPr>
          <w:p>
            <w:pPr>
              <w:spacing w:after="0"/>
              <w:rPr>
                <w:sz w:val="1"/>
                <w:szCs w:val="1"/>
                <w:color w:val="auto"/>
              </w:rPr>
            </w:pPr>
          </w:p>
        </w:tc>
      </w:tr>
      <w:tr>
        <w:trPr>
          <w:trHeight w:val="110"/>
        </w:trPr>
        <w:tc>
          <w:tcPr>
            <w:tcW w:w="1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400" w:type="dxa"/>
            <w:vAlign w:val="bottom"/>
            <w:vMerge w:val="restart"/>
          </w:tcPr>
          <w:p>
            <w:pPr>
              <w:jc w:val="right"/>
              <w:ind w:right="432"/>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 LINE 4i - SCHEDULE OF ASSETS (HELD AT END OF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3"/>
          </w:tcPr>
          <w:p>
            <w:pPr>
              <w:spacing w:after="0"/>
              <w:rPr>
                <w:sz w:val="20"/>
                <w:szCs w:val="20"/>
                <w:color w:val="auto"/>
              </w:rPr>
            </w:pPr>
            <w:r>
              <w:rPr>
                <w:rFonts w:ascii="Arial" w:cs="Arial" w:eastAsia="Arial" w:hAnsi="Arial"/>
                <w:sz w:val="18"/>
                <w:szCs w:val="18"/>
                <w:color w:val="auto"/>
              </w:rPr>
              <w:t>Plan’s Sponsor EIN:</w:t>
            </w:r>
          </w:p>
        </w:tc>
        <w:tc>
          <w:tcPr>
            <w:tcW w:w="3440" w:type="dxa"/>
            <w:vAlign w:val="bottom"/>
          </w:tcPr>
          <w:p>
            <w:pPr>
              <w:ind w:left="360"/>
              <w:spacing w:after="0"/>
              <w:rPr>
                <w:sz w:val="20"/>
                <w:szCs w:val="20"/>
                <w:color w:val="auto"/>
              </w:rPr>
            </w:pPr>
            <w:r>
              <w:rPr>
                <w:rFonts w:ascii="Arial" w:cs="Arial" w:eastAsia="Arial" w:hAnsi="Arial"/>
                <w:sz w:val="18"/>
                <w:szCs w:val="18"/>
                <w:color w:val="auto"/>
              </w:rPr>
              <w:t>91-1011792</w:t>
            </w:r>
          </w:p>
        </w:tc>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gridSpan w:val="3"/>
          </w:tcPr>
          <w:p>
            <w:pPr>
              <w:spacing w:after="0"/>
              <w:rPr>
                <w:sz w:val="20"/>
                <w:szCs w:val="20"/>
                <w:color w:val="auto"/>
              </w:rPr>
            </w:pPr>
            <w:r>
              <w:rPr>
                <w:rFonts w:ascii="Arial" w:cs="Arial" w:eastAsia="Arial" w:hAnsi="Arial"/>
                <w:sz w:val="18"/>
                <w:szCs w:val="18"/>
                <w:color w:val="auto"/>
              </w:rPr>
              <w:t>Plan Number:</w:t>
            </w:r>
          </w:p>
        </w:tc>
        <w:tc>
          <w:tcPr>
            <w:tcW w:w="3440" w:type="dxa"/>
            <w:vAlign w:val="bottom"/>
          </w:tcPr>
          <w:p>
            <w:pPr>
              <w:ind w:left="36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980" w:type="dxa"/>
            <w:vAlign w:val="bottom"/>
            <w:gridSpan w:val="3"/>
          </w:tcPr>
          <w:p>
            <w:pPr>
              <w:ind w:left="2920"/>
              <w:spacing w:after="0"/>
              <w:rPr>
                <w:sz w:val="20"/>
                <w:szCs w:val="20"/>
                <w:color w:val="auto"/>
              </w:rPr>
            </w:pPr>
            <w:r>
              <w:rPr>
                <w:rFonts w:ascii="Arial" w:cs="Arial" w:eastAsia="Arial" w:hAnsi="Arial"/>
                <w:sz w:val="14"/>
                <w:szCs w:val="14"/>
                <w:b w:val="1"/>
                <w:bCs w:val="1"/>
                <w:color w:val="auto"/>
              </w:rPr>
              <w:t>December 31, 2004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87"/>
              </w:rPr>
              <w:t>(c) Description of Investment Including</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1"/>
              </w:rPr>
              <w:t>(e)</w:t>
            </w:r>
          </w:p>
        </w:tc>
        <w:tc>
          <w:tcPr>
            <w:tcW w:w="0" w:type="dxa"/>
            <w:vAlign w:val="bottom"/>
          </w:tcPr>
          <w:p>
            <w:pPr>
              <w:spacing w:after="0"/>
              <w:rPr>
                <w:sz w:val="1"/>
                <w:szCs w:val="1"/>
                <w:color w:val="auto"/>
              </w:rPr>
            </w:pPr>
          </w:p>
        </w:tc>
      </w:tr>
      <w:tr>
        <w:trPr>
          <w:trHeight w:val="149"/>
        </w:trPr>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Party in</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40" w:type="dxa"/>
            <w:vAlign w:val="bottom"/>
          </w:tcPr>
          <w:p>
            <w:pPr>
              <w:jc w:val="center"/>
              <w:ind w:right="944"/>
              <w:spacing w:after="0" w:line="149" w:lineRule="exact"/>
              <w:rPr>
                <w:sz w:val="20"/>
                <w:szCs w:val="20"/>
                <w:color w:val="auto"/>
              </w:rPr>
            </w:pPr>
            <w:r>
              <w:rPr>
                <w:rFonts w:ascii="Arial" w:cs="Arial" w:eastAsia="Arial" w:hAnsi="Arial"/>
                <w:sz w:val="14"/>
                <w:szCs w:val="14"/>
                <w:b w:val="1"/>
                <w:bCs w:val="1"/>
                <w:color w:val="auto"/>
                <w:w w:val="86"/>
              </w:rPr>
              <w:t>(b) Identity of Issue, Borrower, Lessor,</w:t>
            </w:r>
          </w:p>
        </w:tc>
        <w:tc>
          <w:tcPr>
            <w:tcW w:w="100" w:type="dxa"/>
            <w:vAlign w:val="bottom"/>
          </w:tcPr>
          <w:p>
            <w:pPr>
              <w:spacing w:after="0"/>
              <w:rPr>
                <w:sz w:val="12"/>
                <w:szCs w:val="12"/>
                <w:color w:val="auto"/>
              </w:rPr>
            </w:pPr>
          </w:p>
        </w:tc>
        <w:tc>
          <w:tcPr>
            <w:tcW w:w="4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Maturity Date, Rate of Interest, Collateral,</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Current</w:t>
            </w:r>
          </w:p>
        </w:tc>
        <w:tc>
          <w:tcPr>
            <w:tcW w:w="0" w:type="dxa"/>
            <w:vAlign w:val="bottom"/>
          </w:tcPr>
          <w:p>
            <w:pPr>
              <w:spacing w:after="0"/>
              <w:rPr>
                <w:sz w:val="1"/>
                <w:szCs w:val="1"/>
                <w:color w:val="auto"/>
              </w:rPr>
            </w:pPr>
          </w:p>
        </w:tc>
      </w:tr>
      <w:tr>
        <w:trPr>
          <w:trHeight w:val="174"/>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40" w:type="dxa"/>
            <w:vAlign w:val="bottom"/>
          </w:tcPr>
          <w:p>
            <w:pPr>
              <w:jc w:val="center"/>
              <w:ind w:right="944"/>
              <w:spacing w:after="0"/>
              <w:rPr>
                <w:sz w:val="20"/>
                <w:szCs w:val="20"/>
                <w:color w:val="auto"/>
              </w:rPr>
            </w:pPr>
            <w:r>
              <w:rPr>
                <w:rFonts w:ascii="Arial" w:cs="Arial" w:eastAsia="Arial" w:hAnsi="Arial"/>
                <w:sz w:val="14"/>
                <w:szCs w:val="14"/>
                <w:b w:val="1"/>
                <w:bCs w:val="1"/>
                <w:color w:val="auto"/>
                <w:w w:val="90"/>
              </w:rPr>
              <w:t>or Similar Party</w:t>
            </w:r>
          </w:p>
        </w:tc>
        <w:tc>
          <w:tcPr>
            <w:tcW w:w="10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1"/>
              </w:rPr>
              <w:t>Par, or Maturity Date</w:t>
            </w:r>
          </w:p>
        </w:tc>
        <w:tc>
          <w:tcPr>
            <w:tcW w:w="1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(d) 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4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Registered Investment Company Funds:</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PIMCO High Yield Fund (Admin)</w:t>
            </w:r>
          </w:p>
        </w:tc>
        <w:tc>
          <w:tcPr>
            <w:tcW w:w="1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Registered Investment Company Funds</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296,993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Artisan Mid Cap Fund (Inv Shrs)</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Registered Investment Company Funds</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6,047,434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PIMCO Total Return Fund (Admin)</w:t>
            </w:r>
          </w:p>
        </w:tc>
        <w:tc>
          <w:tcPr>
            <w:tcW w:w="1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Registered Investment Company Funds</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5,952,332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Artisan Small Cap Value Fund</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Registered Investment Company Funds</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4,822,842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Artisan International Fund</w:t>
            </w:r>
          </w:p>
        </w:tc>
        <w:tc>
          <w:tcPr>
            <w:tcW w:w="1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Registered Investment Company Funds</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4,683,721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American Century Real Estate Fund</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Registered Investment Company Funds</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3,470,778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Davis New York Venture Fund (A)</w:t>
            </w:r>
          </w:p>
        </w:tc>
        <w:tc>
          <w:tcPr>
            <w:tcW w:w="1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Registered Investment Company Funds</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2,846,250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TCW Galileo Select Equities Adv Fund</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Registered Investment Company Funds</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1,861,077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Mainstay A Mid Cap Value Fund</w:t>
            </w:r>
          </w:p>
        </w:tc>
        <w:tc>
          <w:tcPr>
            <w:tcW w:w="1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Registered Investment Company Funds</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1,768,149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Mainstay Cash Reserves Fund I</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Registered Investment Company Funds</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Baron Growth Fund</w:t>
            </w:r>
          </w:p>
        </w:tc>
        <w:tc>
          <w:tcPr>
            <w:tcW w:w="1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Registered Investment Company Funds</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1,022,174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Common/Collective Trust Funds:</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Barclays Equity Index Fund Q</w:t>
            </w:r>
          </w:p>
        </w:tc>
        <w:tc>
          <w:tcPr>
            <w:tcW w:w="1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Common/Collective Trust Funds</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11,331,643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Pooled Separate Accounts:</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New York Life Insurance Anchor Account I</w:t>
            </w:r>
          </w:p>
        </w:tc>
        <w:tc>
          <w:tcPr>
            <w:tcW w:w="1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Pooled Separate Accounts</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10,836,917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Stock Fund:</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40" w:type="dxa"/>
            <w:vAlign w:val="bottom"/>
            <w:gridSpan w:val="2"/>
          </w:tcPr>
          <w:p>
            <w:pPr>
              <w:ind w:left="420"/>
              <w:spacing w:after="0"/>
              <w:rPr>
                <w:sz w:val="20"/>
                <w:szCs w:val="20"/>
                <w:color w:val="auto"/>
              </w:rPr>
            </w:pPr>
            <w:r>
              <w:rPr>
                <w:rFonts w:ascii="Arial" w:cs="Arial" w:eastAsia="Arial" w:hAnsi="Arial"/>
                <w:sz w:val="18"/>
                <w:szCs w:val="18"/>
                <w:color w:val="auto"/>
              </w:rPr>
              <w:t>Itron, Inc. Company Stock Fund</w:t>
            </w:r>
          </w:p>
        </w:tc>
        <w:tc>
          <w:tcPr>
            <w:tcW w:w="1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Company Stock</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6,301,552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Individually Directed Accounts</w:t>
            </w: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Individually Directed Accounts</w:t>
            </w:r>
          </w:p>
        </w:tc>
        <w:tc>
          <w:tcPr>
            <w:tcW w:w="68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w w:val="98"/>
              </w:rPr>
              <w:t>Participant Loans (5.0%-10.5%, secured by participant’s</w:t>
            </w:r>
          </w:p>
        </w:tc>
        <w:tc>
          <w:tcPr>
            <w:tcW w:w="1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Participant Loans</w:t>
            </w:r>
          </w:p>
        </w:tc>
        <w:tc>
          <w:tcPr>
            <w:tcW w:w="680" w:type="dxa"/>
            <w:vAlign w:val="bottom"/>
            <w:gridSpan w:val="2"/>
          </w:tcPr>
          <w:p>
            <w:pPr>
              <w:jc w:val="center"/>
              <w:ind w:lef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861,773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w w:val="99"/>
              </w:rPr>
              <w:t>accounts)</w:t>
            </w: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62,869,237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Party in interest transaction as defined by ERISA.</w:t>
      </w:r>
    </w:p>
    <w:p>
      <w:pPr>
        <w:spacing w:after="0" w:line="77" w:lineRule="exact"/>
        <w:rPr>
          <w:sz w:val="20"/>
          <w:szCs w:val="20"/>
          <w:color w:val="auto"/>
        </w:rPr>
      </w:pPr>
    </w:p>
    <w:p>
      <w:pPr>
        <w:ind w:left="5620" w:right="5620" w:hanging="5612"/>
        <w:spacing w:after="0" w:line="525" w:lineRule="auto"/>
        <w:tabs>
          <w:tab w:leader="none" w:pos="44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cost of participant directed investments is not required to be disclosed. 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ITRON, INC. INCENTIVE SAVINGS PLAN</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SCHEDULE H, LINE 4j – SCHEDULE OF REPORTABLE TRANSACTIONS</w:t>
      </w:r>
    </w:p>
    <w:p>
      <w:pPr>
        <w:sectPr>
          <w:pgSz w:w="11900" w:h="16838" w:orient="portrait"/>
          <w:cols w:equalWidth="0" w:num="1">
            <w:col w:w="10219"/>
          </w:cols>
          <w:pgMar w:left="240" w:top="459" w:right="1440"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Plan’s Sponsor EIN: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 Number: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91-1011792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001</w:t>
      </w:r>
    </w:p>
    <w:p>
      <w:pPr>
        <w:spacing w:after="0" w:line="151" w:lineRule="exact"/>
        <w:rPr>
          <w:sz w:val="20"/>
          <w:szCs w:val="20"/>
          <w:color w:val="auto"/>
        </w:rPr>
      </w:pPr>
    </w:p>
    <w:p>
      <w:pPr>
        <w:sectPr>
          <w:pgSz w:w="11900" w:h="16838" w:orient="portrait"/>
          <w:cols w:equalWidth="0" w:num="2">
            <w:col w:w="1440" w:space="640"/>
            <w:col w:w="8139"/>
          </w:cols>
          <w:pgMar w:left="240" w:top="459" w:right="1440" w:bottom="1440" w:gutter="0" w:footer="0" w:header="0"/>
          <w:type w:val="continuous"/>
        </w:sectPr>
      </w:pPr>
    </w:p>
    <w:p>
      <w:pPr>
        <w:spacing w:after="0"/>
        <w:rPr>
          <w:sz w:val="20"/>
          <w:szCs w:val="20"/>
          <w:color w:val="auto"/>
        </w:rPr>
      </w:pPr>
      <w:r>
        <w:rPr>
          <w:rFonts w:ascii="Arial" w:cs="Arial" w:eastAsia="Arial" w:hAnsi="Arial"/>
          <w:sz w:val="18"/>
          <w:szCs w:val="18"/>
          <w:color w:val="auto"/>
        </w:rPr>
        <w:t>There were no reportable transactions for 2004.</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19"/>
          </w:cols>
          <w:pgMar w:left="240" w:top="45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Advisory Committee has duly caused this annual report to be signed on</w:t>
      </w:r>
      <w:r>
        <w:rPr>
          <w:rFonts w:ascii="Arial" w:cs="Arial" w:eastAsia="Arial" w:hAnsi="Arial"/>
          <w:sz w:val="18"/>
          <w:szCs w:val="18"/>
          <w:i w:val="1"/>
          <w:iCs w:val="1"/>
          <w:color w:val="auto"/>
        </w:rPr>
        <w:t xml:space="preserve"> </w:t>
      </w:r>
      <w:r>
        <w:rPr>
          <w:rFonts w:ascii="Arial" w:cs="Arial" w:eastAsia="Arial" w:hAnsi="Arial"/>
          <w:sz w:val="18"/>
          <w:szCs w:val="18"/>
          <w:color w:val="auto"/>
        </w:rPr>
        <w:t>its behalf by the undersigned thereunto duly authorized, on the 27th of June, 2005.</w:t>
      </w:r>
    </w:p>
    <w:p>
      <w:pPr>
        <w:spacing w:after="0" w:line="11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ITRON, INC. INCENTIVE SAVINGS PLAN</w:t>
      </w:r>
    </w:p>
    <w:p>
      <w:pPr>
        <w:spacing w:after="0" w:line="15"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(Name of Plan)</w:t>
      </w:r>
    </w:p>
    <w:p>
      <w:pPr>
        <w:spacing w:after="0" w:line="197" w:lineRule="exact"/>
        <w:rPr>
          <w:sz w:val="20"/>
          <w:szCs w:val="20"/>
          <w:color w:val="auto"/>
        </w:rPr>
      </w:pPr>
    </w:p>
    <w:p>
      <w:pPr>
        <w:ind w:left="7880"/>
        <w:spacing w:after="0"/>
        <w:tabs>
          <w:tab w:leader="none" w:pos="82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TEVEN</w:t>
      </w:r>
      <w:r>
        <w:rPr>
          <w:rFonts w:ascii="Arial" w:cs="Arial" w:eastAsia="Arial" w:hAnsi="Arial"/>
          <w:sz w:val="16"/>
          <w:szCs w:val="16"/>
          <w:color w:val="auto"/>
        </w:rPr>
        <w:t xml:space="preserve"> M. H</w:t>
      </w:r>
      <w:r>
        <w:rPr>
          <w:rFonts w:ascii="Arial" w:cs="Arial" w:eastAsia="Arial" w:hAnsi="Arial"/>
          <w:sz w:val="13"/>
          <w:szCs w:val="13"/>
          <w:color w:val="auto"/>
        </w:rPr>
        <w:t>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Steven M. Helmbrecht</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Sr. Vice President and Chief Financial Officer</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940" w:type="dxa"/>
            <w:vAlign w:val="bottom"/>
          </w:tcPr>
          <w:p>
            <w:pPr>
              <w:ind w:left="226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6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74"/>
        </w:trPr>
        <w:tc>
          <w:tcPr>
            <w:tcW w:w="6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6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95"/>
        </w:trPr>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r>
      <w:tr>
        <w:trPr>
          <w:trHeight w:val="424"/>
        </w:trPr>
        <w:tc>
          <w:tcPr>
            <w:tcW w:w="60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w w:val="88"/>
              </w:rPr>
              <w:t>Consent of Moss Adams LLP, Independent Registered Public Accounting Firm</w:t>
            </w:r>
          </w:p>
        </w:tc>
      </w:tr>
    </w:tbl>
    <w:p>
      <w:pPr>
        <w:sectPr>
          <w:pgSz w:w="11900" w:h="16838" w:orient="portrait"/>
          <w:cols w:equalWidth="0" w:num="1">
            <w:col w:w="10219"/>
          </w:cols>
          <w:pgMar w:left="240" w:top="459"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333-110703) of Itron, Inc. of our report dated May 5, 2005, relating to the financial statements of the Itron, Inc. Incentive Savings Plan, which appears in this Form 11-K.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Moss Adams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Spokane, WA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27,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2019-12-13T15:15:12Z</dcterms:created>
  <dcterms:modified xsi:type="dcterms:W3CDTF">2019-12-13T15:15:12Z</dcterms:modified>
</cp:coreProperties>
</file>